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51EBC" w14:textId="77777777" w:rsidR="009F33CD" w:rsidRDefault="00E40740">
      <w:pPr>
        <w:pStyle w:val="ListParagraph"/>
        <w:spacing w:after="100" w:line="360" w:lineRule="auto"/>
        <w:jc w:val="center"/>
        <w:rPr>
          <w:rFonts w:ascii="Times New Roman" w:hAnsi="Times New Roman" w:cs="Times New Roman"/>
          <w:b/>
          <w:bCs w:val="0"/>
          <w:sz w:val="32"/>
          <w:szCs w:val="32"/>
        </w:rPr>
      </w:pPr>
      <w:bookmarkStart w:id="0" w:name="_Toc418015877"/>
      <w:bookmarkStart w:id="1" w:name="_Toc398128743"/>
      <w:bookmarkStart w:id="2" w:name="_Toc398129151"/>
      <w:bookmarkStart w:id="3" w:name="_Toc274142819"/>
      <w:bookmarkStart w:id="4" w:name="_Toc275416724"/>
      <w:r>
        <w:rPr>
          <w:rFonts w:ascii="Times New Roman" w:hAnsi="Times New Roman" w:cs="Times New Roman"/>
          <w:b/>
          <w:bCs w:val="0"/>
          <w:sz w:val="32"/>
          <w:szCs w:val="32"/>
        </w:rPr>
        <w:t>GREEN HUMAN RESOURCE MANAGEMENT PRACTICES AND PERFORMANCE OF DEVOLVED HEALTHCARE SERVICES</w:t>
      </w:r>
      <w:r>
        <w:rPr>
          <w:rFonts w:ascii="Times New Roman" w:hAnsi="Times New Roman" w:cs="Times New Roman"/>
          <w:b/>
          <w:bCs w:val="0"/>
          <w:color w:val="FF0000"/>
          <w:sz w:val="32"/>
          <w:szCs w:val="32"/>
        </w:rPr>
        <w:t xml:space="preserve"> </w:t>
      </w:r>
      <w:r>
        <w:rPr>
          <w:rFonts w:ascii="Times New Roman" w:hAnsi="Times New Roman" w:cs="Times New Roman"/>
          <w:b/>
          <w:bCs w:val="0"/>
          <w:sz w:val="32"/>
          <w:szCs w:val="32"/>
        </w:rPr>
        <w:t>IN KENYA</w:t>
      </w:r>
    </w:p>
    <w:p w14:paraId="2D88D5F5" w14:textId="77777777" w:rsidR="009F33CD" w:rsidRDefault="009F33CD"/>
    <w:p w14:paraId="7584F2AA" w14:textId="77777777" w:rsidR="009F33CD" w:rsidRDefault="009F33CD"/>
    <w:p w14:paraId="085E5BB9" w14:textId="77777777" w:rsidR="009F33CD" w:rsidRDefault="00E40740">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NELSON MOMANYI BOGONKO</w:t>
      </w:r>
    </w:p>
    <w:p w14:paraId="26F17457" w14:textId="77777777" w:rsidR="009F33CD" w:rsidRDefault="009F33CD"/>
    <w:p w14:paraId="180906EC" w14:textId="77777777" w:rsidR="009F33CD" w:rsidRDefault="009F33CD"/>
    <w:p w14:paraId="2D5B52FE" w14:textId="77777777" w:rsidR="009F33CD" w:rsidRDefault="00E40740">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DOCTOR OF PHILOSOPHY</w:t>
      </w:r>
      <w:r w:rsidR="00E05716">
        <w:rPr>
          <w:rFonts w:ascii="Times New Roman" w:hAnsi="Times New Roman" w:cs="Times New Roman"/>
          <w:b/>
          <w:bCs w:val="0"/>
          <w:sz w:val="32"/>
          <w:szCs w:val="32"/>
        </w:rPr>
        <w:t xml:space="preserve"> IN</w:t>
      </w:r>
    </w:p>
    <w:p w14:paraId="238BAA26" w14:textId="77777777" w:rsidR="009F33CD" w:rsidRDefault="00E05716">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HUMAN RESOURCE MANAGEMENT</w:t>
      </w:r>
    </w:p>
    <w:p w14:paraId="400B3F68" w14:textId="77777777" w:rsidR="009F33CD" w:rsidRDefault="009F33CD"/>
    <w:p w14:paraId="0A8C5D30" w14:textId="77777777" w:rsidR="009F33CD" w:rsidRDefault="009F33CD"/>
    <w:p w14:paraId="45DFBD33" w14:textId="77777777" w:rsidR="009F33CD" w:rsidRDefault="00E40740">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JOMO KENYATTA UNIVERSITY</w:t>
      </w:r>
    </w:p>
    <w:p w14:paraId="336A214C" w14:textId="77777777" w:rsidR="009F33CD" w:rsidRDefault="00E40740">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OF</w:t>
      </w:r>
    </w:p>
    <w:p w14:paraId="098C3D4D" w14:textId="77777777" w:rsidR="009F33CD" w:rsidRDefault="00E40740">
      <w:pPr>
        <w:pStyle w:val="ListParagraph"/>
        <w:spacing w:line="360" w:lineRule="auto"/>
        <w:jc w:val="center"/>
        <w:rPr>
          <w:rFonts w:ascii="Times New Roman" w:hAnsi="Times New Roman" w:cs="Times New Roman"/>
          <w:b/>
          <w:bCs w:val="0"/>
          <w:sz w:val="32"/>
          <w:szCs w:val="32"/>
        </w:rPr>
      </w:pPr>
      <w:r>
        <w:rPr>
          <w:rFonts w:ascii="Times New Roman" w:hAnsi="Times New Roman" w:cs="Times New Roman"/>
          <w:b/>
          <w:bCs w:val="0"/>
          <w:sz w:val="32"/>
          <w:szCs w:val="32"/>
        </w:rPr>
        <w:t>AGRICULTURE AND TECHNOLOGY</w:t>
      </w:r>
    </w:p>
    <w:p w14:paraId="64185A88" w14:textId="77777777" w:rsidR="009F33CD" w:rsidRDefault="009F33CD"/>
    <w:p w14:paraId="15561004" w14:textId="77777777" w:rsidR="009F33CD" w:rsidRDefault="009F33CD"/>
    <w:p w14:paraId="21B11F8E" w14:textId="77777777" w:rsidR="009F33CD" w:rsidRDefault="00E05716">
      <w:pPr>
        <w:pStyle w:val="ListParagraph"/>
        <w:spacing w:after="100" w:line="360" w:lineRule="auto"/>
        <w:jc w:val="center"/>
        <w:rPr>
          <w:rFonts w:ascii="Times New Roman" w:hAnsi="Times New Roman" w:cs="Times New Roman"/>
          <w:b/>
          <w:bCs w:val="0"/>
          <w:sz w:val="32"/>
          <w:szCs w:val="32"/>
        </w:rPr>
        <w:sectPr w:rsidR="009F33CD" w:rsidSect="00E05716">
          <w:footerReference w:type="even" r:id="rId9"/>
          <w:pgSz w:w="11907" w:h="16840"/>
          <w:pgMar w:top="1985" w:right="1418" w:bottom="1418" w:left="2268" w:header="562" w:footer="562" w:gutter="0"/>
          <w:pgNumType w:fmt="lowerRoman" w:start="2"/>
          <w:cols w:space="708"/>
          <w:vAlign w:val="both"/>
          <w:titlePg/>
          <w:docGrid w:linePitch="326"/>
        </w:sectPr>
      </w:pPr>
      <w:r>
        <w:rPr>
          <w:rFonts w:ascii="Times New Roman" w:hAnsi="Times New Roman" w:cs="Times New Roman"/>
          <w:b/>
          <w:bCs w:val="0"/>
          <w:sz w:val="32"/>
          <w:szCs w:val="32"/>
        </w:rPr>
        <w:t>2026</w:t>
      </w:r>
    </w:p>
    <w:p w14:paraId="2314439C" w14:textId="77777777" w:rsidR="009F33CD" w:rsidRDefault="00E40740">
      <w:pPr>
        <w:pStyle w:val="ListParagraph"/>
        <w:autoSpaceDE w:val="0"/>
        <w:autoSpaceDN w:val="0"/>
        <w:adjustRightInd w:val="0"/>
        <w:spacing w:after="0" w:line="360" w:lineRule="auto"/>
        <w:ind w:left="0"/>
        <w:jc w:val="center"/>
        <w:rPr>
          <w:rFonts w:ascii="Times New Roman" w:hAnsi="Times New Roman" w:cs="Times New Roman"/>
          <w:sz w:val="28"/>
        </w:rPr>
      </w:pPr>
      <w:r>
        <w:rPr>
          <w:rFonts w:ascii="Times New Roman" w:hAnsi="Times New Roman" w:cs="Times New Roman"/>
          <w:b/>
          <w:bCs w:val="0"/>
          <w:sz w:val="28"/>
        </w:rPr>
        <w:lastRenderedPageBreak/>
        <w:t>Green Human Resource Management Practices and Performance of Devolved Healthcare Services in Kenya</w:t>
      </w:r>
    </w:p>
    <w:p w14:paraId="5B7273EA" w14:textId="77777777" w:rsidR="009F33CD" w:rsidRDefault="009F33CD"/>
    <w:p w14:paraId="50D5B358" w14:textId="77777777" w:rsidR="009F33CD" w:rsidRDefault="009F33CD"/>
    <w:p w14:paraId="314E20EB" w14:textId="77777777" w:rsidR="009F33CD" w:rsidRDefault="009F33CD"/>
    <w:p w14:paraId="1D51AB12" w14:textId="77777777" w:rsidR="009F33CD" w:rsidRDefault="009F33CD"/>
    <w:p w14:paraId="611C80E4" w14:textId="77777777" w:rsidR="00E05716" w:rsidRDefault="00E05716"/>
    <w:p w14:paraId="1D89A33E" w14:textId="77777777" w:rsidR="009F33CD" w:rsidRDefault="00E40740">
      <w:pPr>
        <w:jc w:val="center"/>
        <w:rPr>
          <w:rFonts w:eastAsia="Arial Unicode MS" w:cs="Times New Roman"/>
          <w:b/>
          <w:sz w:val="28"/>
          <w:szCs w:val="28"/>
        </w:rPr>
      </w:pPr>
      <w:r>
        <w:rPr>
          <w:rFonts w:eastAsia="Arial Unicode MS" w:cs="Times New Roman"/>
          <w:b/>
          <w:sz w:val="28"/>
          <w:szCs w:val="28"/>
        </w:rPr>
        <w:t>Nelson Momanyi Bogonko</w:t>
      </w:r>
    </w:p>
    <w:p w14:paraId="44483107" w14:textId="77777777" w:rsidR="009F33CD" w:rsidRDefault="009F33CD"/>
    <w:p w14:paraId="208DB987" w14:textId="77777777" w:rsidR="009F33CD" w:rsidRDefault="009F33CD"/>
    <w:p w14:paraId="78133DAA" w14:textId="77777777" w:rsidR="009F33CD" w:rsidRDefault="009F33CD"/>
    <w:p w14:paraId="1531A9DB" w14:textId="77777777" w:rsidR="00E05716" w:rsidRDefault="00E05716"/>
    <w:p w14:paraId="2D4DFD38" w14:textId="77777777" w:rsidR="009F33CD" w:rsidRDefault="009F33CD"/>
    <w:p w14:paraId="23F80BD6" w14:textId="77777777" w:rsidR="00032D3E" w:rsidRDefault="00E40740" w:rsidP="00032D3E">
      <w:pPr>
        <w:spacing w:before="0" w:beforeAutospacing="0" w:after="0" w:afterAutospacing="0"/>
        <w:jc w:val="center"/>
        <w:rPr>
          <w:rFonts w:eastAsia="Arial Unicode MS" w:cs="Times New Roman"/>
          <w:b/>
          <w:sz w:val="28"/>
          <w:szCs w:val="28"/>
        </w:rPr>
      </w:pPr>
      <w:r>
        <w:rPr>
          <w:rFonts w:eastAsia="Arial Unicode MS" w:cs="Times New Roman"/>
          <w:b/>
          <w:sz w:val="28"/>
          <w:szCs w:val="28"/>
        </w:rPr>
        <w:t xml:space="preserve">A Thesis Submitted in Partial Fulfilment of the Requirements for the Degree of Doctor of Philosophy in Human Resource Management of the Jomo Kenyatta University of </w:t>
      </w:r>
    </w:p>
    <w:p w14:paraId="7DEAD6F2" w14:textId="77777777" w:rsidR="009F33CD" w:rsidRDefault="00E40740" w:rsidP="00032D3E">
      <w:pPr>
        <w:spacing w:before="0" w:beforeAutospacing="0" w:after="0" w:afterAutospacing="0"/>
        <w:jc w:val="center"/>
        <w:rPr>
          <w:rFonts w:eastAsia="Arial Unicode MS" w:cs="Times New Roman"/>
          <w:b/>
          <w:sz w:val="28"/>
          <w:szCs w:val="28"/>
        </w:rPr>
      </w:pPr>
      <w:r>
        <w:rPr>
          <w:rFonts w:eastAsia="Arial Unicode MS" w:cs="Times New Roman"/>
          <w:b/>
          <w:sz w:val="28"/>
          <w:szCs w:val="28"/>
        </w:rPr>
        <w:t>Agriculture and Technology</w:t>
      </w:r>
    </w:p>
    <w:p w14:paraId="354509AF" w14:textId="77777777" w:rsidR="009F33CD" w:rsidRDefault="009F33CD"/>
    <w:p w14:paraId="34915D82" w14:textId="77777777" w:rsidR="009F33CD" w:rsidRDefault="009F33CD"/>
    <w:p w14:paraId="47BD2363" w14:textId="77777777" w:rsidR="009F33CD" w:rsidRDefault="00E40740">
      <w:pPr>
        <w:jc w:val="center"/>
        <w:rPr>
          <w:rFonts w:eastAsia="Arial Unicode MS" w:cs="Times New Roman"/>
          <w:b/>
          <w:szCs w:val="24"/>
        </w:rPr>
      </w:pPr>
      <w:r w:rsidRPr="00E05716">
        <w:rPr>
          <w:rFonts w:eastAsia="Arial Unicode MS" w:cs="Times New Roman"/>
          <w:b/>
          <w:sz w:val="28"/>
          <w:szCs w:val="28"/>
        </w:rPr>
        <w:t>202</w:t>
      </w:r>
      <w:r w:rsidR="002034AE" w:rsidRPr="00E05716">
        <w:rPr>
          <w:rFonts w:eastAsia="Arial Unicode MS" w:cs="Times New Roman"/>
          <w:b/>
          <w:sz w:val="28"/>
          <w:szCs w:val="28"/>
        </w:rPr>
        <w:t>6</w:t>
      </w:r>
    </w:p>
    <w:p w14:paraId="3E035AAA" w14:textId="77777777" w:rsidR="009F33CD" w:rsidRDefault="00E40740">
      <w:pPr>
        <w:pStyle w:val="Heading1"/>
        <w:ind w:left="-180" w:firstLine="180"/>
        <w:rPr>
          <w:rFonts w:cs="Times New Roman"/>
          <w:szCs w:val="24"/>
        </w:rPr>
      </w:pPr>
      <w:bookmarkStart w:id="5" w:name="_Toc224237638"/>
      <w:r>
        <w:rPr>
          <w:rFonts w:cs="Times New Roman"/>
          <w:szCs w:val="24"/>
        </w:rPr>
        <w:lastRenderedPageBreak/>
        <w:t>DECLARATION</w:t>
      </w:r>
      <w:bookmarkEnd w:id="5"/>
    </w:p>
    <w:p w14:paraId="21BA1376" w14:textId="77777777" w:rsidR="009F33CD" w:rsidRDefault="00E40740">
      <w:r>
        <w:t>This thesis is my original work and has not been presented for a degree in any other University</w:t>
      </w:r>
      <w:r w:rsidR="00FE200A">
        <w:t>.</w:t>
      </w:r>
    </w:p>
    <w:p w14:paraId="7A895853" w14:textId="77777777" w:rsidR="009F33CD" w:rsidRDefault="009F33CD"/>
    <w:p w14:paraId="020E6CC8" w14:textId="77777777" w:rsidR="009F33CD" w:rsidRDefault="00E40740">
      <w:pPr>
        <w:contextualSpacing/>
        <w:rPr>
          <w:rFonts w:cs="Times New Roman"/>
          <w:bCs/>
          <w:szCs w:val="24"/>
        </w:rPr>
      </w:pPr>
      <w:r>
        <w:rPr>
          <w:rFonts w:cs="Times New Roman"/>
          <w:bCs/>
          <w:szCs w:val="24"/>
        </w:rPr>
        <w:t>Signature.........................................................................Date………………………….</w:t>
      </w:r>
    </w:p>
    <w:p w14:paraId="7E6FD53F" w14:textId="77777777" w:rsidR="009F33CD" w:rsidRDefault="00E40740">
      <w:pPr>
        <w:ind w:left="993"/>
        <w:contextualSpacing/>
        <w:rPr>
          <w:rFonts w:cs="Times New Roman"/>
          <w:bCs/>
          <w:szCs w:val="24"/>
        </w:rPr>
      </w:pPr>
      <w:r>
        <w:rPr>
          <w:rFonts w:cs="Times New Roman"/>
          <w:b/>
          <w:bCs/>
          <w:szCs w:val="24"/>
        </w:rPr>
        <w:t>Nelson Momanyi Bogonko</w:t>
      </w:r>
      <w:r>
        <w:rPr>
          <w:rFonts w:cs="Times New Roman"/>
          <w:bCs/>
          <w:szCs w:val="24"/>
        </w:rPr>
        <w:t xml:space="preserve"> </w:t>
      </w:r>
    </w:p>
    <w:p w14:paraId="2354D29E" w14:textId="77777777" w:rsidR="00E05716" w:rsidRDefault="00E05716" w:rsidP="00E05716"/>
    <w:p w14:paraId="0820C434" w14:textId="77777777" w:rsidR="00CF2D3F" w:rsidRDefault="00CF2D3F" w:rsidP="00E05716"/>
    <w:p w14:paraId="6C13B955" w14:textId="77777777" w:rsidR="00CF2D3F" w:rsidRDefault="00CF2D3F" w:rsidP="00E05716"/>
    <w:p w14:paraId="4BB9E5CB" w14:textId="77777777" w:rsidR="009F33CD" w:rsidRDefault="00E40740">
      <w:r>
        <w:t>This thesis has been submitted for examination with our approval as the University Supervisors</w:t>
      </w:r>
      <w:r w:rsidR="00FE200A">
        <w:t>:</w:t>
      </w:r>
    </w:p>
    <w:p w14:paraId="35B17696" w14:textId="77777777" w:rsidR="009F33CD" w:rsidRDefault="009F33CD" w:rsidP="00E05716"/>
    <w:p w14:paraId="741F2A29" w14:textId="77777777" w:rsidR="009F33CD" w:rsidRDefault="00E40740">
      <w:pPr>
        <w:contextualSpacing/>
        <w:rPr>
          <w:rFonts w:cs="Times New Roman"/>
          <w:bCs/>
          <w:szCs w:val="24"/>
        </w:rPr>
      </w:pPr>
      <w:r>
        <w:rPr>
          <w:rFonts w:cs="Times New Roman"/>
          <w:bCs/>
          <w:szCs w:val="24"/>
        </w:rPr>
        <w:t>Signature.........................................................................Date………………………….</w:t>
      </w:r>
    </w:p>
    <w:p w14:paraId="6AA166A5" w14:textId="77777777" w:rsidR="009F33CD" w:rsidRDefault="00E40740">
      <w:pPr>
        <w:ind w:left="993"/>
        <w:contextualSpacing/>
        <w:rPr>
          <w:b/>
        </w:rPr>
      </w:pPr>
      <w:r>
        <w:rPr>
          <w:rFonts w:cs="Times New Roman"/>
          <w:b/>
          <w:szCs w:val="24"/>
        </w:rPr>
        <w:t>Dr. Alice Nasieku Simiyu, PhD</w:t>
      </w:r>
      <w:r w:rsidR="00CF2D3F">
        <w:rPr>
          <w:rFonts w:cs="Times New Roman"/>
          <w:b/>
          <w:bCs/>
          <w:szCs w:val="24"/>
        </w:rPr>
        <w:t xml:space="preserve"> </w:t>
      </w:r>
    </w:p>
    <w:p w14:paraId="4CEBBC9B" w14:textId="77777777" w:rsidR="009F33CD" w:rsidRDefault="00E40740">
      <w:pPr>
        <w:ind w:left="993"/>
        <w:contextualSpacing/>
      </w:pPr>
      <w:r>
        <w:rPr>
          <w:b/>
        </w:rPr>
        <w:t>JKUAT, Kenya</w:t>
      </w:r>
    </w:p>
    <w:p w14:paraId="0AAF5908" w14:textId="77777777" w:rsidR="009F33CD" w:rsidRDefault="009F33CD" w:rsidP="00E05716"/>
    <w:p w14:paraId="03F74FC4" w14:textId="77777777" w:rsidR="009F33CD" w:rsidRDefault="009F33CD" w:rsidP="00E05716"/>
    <w:p w14:paraId="41BBCD19" w14:textId="77777777" w:rsidR="009F33CD" w:rsidRDefault="00E40740">
      <w:pPr>
        <w:contextualSpacing/>
        <w:rPr>
          <w:rFonts w:cs="Times New Roman"/>
          <w:bCs/>
          <w:szCs w:val="24"/>
        </w:rPr>
      </w:pPr>
      <w:r>
        <w:rPr>
          <w:rFonts w:cs="Times New Roman"/>
          <w:bCs/>
          <w:szCs w:val="24"/>
        </w:rPr>
        <w:t>Signature.........................................................................Date………………………….</w:t>
      </w:r>
    </w:p>
    <w:p w14:paraId="5CB80914" w14:textId="77777777" w:rsidR="009F33CD" w:rsidRDefault="00E40740">
      <w:pPr>
        <w:ind w:left="993"/>
        <w:contextualSpacing/>
        <w:rPr>
          <w:b/>
        </w:rPr>
      </w:pPr>
      <w:r>
        <w:rPr>
          <w:b/>
        </w:rPr>
        <w:t>Dr. Mary Musyoka, PhD</w:t>
      </w:r>
    </w:p>
    <w:p w14:paraId="1B412BAB" w14:textId="77777777" w:rsidR="009F33CD" w:rsidRDefault="00E40740">
      <w:pPr>
        <w:ind w:left="993"/>
        <w:contextualSpacing/>
        <w:rPr>
          <w:bCs/>
        </w:rPr>
      </w:pPr>
      <w:r>
        <w:rPr>
          <w:b/>
          <w:bCs/>
        </w:rPr>
        <w:t>JKUAT, Kenya</w:t>
      </w:r>
      <w:r>
        <w:rPr>
          <w:bCs/>
        </w:rPr>
        <w:br w:type="page"/>
      </w:r>
    </w:p>
    <w:p w14:paraId="2E350C13" w14:textId="77777777" w:rsidR="009F33CD" w:rsidRDefault="00E40740">
      <w:pPr>
        <w:pStyle w:val="Heading1"/>
      </w:pPr>
      <w:bookmarkStart w:id="6" w:name="_Toc224237639"/>
      <w:r>
        <w:lastRenderedPageBreak/>
        <w:t>DEDICATION</w:t>
      </w:r>
      <w:bookmarkEnd w:id="6"/>
    </w:p>
    <w:p w14:paraId="441CFD48" w14:textId="77777777" w:rsidR="009F33CD" w:rsidRDefault="00E40740">
      <w:r>
        <w:t xml:space="preserve">I dedicate this thesis work to my dear wife Lydia Nthambi and my children Justus Maingi, Victoria Mwango and Shem Omasire. </w:t>
      </w:r>
    </w:p>
    <w:p w14:paraId="272D9ED4" w14:textId="77777777" w:rsidR="009F33CD" w:rsidRDefault="00E40740">
      <w:pPr>
        <w:autoSpaceDE/>
        <w:autoSpaceDN/>
        <w:adjustRightInd/>
        <w:spacing w:before="0" w:beforeAutospacing="0" w:after="200" w:afterAutospacing="0" w:line="276" w:lineRule="auto"/>
        <w:rPr>
          <w:rFonts w:eastAsia="TimesNewRomanPSMT" w:cs="Times New Roman"/>
          <w:b/>
          <w:kern w:val="32"/>
          <w:szCs w:val="24"/>
        </w:rPr>
      </w:pPr>
      <w:r>
        <w:rPr>
          <w:rFonts w:eastAsia="TimesNewRomanPSMT" w:cs="Times New Roman"/>
          <w:szCs w:val="24"/>
        </w:rPr>
        <w:br w:type="page"/>
      </w:r>
    </w:p>
    <w:p w14:paraId="1C330588" w14:textId="77777777" w:rsidR="009F33CD" w:rsidRDefault="00E40740" w:rsidP="00E05716">
      <w:pPr>
        <w:pStyle w:val="Heading1"/>
      </w:pPr>
      <w:bookmarkStart w:id="7" w:name="_Toc224237640"/>
      <w:r w:rsidRPr="00E05716">
        <w:lastRenderedPageBreak/>
        <w:t>ACKNOWLEDGEMENT</w:t>
      </w:r>
      <w:bookmarkEnd w:id="7"/>
    </w:p>
    <w:p w14:paraId="6C67F610" w14:textId="77777777" w:rsidR="009F33CD" w:rsidRDefault="00E40740">
      <w:pPr>
        <w:autoSpaceDE/>
        <w:autoSpaceDN/>
        <w:adjustRightInd/>
        <w:spacing w:after="200"/>
        <w:rPr>
          <w:rFonts w:cs="Times New Roman"/>
          <w:bCs/>
          <w:szCs w:val="24"/>
        </w:rPr>
      </w:pPr>
      <w:bookmarkStart w:id="8" w:name="_Toc529121441"/>
      <w:r>
        <w:rPr>
          <w:rFonts w:cs="Times New Roman"/>
          <w:bCs/>
          <w:szCs w:val="24"/>
        </w:rPr>
        <w:t xml:space="preserve">I sincerely express my gratitude and appreciation to my Supervisors, Dr. Alice Simiyu, and Dr. Mary Musyoka, for their guidance, critique, and constructive ideas toward the development of this research study. You successfully guided me to understand and develop this research study through your constructive and insightful comments. I also appreciate Mr. Vincent Master for his support in this study. I want to extend my gratitude and affection to my wife, Lydia Nthambi, for providing me with overwhelming support, patience, love, encouragement, and inspiration that has greatly facilitated my completion of this challenging work. I highly acknowledge the support from the library staff and management of Jomo Kenyatta University of Agriculture and Technology. To my Ph.D. classmates and work colleagues- thank you for encouraging me to complete this research study which went through a very tough, stressful and long process. Finally, I am very grateful to my God for giving me the power and good health that enabled me to prepare and complete this research study. </w:t>
      </w:r>
    </w:p>
    <w:p w14:paraId="6B57C4D6" w14:textId="77777777" w:rsidR="009F33CD" w:rsidRDefault="00E40740">
      <w:pPr>
        <w:autoSpaceDE/>
        <w:autoSpaceDN/>
        <w:adjustRightInd/>
        <w:spacing w:after="200" w:line="276" w:lineRule="auto"/>
        <w:rPr>
          <w:rFonts w:cs="Times New Roman"/>
          <w:bCs/>
          <w:szCs w:val="24"/>
        </w:rPr>
      </w:pPr>
      <w:r>
        <w:rPr>
          <w:rFonts w:cs="Times New Roman"/>
          <w:bCs/>
          <w:szCs w:val="24"/>
        </w:rPr>
        <w:br w:type="page"/>
      </w:r>
    </w:p>
    <w:bookmarkEnd w:id="8" w:displacedByCustomXml="next"/>
    <w:bookmarkStart w:id="9" w:name="_Toc224237641" w:displacedByCustomXml="next"/>
    <w:bookmarkStart w:id="10" w:name="_Toc529115503" w:displacedByCustomXml="next"/>
    <w:sdt>
      <w:sdtPr>
        <w:rPr>
          <w:rFonts w:asciiTheme="minorHAnsi" w:hAnsiTheme="minorHAnsi" w:cs="Times New Roman"/>
          <w:b w:val="0"/>
          <w:bCs/>
          <w:kern w:val="0"/>
          <w:sz w:val="20"/>
          <w:szCs w:val="20"/>
        </w:rPr>
        <w:id w:val="653571338"/>
        <w:docPartObj>
          <w:docPartGallery w:val="Table of Contents"/>
          <w:docPartUnique/>
        </w:docPartObj>
      </w:sdtPr>
      <w:sdtEndPr>
        <w:rPr>
          <w:rFonts w:ascii="Times New Roman" w:hAnsi="Times New Roman"/>
          <w:b/>
          <w:sz w:val="24"/>
          <w:szCs w:val="24"/>
        </w:rPr>
      </w:sdtEndPr>
      <w:sdtContent>
        <w:p w14:paraId="21273DDB" w14:textId="77777777" w:rsidR="009F33CD" w:rsidRDefault="00E40740">
          <w:pPr>
            <w:pStyle w:val="Heading1"/>
            <w:spacing w:before="0" w:beforeAutospacing="0" w:after="0" w:afterAutospacing="0"/>
          </w:pPr>
          <w:r>
            <w:t>TABLE OF CONTENTS</w:t>
          </w:r>
          <w:bookmarkEnd w:id="9"/>
        </w:p>
        <w:bookmarkStart w:id="11" w:name="_Hlk178947464"/>
        <w:p w14:paraId="797CB4A0" w14:textId="15EBC1F7" w:rsidR="00A26AF8" w:rsidRPr="0038157E" w:rsidRDefault="00A26AF8"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r w:rsidRPr="0038157E">
            <w:rPr>
              <w:rFonts w:ascii="Times New Roman" w:hAnsi="Times New Roman" w:cs="Times New Roman"/>
              <w:bCs w:val="0"/>
              <w:sz w:val="24"/>
              <w:szCs w:val="24"/>
            </w:rPr>
            <w:fldChar w:fldCharType="begin"/>
          </w:r>
          <w:r w:rsidRPr="0038157E">
            <w:rPr>
              <w:rFonts w:ascii="Times New Roman" w:hAnsi="Times New Roman" w:cs="Times New Roman"/>
              <w:bCs w:val="0"/>
              <w:sz w:val="24"/>
              <w:szCs w:val="24"/>
            </w:rPr>
            <w:instrText xml:space="preserve"> TOC \o "1-3" \h \z \u </w:instrText>
          </w:r>
          <w:r w:rsidRPr="0038157E">
            <w:rPr>
              <w:rFonts w:ascii="Times New Roman" w:hAnsi="Times New Roman" w:cs="Times New Roman"/>
              <w:bCs w:val="0"/>
              <w:sz w:val="24"/>
              <w:szCs w:val="24"/>
            </w:rPr>
            <w:fldChar w:fldCharType="separate"/>
          </w:r>
          <w:hyperlink w:anchor="_Toc224237638" w:history="1">
            <w:r w:rsidRPr="0038157E">
              <w:rPr>
                <w:rStyle w:val="Hyperlink"/>
                <w:rFonts w:ascii="Times New Roman" w:hAnsi="Times New Roman" w:cs="Times New Roman"/>
                <w:caps w:val="0"/>
                <w:noProof/>
                <w:sz w:val="24"/>
                <w:szCs w:val="24"/>
              </w:rPr>
              <w:t>DECLARATION</w:t>
            </w:r>
            <w:r w:rsidRPr="0038157E">
              <w:rPr>
                <w:rFonts w:ascii="Times New Roman" w:hAnsi="Times New Roman" w:cs="Times New Roman"/>
                <w:caps w:val="0"/>
                <w:noProof/>
                <w:webHidden/>
                <w:sz w:val="24"/>
                <w:szCs w:val="24"/>
              </w:rPr>
              <w:tab/>
            </w:r>
            <w:r w:rsidRPr="0038157E">
              <w:rPr>
                <w:rFonts w:ascii="Times New Roman" w:hAnsi="Times New Roman" w:cs="Times New Roman"/>
                <w:caps w:val="0"/>
                <w:noProof/>
                <w:webHidden/>
                <w:sz w:val="24"/>
                <w:szCs w:val="24"/>
              </w:rPr>
              <w:fldChar w:fldCharType="begin"/>
            </w:r>
            <w:r w:rsidRPr="0038157E">
              <w:rPr>
                <w:rFonts w:ascii="Times New Roman" w:hAnsi="Times New Roman" w:cs="Times New Roman"/>
                <w:caps w:val="0"/>
                <w:noProof/>
                <w:webHidden/>
                <w:sz w:val="24"/>
                <w:szCs w:val="24"/>
              </w:rPr>
              <w:instrText xml:space="preserve"> PAGEREF _Toc224237638 \h </w:instrText>
            </w:r>
            <w:r w:rsidRPr="0038157E">
              <w:rPr>
                <w:rFonts w:ascii="Times New Roman" w:hAnsi="Times New Roman" w:cs="Times New Roman"/>
                <w:caps w:val="0"/>
                <w:noProof/>
                <w:webHidden/>
                <w:sz w:val="24"/>
                <w:szCs w:val="24"/>
              </w:rPr>
            </w:r>
            <w:r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ii</w:t>
            </w:r>
            <w:r w:rsidRPr="0038157E">
              <w:rPr>
                <w:rFonts w:ascii="Times New Roman" w:hAnsi="Times New Roman" w:cs="Times New Roman"/>
                <w:caps w:val="0"/>
                <w:noProof/>
                <w:webHidden/>
                <w:sz w:val="24"/>
                <w:szCs w:val="24"/>
              </w:rPr>
              <w:fldChar w:fldCharType="end"/>
            </w:r>
          </w:hyperlink>
        </w:p>
        <w:p w14:paraId="402A5590" w14:textId="625284A7"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39" w:history="1">
            <w:r w:rsidR="00A26AF8" w:rsidRPr="0038157E">
              <w:rPr>
                <w:rStyle w:val="Hyperlink"/>
                <w:rFonts w:ascii="Times New Roman" w:hAnsi="Times New Roman" w:cs="Times New Roman"/>
                <w:caps w:val="0"/>
                <w:noProof/>
                <w:sz w:val="24"/>
                <w:szCs w:val="24"/>
              </w:rPr>
              <w:t>DEDICATION</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_Toc224237639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iii</w:t>
            </w:r>
            <w:r w:rsidR="00A26AF8" w:rsidRPr="0038157E">
              <w:rPr>
                <w:rFonts w:ascii="Times New Roman" w:hAnsi="Times New Roman" w:cs="Times New Roman"/>
                <w:caps w:val="0"/>
                <w:noProof/>
                <w:webHidden/>
                <w:sz w:val="24"/>
                <w:szCs w:val="24"/>
              </w:rPr>
              <w:fldChar w:fldCharType="end"/>
            </w:r>
          </w:hyperlink>
        </w:p>
        <w:p w14:paraId="33213D78" w14:textId="1B49E1FF"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0" w:history="1">
            <w:r w:rsidR="00A26AF8" w:rsidRPr="0038157E">
              <w:rPr>
                <w:rStyle w:val="Hyperlink"/>
                <w:rFonts w:ascii="Times New Roman" w:hAnsi="Times New Roman" w:cs="Times New Roman"/>
                <w:caps w:val="0"/>
                <w:noProof/>
                <w:sz w:val="24"/>
                <w:szCs w:val="24"/>
              </w:rPr>
              <w:t>ACKNOWLEDGEMENT</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_Toc224237640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iv</w:t>
            </w:r>
            <w:r w:rsidR="00A26AF8" w:rsidRPr="0038157E">
              <w:rPr>
                <w:rFonts w:ascii="Times New Roman" w:hAnsi="Times New Roman" w:cs="Times New Roman"/>
                <w:caps w:val="0"/>
                <w:noProof/>
                <w:webHidden/>
                <w:sz w:val="24"/>
                <w:szCs w:val="24"/>
              </w:rPr>
              <w:fldChar w:fldCharType="end"/>
            </w:r>
          </w:hyperlink>
        </w:p>
        <w:p w14:paraId="1D3FFB5D" w14:textId="6311E3A9"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1" w:history="1">
            <w:r w:rsidR="00A26AF8" w:rsidRPr="0038157E">
              <w:rPr>
                <w:rStyle w:val="Hyperlink"/>
                <w:rFonts w:ascii="Times New Roman" w:hAnsi="Times New Roman" w:cs="Times New Roman"/>
                <w:caps w:val="0"/>
                <w:noProof/>
                <w:sz w:val="24"/>
                <w:szCs w:val="24"/>
              </w:rPr>
              <w:t>TABLE OF CONTENTS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_Toc224237641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v</w:t>
            </w:r>
            <w:r w:rsidR="00A26AF8" w:rsidRPr="0038157E">
              <w:rPr>
                <w:rFonts w:ascii="Times New Roman" w:hAnsi="Times New Roman" w:cs="Times New Roman"/>
                <w:caps w:val="0"/>
                <w:noProof/>
                <w:webHidden/>
                <w:sz w:val="24"/>
                <w:szCs w:val="24"/>
              </w:rPr>
              <w:fldChar w:fldCharType="end"/>
            </w:r>
          </w:hyperlink>
        </w:p>
        <w:p w14:paraId="3A9ADF4D" w14:textId="16FC8CD5"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2" w:history="1">
            <w:r w:rsidR="00A26AF8" w:rsidRPr="0038157E">
              <w:rPr>
                <w:rStyle w:val="Hyperlink"/>
                <w:rFonts w:ascii="Times New Roman" w:hAnsi="Times New Roman" w:cs="Times New Roman"/>
                <w:caps w:val="0"/>
                <w:noProof/>
                <w:sz w:val="24"/>
                <w:szCs w:val="24"/>
              </w:rPr>
              <w:t>LIST OF TABLES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_Toc224237642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xiv</w:t>
            </w:r>
            <w:r w:rsidR="00A26AF8" w:rsidRPr="0038157E">
              <w:rPr>
                <w:rFonts w:ascii="Times New Roman" w:hAnsi="Times New Roman" w:cs="Times New Roman"/>
                <w:caps w:val="0"/>
                <w:noProof/>
                <w:webHidden/>
                <w:sz w:val="24"/>
                <w:szCs w:val="24"/>
              </w:rPr>
              <w:fldChar w:fldCharType="end"/>
            </w:r>
          </w:hyperlink>
        </w:p>
        <w:p w14:paraId="62754F82" w14:textId="7922E389"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3" w:history="1">
            <w:r w:rsidR="00A26AF8" w:rsidRPr="0038157E">
              <w:rPr>
                <w:rStyle w:val="Hyperlink"/>
                <w:rFonts w:ascii="Times New Roman" w:hAnsi="Times New Roman" w:cs="Times New Roman"/>
                <w:caps w:val="0"/>
                <w:noProof/>
                <w:sz w:val="24"/>
                <w:szCs w:val="24"/>
              </w:rPr>
              <w:t>LIST OF FIGURES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_Toc224237643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xviii</w:t>
            </w:r>
            <w:r w:rsidR="00A26AF8" w:rsidRPr="0038157E">
              <w:rPr>
                <w:rFonts w:ascii="Times New Roman" w:hAnsi="Times New Roman" w:cs="Times New Roman"/>
                <w:caps w:val="0"/>
                <w:noProof/>
                <w:webHidden/>
                <w:sz w:val="24"/>
                <w:szCs w:val="24"/>
              </w:rPr>
              <w:fldChar w:fldCharType="end"/>
            </w:r>
          </w:hyperlink>
        </w:p>
        <w:p w14:paraId="49781374" w14:textId="58330640"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4" w:history="1">
            <w:r w:rsidR="00A26AF8" w:rsidRPr="0038157E">
              <w:rPr>
                <w:rStyle w:val="Hyperlink"/>
                <w:rFonts w:ascii="Times New Roman" w:hAnsi="Times New Roman" w:cs="Times New Roman"/>
                <w:caps w:val="0"/>
                <w:noProof/>
                <w:sz w:val="24"/>
                <w:szCs w:val="24"/>
              </w:rPr>
              <w:t>LIST OF APPENDICES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_Toc224237644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xix</w:t>
            </w:r>
            <w:r w:rsidR="00A26AF8" w:rsidRPr="0038157E">
              <w:rPr>
                <w:rFonts w:ascii="Times New Roman" w:hAnsi="Times New Roman" w:cs="Times New Roman"/>
                <w:caps w:val="0"/>
                <w:noProof/>
                <w:webHidden/>
                <w:sz w:val="24"/>
                <w:szCs w:val="24"/>
              </w:rPr>
              <w:fldChar w:fldCharType="end"/>
            </w:r>
          </w:hyperlink>
        </w:p>
        <w:p w14:paraId="1E8F3231" w14:textId="3C09CA42"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5" w:history="1">
            <w:r w:rsidR="00A26AF8" w:rsidRPr="0038157E">
              <w:rPr>
                <w:rStyle w:val="Hyperlink"/>
                <w:rFonts w:ascii="Times New Roman" w:hAnsi="Times New Roman" w:cs="Times New Roman"/>
                <w:caps w:val="0"/>
                <w:noProof/>
                <w:sz w:val="24"/>
                <w:szCs w:val="24"/>
              </w:rPr>
              <w:t>ACRONYMS AND ABBREVIATIONS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_Toc224237645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xx</w:t>
            </w:r>
            <w:r w:rsidR="00A26AF8" w:rsidRPr="0038157E">
              <w:rPr>
                <w:rFonts w:ascii="Times New Roman" w:hAnsi="Times New Roman" w:cs="Times New Roman"/>
                <w:caps w:val="0"/>
                <w:noProof/>
                <w:webHidden/>
                <w:sz w:val="24"/>
                <w:szCs w:val="24"/>
              </w:rPr>
              <w:fldChar w:fldCharType="end"/>
            </w:r>
          </w:hyperlink>
        </w:p>
        <w:p w14:paraId="76854E99" w14:textId="733590D6"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6" w:history="1">
            <w:r w:rsidR="00A26AF8" w:rsidRPr="0038157E">
              <w:rPr>
                <w:rStyle w:val="Hyperlink"/>
                <w:rFonts w:ascii="Times New Roman" w:hAnsi="Times New Roman" w:cs="Times New Roman"/>
                <w:caps w:val="0"/>
                <w:noProof/>
                <w:sz w:val="24"/>
                <w:szCs w:val="24"/>
              </w:rPr>
              <w:t>DEFINITION OF OPERATIONAL TERM</w:t>
            </w:r>
            <w:r w:rsidR="00A26AF8" w:rsidRPr="0038157E">
              <w:rPr>
                <w:rStyle w:val="Hyperlink"/>
                <w:rFonts w:ascii="Times New Roman" w:hAnsi="Times New Roman" w:cs="Times New Roman"/>
                <w:caps w:val="0"/>
                <w:noProof/>
                <w:sz w:val="24"/>
                <w:szCs w:val="24"/>
                <w:lang w:val="en-US"/>
              </w:rPr>
              <w:t>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_Toc224237646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xxi</w:t>
            </w:r>
            <w:r w:rsidR="00A26AF8" w:rsidRPr="0038157E">
              <w:rPr>
                <w:rFonts w:ascii="Times New Roman" w:hAnsi="Times New Roman" w:cs="Times New Roman"/>
                <w:caps w:val="0"/>
                <w:noProof/>
                <w:webHidden/>
                <w:sz w:val="24"/>
                <w:szCs w:val="24"/>
              </w:rPr>
              <w:fldChar w:fldCharType="end"/>
            </w:r>
          </w:hyperlink>
        </w:p>
        <w:p w14:paraId="73254AC0" w14:textId="2EB7F45F"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7" w:history="1">
            <w:r w:rsidR="00A26AF8" w:rsidRPr="0038157E">
              <w:rPr>
                <w:rStyle w:val="Hyperlink"/>
                <w:rFonts w:ascii="Times New Roman" w:hAnsi="Times New Roman" w:cs="Times New Roman"/>
                <w:caps w:val="0"/>
                <w:noProof/>
                <w:sz w:val="24"/>
                <w:szCs w:val="24"/>
              </w:rPr>
              <w:t>ABSTRACT</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_Toc224237647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xxiii</w:t>
            </w:r>
            <w:r w:rsidR="00A26AF8" w:rsidRPr="0038157E">
              <w:rPr>
                <w:rFonts w:ascii="Times New Roman" w:hAnsi="Times New Roman" w:cs="Times New Roman"/>
                <w:caps w:val="0"/>
                <w:noProof/>
                <w:webHidden/>
                <w:sz w:val="24"/>
                <w:szCs w:val="24"/>
              </w:rPr>
              <w:fldChar w:fldCharType="end"/>
            </w:r>
          </w:hyperlink>
        </w:p>
        <w:p w14:paraId="78B19BA9" w14:textId="0EDC4395"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8" w:history="1">
            <w:r w:rsidR="00A26AF8" w:rsidRPr="0038157E">
              <w:rPr>
                <w:rStyle w:val="Hyperlink"/>
                <w:rFonts w:ascii="Times New Roman" w:hAnsi="Times New Roman" w:cs="Times New Roman"/>
                <w:caps w:val="0"/>
                <w:noProof/>
                <w:sz w:val="24"/>
                <w:szCs w:val="24"/>
              </w:rPr>
              <w:t>CHAPTER ONE</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_Toc224237648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1</w:t>
            </w:r>
            <w:r w:rsidR="00A26AF8" w:rsidRPr="0038157E">
              <w:rPr>
                <w:rFonts w:ascii="Times New Roman" w:hAnsi="Times New Roman" w:cs="Times New Roman"/>
                <w:caps w:val="0"/>
                <w:noProof/>
                <w:webHidden/>
                <w:sz w:val="24"/>
                <w:szCs w:val="24"/>
              </w:rPr>
              <w:fldChar w:fldCharType="end"/>
            </w:r>
          </w:hyperlink>
        </w:p>
        <w:p w14:paraId="50ADA299" w14:textId="3ED7A16C"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49" w:history="1">
            <w:r w:rsidR="00A26AF8" w:rsidRPr="0038157E">
              <w:rPr>
                <w:rStyle w:val="Hyperlink"/>
                <w:rFonts w:ascii="Times New Roman" w:hAnsi="Times New Roman" w:cs="Times New Roman"/>
                <w:caps w:val="0"/>
                <w:noProof/>
                <w:sz w:val="24"/>
                <w:szCs w:val="24"/>
              </w:rPr>
              <w:t>INTRODUCTION</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_Toc224237649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1</w:t>
            </w:r>
            <w:r w:rsidR="00A26AF8" w:rsidRPr="0038157E">
              <w:rPr>
                <w:rFonts w:ascii="Times New Roman" w:hAnsi="Times New Roman" w:cs="Times New Roman"/>
                <w:caps w:val="0"/>
                <w:noProof/>
                <w:webHidden/>
                <w:sz w:val="24"/>
                <w:szCs w:val="24"/>
              </w:rPr>
              <w:fldChar w:fldCharType="end"/>
            </w:r>
          </w:hyperlink>
        </w:p>
        <w:p w14:paraId="30439955" w14:textId="42461C71"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50" w:history="1">
            <w:r w:rsidR="00A26AF8" w:rsidRPr="0038157E">
              <w:rPr>
                <w:rStyle w:val="Hyperlink"/>
                <w:rFonts w:ascii="Times New Roman" w:eastAsia="Arial Unicode MS" w:hAnsi="Times New Roman" w:cs="Times New Roman"/>
                <w:smallCaps w:val="0"/>
                <w:noProof/>
                <w:sz w:val="24"/>
                <w:szCs w:val="24"/>
              </w:rPr>
              <w:t>1.1 Background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_Toc224237650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w:t>
            </w:r>
            <w:r w:rsidR="00A26AF8" w:rsidRPr="0038157E">
              <w:rPr>
                <w:rFonts w:ascii="Times New Roman" w:hAnsi="Times New Roman" w:cs="Times New Roman"/>
                <w:noProof/>
                <w:webHidden/>
                <w:sz w:val="24"/>
                <w:szCs w:val="24"/>
              </w:rPr>
              <w:fldChar w:fldCharType="end"/>
            </w:r>
          </w:hyperlink>
        </w:p>
        <w:p w14:paraId="2C5E0BE0" w14:textId="73BF3784" w:rsidR="00A26AF8" w:rsidRPr="0038157E" w:rsidRDefault="00451AD7" w:rsidP="000067B1">
          <w:pPr>
            <w:pStyle w:val="TOC3"/>
            <w:rPr>
              <w:rFonts w:eastAsiaTheme="minorEastAsia"/>
              <w:noProof/>
              <w:lang w:val="en-US"/>
            </w:rPr>
          </w:pPr>
          <w:hyperlink w:anchor="_Toc224237651" w:history="1">
            <w:r w:rsidR="00A26AF8" w:rsidRPr="0038157E">
              <w:rPr>
                <w:rStyle w:val="Hyperlink"/>
                <w:rFonts w:ascii="Times New Roman" w:hAnsi="Times New Roman" w:cs="Times New Roman"/>
                <w:i w:val="0"/>
                <w:noProof/>
                <w:sz w:val="24"/>
                <w:szCs w:val="24"/>
              </w:rPr>
              <w:t xml:space="preserve">1.1.1 Global Perspectives on Green Human Resource Management </w:t>
            </w:r>
            <w:r w:rsidR="004B0BEB" w:rsidRPr="0038157E">
              <w:rPr>
                <w:rStyle w:val="Hyperlink"/>
                <w:rFonts w:ascii="Times New Roman" w:hAnsi="Times New Roman" w:cs="Times New Roman"/>
                <w:i w:val="0"/>
                <w:noProof/>
                <w:sz w:val="24"/>
                <w:szCs w:val="24"/>
              </w:rPr>
              <w:t xml:space="preserve">Practices </w:t>
            </w:r>
            <w:r w:rsidR="00A26AF8" w:rsidRPr="0038157E">
              <w:rPr>
                <w:rStyle w:val="Hyperlink"/>
                <w:rFonts w:ascii="Times New Roman" w:hAnsi="Times New Roman" w:cs="Times New Roman"/>
                <w:i w:val="0"/>
                <w:noProof/>
                <w:sz w:val="24"/>
                <w:szCs w:val="24"/>
              </w:rPr>
              <w:t>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_Toc224237651 \h </w:instrText>
            </w:r>
            <w:r w:rsidR="00A26AF8" w:rsidRPr="0038157E">
              <w:rPr>
                <w:noProof/>
                <w:webHidden/>
              </w:rPr>
            </w:r>
            <w:r w:rsidR="00A26AF8" w:rsidRPr="0038157E">
              <w:rPr>
                <w:noProof/>
                <w:webHidden/>
              </w:rPr>
              <w:fldChar w:fldCharType="separate"/>
            </w:r>
            <w:r w:rsidR="000067B1">
              <w:rPr>
                <w:noProof/>
                <w:webHidden/>
              </w:rPr>
              <w:t>5</w:t>
            </w:r>
            <w:r w:rsidR="00A26AF8" w:rsidRPr="0038157E">
              <w:rPr>
                <w:noProof/>
                <w:webHidden/>
              </w:rPr>
              <w:fldChar w:fldCharType="end"/>
            </w:r>
          </w:hyperlink>
        </w:p>
        <w:p w14:paraId="2EFA5A7B" w14:textId="603EE29E" w:rsidR="00A26AF8" w:rsidRPr="0038157E" w:rsidRDefault="00451AD7" w:rsidP="000067B1">
          <w:pPr>
            <w:pStyle w:val="TOC3"/>
            <w:rPr>
              <w:rFonts w:eastAsiaTheme="minorEastAsia"/>
              <w:noProof/>
              <w:lang w:val="en-US"/>
            </w:rPr>
          </w:pPr>
          <w:hyperlink w:anchor="_Toc224237652" w:history="1">
            <w:r w:rsidR="00A26AF8" w:rsidRPr="0038157E">
              <w:rPr>
                <w:rStyle w:val="Hyperlink"/>
                <w:rFonts w:ascii="Times New Roman" w:hAnsi="Times New Roman" w:cs="Times New Roman"/>
                <w:i w:val="0"/>
                <w:noProof/>
                <w:sz w:val="24"/>
                <w:szCs w:val="24"/>
              </w:rPr>
              <w:t>1.1.2 Regional Perspective on Green Human Resource Management Practices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_Toc224237652 \h </w:instrText>
            </w:r>
            <w:r w:rsidR="00A26AF8" w:rsidRPr="0038157E">
              <w:rPr>
                <w:noProof/>
                <w:webHidden/>
              </w:rPr>
            </w:r>
            <w:r w:rsidR="00A26AF8" w:rsidRPr="0038157E">
              <w:rPr>
                <w:noProof/>
                <w:webHidden/>
              </w:rPr>
              <w:fldChar w:fldCharType="separate"/>
            </w:r>
            <w:r w:rsidR="000067B1">
              <w:rPr>
                <w:noProof/>
                <w:webHidden/>
              </w:rPr>
              <w:t>10</w:t>
            </w:r>
            <w:r w:rsidR="00A26AF8" w:rsidRPr="0038157E">
              <w:rPr>
                <w:noProof/>
                <w:webHidden/>
              </w:rPr>
              <w:fldChar w:fldCharType="end"/>
            </w:r>
          </w:hyperlink>
        </w:p>
        <w:p w14:paraId="556DECCF" w14:textId="6F8122EA" w:rsidR="00A26AF8" w:rsidRPr="0038157E" w:rsidRDefault="00451AD7" w:rsidP="000067B1">
          <w:pPr>
            <w:pStyle w:val="TOC3"/>
            <w:rPr>
              <w:rFonts w:eastAsiaTheme="minorEastAsia"/>
              <w:noProof/>
              <w:lang w:val="en-US"/>
            </w:rPr>
          </w:pPr>
          <w:hyperlink w:anchor="_Toc224237653" w:history="1">
            <w:r w:rsidR="00A26AF8" w:rsidRPr="0038157E">
              <w:rPr>
                <w:rStyle w:val="Hyperlink"/>
                <w:rFonts w:ascii="Times New Roman" w:hAnsi="Times New Roman" w:cs="Times New Roman"/>
                <w:i w:val="0"/>
                <w:noProof/>
                <w:sz w:val="24"/>
                <w:szCs w:val="24"/>
              </w:rPr>
              <w:t>1.1.3 Local Perspectives on Green Human Resource Management Practices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_Toc224237653 \h </w:instrText>
            </w:r>
            <w:r w:rsidR="00A26AF8" w:rsidRPr="0038157E">
              <w:rPr>
                <w:noProof/>
                <w:webHidden/>
              </w:rPr>
            </w:r>
            <w:r w:rsidR="00A26AF8" w:rsidRPr="0038157E">
              <w:rPr>
                <w:noProof/>
                <w:webHidden/>
              </w:rPr>
              <w:fldChar w:fldCharType="separate"/>
            </w:r>
            <w:r w:rsidR="000067B1">
              <w:rPr>
                <w:noProof/>
                <w:webHidden/>
              </w:rPr>
              <w:t>12</w:t>
            </w:r>
            <w:r w:rsidR="00A26AF8" w:rsidRPr="0038157E">
              <w:rPr>
                <w:noProof/>
                <w:webHidden/>
              </w:rPr>
              <w:fldChar w:fldCharType="end"/>
            </w:r>
          </w:hyperlink>
        </w:p>
        <w:p w14:paraId="7522B004" w14:textId="1064C6E2" w:rsidR="00A26AF8" w:rsidRPr="0038157E" w:rsidRDefault="00451AD7" w:rsidP="000067B1">
          <w:pPr>
            <w:pStyle w:val="TOC3"/>
            <w:rPr>
              <w:rFonts w:eastAsiaTheme="minorEastAsia"/>
              <w:noProof/>
              <w:lang w:val="en-US"/>
            </w:rPr>
          </w:pPr>
          <w:hyperlink w:anchor="_Toc224237654" w:history="1">
            <w:r w:rsidR="00A26AF8" w:rsidRPr="0038157E">
              <w:rPr>
                <w:rStyle w:val="Hyperlink"/>
                <w:rFonts w:ascii="Times New Roman" w:hAnsi="Times New Roman" w:cs="Times New Roman"/>
                <w:i w:val="0"/>
                <w:noProof/>
                <w:sz w:val="24"/>
                <w:szCs w:val="24"/>
              </w:rPr>
              <w:t>1.1.4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_Toc224237654 \h </w:instrText>
            </w:r>
            <w:r w:rsidR="00A26AF8" w:rsidRPr="0038157E">
              <w:rPr>
                <w:noProof/>
                <w:webHidden/>
              </w:rPr>
            </w:r>
            <w:r w:rsidR="00A26AF8" w:rsidRPr="0038157E">
              <w:rPr>
                <w:noProof/>
                <w:webHidden/>
              </w:rPr>
              <w:fldChar w:fldCharType="separate"/>
            </w:r>
            <w:r w:rsidR="000067B1">
              <w:rPr>
                <w:noProof/>
                <w:webHidden/>
              </w:rPr>
              <w:t>14</w:t>
            </w:r>
            <w:r w:rsidR="00A26AF8" w:rsidRPr="0038157E">
              <w:rPr>
                <w:noProof/>
                <w:webHidden/>
              </w:rPr>
              <w:fldChar w:fldCharType="end"/>
            </w:r>
          </w:hyperlink>
        </w:p>
        <w:p w14:paraId="4EC77C18" w14:textId="57AD111D"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55" w:history="1">
            <w:r w:rsidR="00A26AF8" w:rsidRPr="0038157E">
              <w:rPr>
                <w:rStyle w:val="Hyperlink"/>
                <w:rFonts w:ascii="Times New Roman" w:hAnsi="Times New Roman" w:cs="Times New Roman"/>
                <w:smallCaps w:val="0"/>
                <w:noProof/>
                <w:sz w:val="24"/>
                <w:szCs w:val="24"/>
              </w:rPr>
              <w:t xml:space="preserve">1.2 </w:t>
            </w:r>
            <w:r w:rsidR="00A26AF8" w:rsidRPr="0038157E">
              <w:rPr>
                <w:rStyle w:val="Hyperlink"/>
                <w:rFonts w:ascii="Times New Roman" w:eastAsia="Arial Unicode MS" w:hAnsi="Times New Roman" w:cs="Times New Roman"/>
                <w:smallCaps w:val="0"/>
                <w:noProof/>
                <w:sz w:val="24"/>
                <w:szCs w:val="24"/>
              </w:rPr>
              <w:t>Statement of the Problem</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_Toc224237655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16</w:t>
            </w:r>
            <w:r w:rsidR="00A26AF8" w:rsidRPr="0038157E">
              <w:rPr>
                <w:rFonts w:ascii="Times New Roman" w:hAnsi="Times New Roman" w:cs="Times New Roman"/>
                <w:noProof/>
                <w:webHidden/>
                <w:sz w:val="24"/>
                <w:szCs w:val="24"/>
              </w:rPr>
              <w:fldChar w:fldCharType="end"/>
            </w:r>
          </w:hyperlink>
        </w:p>
        <w:p w14:paraId="55F07B43" w14:textId="2C0CA096"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56" w:history="1">
            <w:r w:rsidR="00A26AF8" w:rsidRPr="0038157E">
              <w:rPr>
                <w:rStyle w:val="Hyperlink"/>
                <w:rFonts w:ascii="Times New Roman" w:hAnsi="Times New Roman" w:cs="Times New Roman"/>
                <w:smallCaps w:val="0"/>
                <w:noProof/>
                <w:sz w:val="24"/>
                <w:szCs w:val="24"/>
              </w:rPr>
              <w:t>1.3 Objectives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_Toc224237656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18</w:t>
            </w:r>
            <w:r w:rsidR="00A26AF8" w:rsidRPr="0038157E">
              <w:rPr>
                <w:rFonts w:ascii="Times New Roman" w:hAnsi="Times New Roman" w:cs="Times New Roman"/>
                <w:noProof/>
                <w:webHidden/>
                <w:sz w:val="24"/>
                <w:szCs w:val="24"/>
              </w:rPr>
              <w:fldChar w:fldCharType="end"/>
            </w:r>
          </w:hyperlink>
        </w:p>
        <w:p w14:paraId="05B58B51" w14:textId="3E8D6506" w:rsidR="00A26AF8" w:rsidRPr="0038157E" w:rsidRDefault="00451AD7" w:rsidP="000067B1">
          <w:pPr>
            <w:pStyle w:val="TOC3"/>
            <w:rPr>
              <w:rFonts w:eastAsiaTheme="minorEastAsia"/>
              <w:noProof/>
              <w:lang w:val="en-US"/>
            </w:rPr>
          </w:pPr>
          <w:hyperlink w:anchor="_Toc224237657" w:history="1">
            <w:r w:rsidR="00A26AF8" w:rsidRPr="0038157E">
              <w:rPr>
                <w:rStyle w:val="Hyperlink"/>
                <w:rFonts w:ascii="Times New Roman" w:hAnsi="Times New Roman" w:cs="Times New Roman"/>
                <w:i w:val="0"/>
                <w:noProof/>
                <w:sz w:val="24"/>
                <w:szCs w:val="24"/>
              </w:rPr>
              <w:t>1.3.1 General Objective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_Toc224237657 \h </w:instrText>
            </w:r>
            <w:r w:rsidR="00A26AF8" w:rsidRPr="0038157E">
              <w:rPr>
                <w:noProof/>
                <w:webHidden/>
              </w:rPr>
            </w:r>
            <w:r w:rsidR="00A26AF8" w:rsidRPr="0038157E">
              <w:rPr>
                <w:noProof/>
                <w:webHidden/>
              </w:rPr>
              <w:fldChar w:fldCharType="separate"/>
            </w:r>
            <w:r w:rsidR="000067B1">
              <w:rPr>
                <w:noProof/>
                <w:webHidden/>
              </w:rPr>
              <w:t>18</w:t>
            </w:r>
            <w:r w:rsidR="00A26AF8" w:rsidRPr="0038157E">
              <w:rPr>
                <w:noProof/>
                <w:webHidden/>
              </w:rPr>
              <w:fldChar w:fldCharType="end"/>
            </w:r>
          </w:hyperlink>
        </w:p>
        <w:p w14:paraId="20AE4AF7" w14:textId="7780CE18" w:rsidR="00A26AF8" w:rsidRPr="0038157E" w:rsidRDefault="00451AD7" w:rsidP="000067B1">
          <w:pPr>
            <w:pStyle w:val="TOC3"/>
            <w:rPr>
              <w:rFonts w:eastAsiaTheme="minorEastAsia"/>
              <w:noProof/>
              <w:lang w:val="en-US"/>
            </w:rPr>
          </w:pPr>
          <w:hyperlink w:anchor="_Toc224237658" w:history="1">
            <w:r w:rsidR="00A26AF8" w:rsidRPr="0038157E">
              <w:rPr>
                <w:rStyle w:val="Hyperlink"/>
                <w:rFonts w:ascii="Times New Roman" w:hAnsi="Times New Roman" w:cs="Times New Roman"/>
                <w:i w:val="0"/>
                <w:noProof/>
                <w:sz w:val="24"/>
                <w:szCs w:val="24"/>
              </w:rPr>
              <w:t>1.3.2 Specific Objectives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_Toc224237658 \h </w:instrText>
            </w:r>
            <w:r w:rsidR="00A26AF8" w:rsidRPr="0038157E">
              <w:rPr>
                <w:noProof/>
                <w:webHidden/>
              </w:rPr>
            </w:r>
            <w:r w:rsidR="00A26AF8" w:rsidRPr="0038157E">
              <w:rPr>
                <w:noProof/>
                <w:webHidden/>
              </w:rPr>
              <w:fldChar w:fldCharType="separate"/>
            </w:r>
            <w:r w:rsidR="000067B1">
              <w:rPr>
                <w:noProof/>
                <w:webHidden/>
              </w:rPr>
              <w:t>18</w:t>
            </w:r>
            <w:r w:rsidR="00A26AF8" w:rsidRPr="0038157E">
              <w:rPr>
                <w:noProof/>
                <w:webHidden/>
              </w:rPr>
              <w:fldChar w:fldCharType="end"/>
            </w:r>
          </w:hyperlink>
        </w:p>
        <w:p w14:paraId="597EA378" w14:textId="00D19AD3"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59" w:history="1">
            <w:r w:rsidR="00A26AF8" w:rsidRPr="0038157E">
              <w:rPr>
                <w:rStyle w:val="Hyperlink"/>
                <w:rFonts w:ascii="Times New Roman" w:hAnsi="Times New Roman" w:cs="Times New Roman"/>
                <w:smallCaps w:val="0"/>
                <w:noProof/>
                <w:sz w:val="24"/>
                <w:szCs w:val="24"/>
              </w:rPr>
              <w:t>1.4 Research Hypotheses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_Toc224237659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19</w:t>
            </w:r>
            <w:r w:rsidR="00A26AF8" w:rsidRPr="0038157E">
              <w:rPr>
                <w:rFonts w:ascii="Times New Roman" w:hAnsi="Times New Roman" w:cs="Times New Roman"/>
                <w:noProof/>
                <w:webHidden/>
                <w:sz w:val="24"/>
                <w:szCs w:val="24"/>
              </w:rPr>
              <w:fldChar w:fldCharType="end"/>
            </w:r>
          </w:hyperlink>
        </w:p>
        <w:p w14:paraId="6A522635" w14:textId="3546B9DF"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60" w:history="1">
            <w:r w:rsidR="00A26AF8" w:rsidRPr="0038157E">
              <w:rPr>
                <w:rStyle w:val="Hyperlink"/>
                <w:rFonts w:ascii="Times New Roman" w:hAnsi="Times New Roman" w:cs="Times New Roman"/>
                <w:smallCaps w:val="0"/>
                <w:noProof/>
                <w:sz w:val="24"/>
                <w:szCs w:val="24"/>
              </w:rPr>
              <w:t>1.5 Significance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_Toc224237660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19</w:t>
            </w:r>
            <w:r w:rsidR="00A26AF8" w:rsidRPr="0038157E">
              <w:rPr>
                <w:rFonts w:ascii="Times New Roman" w:hAnsi="Times New Roman" w:cs="Times New Roman"/>
                <w:noProof/>
                <w:webHidden/>
                <w:sz w:val="24"/>
                <w:szCs w:val="24"/>
              </w:rPr>
              <w:fldChar w:fldCharType="end"/>
            </w:r>
          </w:hyperlink>
        </w:p>
        <w:p w14:paraId="6C90A381" w14:textId="06174C04" w:rsidR="00A26AF8" w:rsidRPr="0038157E" w:rsidRDefault="00451AD7" w:rsidP="000067B1">
          <w:pPr>
            <w:pStyle w:val="TOC3"/>
            <w:rPr>
              <w:rFonts w:eastAsiaTheme="minorEastAsia"/>
              <w:noProof/>
              <w:lang w:val="en-US"/>
            </w:rPr>
          </w:pPr>
          <w:hyperlink w:anchor="_Toc224237661" w:history="1">
            <w:r w:rsidR="00A26AF8" w:rsidRPr="0038157E">
              <w:rPr>
                <w:rStyle w:val="Hyperlink"/>
                <w:rFonts w:ascii="Times New Roman" w:hAnsi="Times New Roman" w:cs="Times New Roman"/>
                <w:i w:val="0"/>
                <w:noProof/>
                <w:sz w:val="24"/>
                <w:szCs w:val="24"/>
                <w:lang w:bidi="th-TH"/>
              </w:rPr>
              <w:t>1.5.1 Managers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_Toc224237661 \h </w:instrText>
            </w:r>
            <w:r w:rsidR="00A26AF8" w:rsidRPr="0038157E">
              <w:rPr>
                <w:noProof/>
                <w:webHidden/>
              </w:rPr>
            </w:r>
            <w:r w:rsidR="00A26AF8" w:rsidRPr="0038157E">
              <w:rPr>
                <w:noProof/>
                <w:webHidden/>
              </w:rPr>
              <w:fldChar w:fldCharType="separate"/>
            </w:r>
            <w:r w:rsidR="000067B1">
              <w:rPr>
                <w:noProof/>
                <w:webHidden/>
              </w:rPr>
              <w:t>19</w:t>
            </w:r>
            <w:r w:rsidR="00A26AF8" w:rsidRPr="0038157E">
              <w:rPr>
                <w:noProof/>
                <w:webHidden/>
              </w:rPr>
              <w:fldChar w:fldCharType="end"/>
            </w:r>
          </w:hyperlink>
        </w:p>
        <w:p w14:paraId="03DD8D6B" w14:textId="7E2C35CB" w:rsidR="00A26AF8" w:rsidRPr="0038157E" w:rsidRDefault="00451AD7" w:rsidP="000067B1">
          <w:pPr>
            <w:pStyle w:val="TOC3"/>
            <w:rPr>
              <w:rFonts w:eastAsiaTheme="minorEastAsia"/>
              <w:noProof/>
              <w:lang w:val="en-US"/>
            </w:rPr>
          </w:pPr>
          <w:hyperlink w:anchor="_Toc224237662" w:history="1">
            <w:r w:rsidR="00A26AF8" w:rsidRPr="0038157E">
              <w:rPr>
                <w:rStyle w:val="Hyperlink"/>
                <w:rFonts w:ascii="Times New Roman" w:hAnsi="Times New Roman" w:cs="Times New Roman"/>
                <w:i w:val="0"/>
                <w:noProof/>
                <w:sz w:val="24"/>
                <w:szCs w:val="24"/>
                <w:lang w:bidi="th-TH"/>
              </w:rPr>
              <w:t>1.5.2 Scholars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_Toc224237662 \h </w:instrText>
            </w:r>
            <w:r w:rsidR="00A26AF8" w:rsidRPr="0038157E">
              <w:rPr>
                <w:noProof/>
                <w:webHidden/>
              </w:rPr>
            </w:r>
            <w:r w:rsidR="00A26AF8" w:rsidRPr="0038157E">
              <w:rPr>
                <w:noProof/>
                <w:webHidden/>
              </w:rPr>
              <w:fldChar w:fldCharType="separate"/>
            </w:r>
            <w:r w:rsidR="000067B1">
              <w:rPr>
                <w:noProof/>
                <w:webHidden/>
              </w:rPr>
              <w:t>20</w:t>
            </w:r>
            <w:r w:rsidR="00A26AF8" w:rsidRPr="0038157E">
              <w:rPr>
                <w:noProof/>
                <w:webHidden/>
              </w:rPr>
              <w:fldChar w:fldCharType="end"/>
            </w:r>
          </w:hyperlink>
        </w:p>
        <w:p w14:paraId="6586F798" w14:textId="7BF94E6D" w:rsidR="00A26AF8" w:rsidRPr="0038157E" w:rsidRDefault="0038157E" w:rsidP="0038157E">
          <w:pPr>
            <w:pStyle w:val="TOC2"/>
            <w:spacing w:before="100" w:after="100"/>
            <w:ind w:hanging="283"/>
            <w:jc w:val="both"/>
            <w:rPr>
              <w:rFonts w:ascii="Times New Roman" w:eastAsiaTheme="minorEastAsia" w:hAnsi="Times New Roman" w:cs="Times New Roman"/>
              <w:noProof/>
              <w:sz w:val="24"/>
              <w:szCs w:val="24"/>
              <w:lang w:val="en-US"/>
            </w:rPr>
          </w:pPr>
          <w:r>
            <w:rPr>
              <w:rStyle w:val="Hyperlink"/>
              <w:rFonts w:ascii="Times New Roman" w:hAnsi="Times New Roman" w:cs="Times New Roman"/>
              <w:smallCaps w:val="0"/>
              <w:noProof/>
              <w:sz w:val="24"/>
              <w:szCs w:val="24"/>
            </w:rPr>
            <w:t xml:space="preserve"> </w:t>
          </w:r>
          <w:hyperlink w:anchor="_Toc224237663" w:history="1">
            <w:r w:rsidR="00A26AF8" w:rsidRPr="0038157E">
              <w:rPr>
                <w:rStyle w:val="Hyperlink"/>
                <w:rFonts w:ascii="Times New Roman" w:hAnsi="Times New Roman" w:cs="Times New Roman"/>
                <w:smallCaps w:val="0"/>
                <w:noProof/>
                <w:sz w:val="24"/>
                <w:szCs w:val="24"/>
              </w:rPr>
              <w:t>1.5.3 Employees of Devolved healthcare Services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_Toc224237663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20</w:t>
            </w:r>
            <w:r w:rsidR="00A26AF8" w:rsidRPr="0038157E">
              <w:rPr>
                <w:rFonts w:ascii="Times New Roman" w:hAnsi="Times New Roman" w:cs="Times New Roman"/>
                <w:noProof/>
                <w:webHidden/>
                <w:sz w:val="24"/>
                <w:szCs w:val="24"/>
              </w:rPr>
              <w:fldChar w:fldCharType="end"/>
            </w:r>
          </w:hyperlink>
        </w:p>
        <w:p w14:paraId="05D56521" w14:textId="15FBF7F7" w:rsidR="00A26AF8" w:rsidRPr="0038157E" w:rsidRDefault="00451AD7" w:rsidP="000067B1">
          <w:pPr>
            <w:pStyle w:val="TOC3"/>
            <w:rPr>
              <w:rFonts w:eastAsiaTheme="minorEastAsia"/>
              <w:noProof/>
              <w:lang w:val="en-US"/>
            </w:rPr>
          </w:pPr>
          <w:hyperlink w:anchor="_Toc224237664" w:history="1">
            <w:r w:rsidR="00A26AF8" w:rsidRPr="0038157E">
              <w:rPr>
                <w:rStyle w:val="Hyperlink"/>
                <w:rFonts w:ascii="Times New Roman" w:hAnsi="Times New Roman" w:cs="Times New Roman"/>
                <w:i w:val="0"/>
                <w:noProof/>
                <w:sz w:val="24"/>
                <w:szCs w:val="24"/>
              </w:rPr>
              <w:t>1.5.4 Development Partners in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_Toc224237664 \h </w:instrText>
            </w:r>
            <w:r w:rsidR="00A26AF8" w:rsidRPr="0038157E">
              <w:rPr>
                <w:noProof/>
                <w:webHidden/>
              </w:rPr>
            </w:r>
            <w:r w:rsidR="00A26AF8" w:rsidRPr="0038157E">
              <w:rPr>
                <w:noProof/>
                <w:webHidden/>
              </w:rPr>
              <w:fldChar w:fldCharType="separate"/>
            </w:r>
            <w:r w:rsidR="000067B1">
              <w:rPr>
                <w:noProof/>
                <w:webHidden/>
              </w:rPr>
              <w:t>21</w:t>
            </w:r>
            <w:r w:rsidR="00A26AF8" w:rsidRPr="0038157E">
              <w:rPr>
                <w:noProof/>
                <w:webHidden/>
              </w:rPr>
              <w:fldChar w:fldCharType="end"/>
            </w:r>
          </w:hyperlink>
        </w:p>
        <w:p w14:paraId="66954D78" w14:textId="543ABC3D"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65" w:history="1">
            <w:r w:rsidR="00A26AF8" w:rsidRPr="0038157E">
              <w:rPr>
                <w:rStyle w:val="Hyperlink"/>
                <w:rFonts w:ascii="Times New Roman" w:hAnsi="Times New Roman" w:cs="Times New Roman"/>
                <w:smallCaps w:val="0"/>
                <w:noProof/>
                <w:sz w:val="24"/>
                <w:szCs w:val="24"/>
              </w:rPr>
              <w:t>1.6 Scope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_Toc224237665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21</w:t>
            </w:r>
            <w:r w:rsidR="00A26AF8" w:rsidRPr="0038157E">
              <w:rPr>
                <w:rFonts w:ascii="Times New Roman" w:hAnsi="Times New Roman" w:cs="Times New Roman"/>
                <w:noProof/>
                <w:webHidden/>
                <w:sz w:val="24"/>
                <w:szCs w:val="24"/>
              </w:rPr>
              <w:fldChar w:fldCharType="end"/>
            </w:r>
          </w:hyperlink>
        </w:p>
        <w:p w14:paraId="08C9F46D" w14:textId="6DB306DA"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66" w:history="1">
            <w:r w:rsidR="00A26AF8" w:rsidRPr="0038157E">
              <w:rPr>
                <w:rStyle w:val="Hyperlink"/>
                <w:rFonts w:ascii="Times New Roman" w:hAnsi="Times New Roman" w:cs="Times New Roman"/>
                <w:smallCaps w:val="0"/>
                <w:noProof/>
                <w:sz w:val="24"/>
                <w:szCs w:val="24"/>
              </w:rPr>
              <w:t>1.7 Limitations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_Toc224237666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22</w:t>
            </w:r>
            <w:r w:rsidR="00A26AF8" w:rsidRPr="0038157E">
              <w:rPr>
                <w:rFonts w:ascii="Times New Roman" w:hAnsi="Times New Roman" w:cs="Times New Roman"/>
                <w:noProof/>
                <w:webHidden/>
                <w:sz w:val="24"/>
                <w:szCs w:val="24"/>
              </w:rPr>
              <w:fldChar w:fldCharType="end"/>
            </w:r>
          </w:hyperlink>
        </w:p>
        <w:p w14:paraId="46B2A86E" w14:textId="522266DF"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67" w:history="1">
            <w:r w:rsidR="00A26AF8" w:rsidRPr="0038157E">
              <w:rPr>
                <w:rStyle w:val="Hyperlink"/>
                <w:rFonts w:ascii="Times New Roman" w:hAnsi="Times New Roman" w:cs="Times New Roman"/>
                <w:caps w:val="0"/>
                <w:noProof/>
                <w:sz w:val="24"/>
                <w:szCs w:val="24"/>
              </w:rPr>
              <w:t>CHAPTER TWO</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_Toc224237667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23</w:t>
            </w:r>
            <w:r w:rsidR="00A26AF8" w:rsidRPr="0038157E">
              <w:rPr>
                <w:rFonts w:ascii="Times New Roman" w:hAnsi="Times New Roman" w:cs="Times New Roman"/>
                <w:caps w:val="0"/>
                <w:noProof/>
                <w:webHidden/>
                <w:sz w:val="24"/>
                <w:szCs w:val="24"/>
              </w:rPr>
              <w:fldChar w:fldCharType="end"/>
            </w:r>
          </w:hyperlink>
        </w:p>
        <w:p w14:paraId="4EF44B98" w14:textId="731FFEED"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68" w:history="1">
            <w:r w:rsidR="00A26AF8" w:rsidRPr="0038157E">
              <w:rPr>
                <w:rStyle w:val="Hyperlink"/>
                <w:rFonts w:ascii="Times New Roman" w:hAnsi="Times New Roman" w:cs="Times New Roman"/>
                <w:caps w:val="0"/>
                <w:noProof/>
                <w:sz w:val="24"/>
                <w:szCs w:val="24"/>
              </w:rPr>
              <w:t>LITERATURE REVIEW</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_Toc224237668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23</w:t>
            </w:r>
            <w:r w:rsidR="00A26AF8" w:rsidRPr="0038157E">
              <w:rPr>
                <w:rFonts w:ascii="Times New Roman" w:hAnsi="Times New Roman" w:cs="Times New Roman"/>
                <w:caps w:val="0"/>
                <w:noProof/>
                <w:webHidden/>
                <w:sz w:val="24"/>
                <w:szCs w:val="24"/>
              </w:rPr>
              <w:fldChar w:fldCharType="end"/>
            </w:r>
          </w:hyperlink>
        </w:p>
        <w:p w14:paraId="0D04D293" w14:textId="2B35225E"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69" w:history="1">
            <w:r w:rsidR="00A26AF8" w:rsidRPr="0038157E">
              <w:rPr>
                <w:rStyle w:val="Hyperlink"/>
                <w:rFonts w:ascii="Times New Roman" w:hAnsi="Times New Roman" w:cs="Times New Roman"/>
                <w:smallCaps w:val="0"/>
                <w:noProof/>
                <w:sz w:val="24"/>
                <w:szCs w:val="24"/>
              </w:rPr>
              <w:t>2.1 Introduction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_Toc224237669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23</w:t>
            </w:r>
            <w:r w:rsidR="00A26AF8" w:rsidRPr="0038157E">
              <w:rPr>
                <w:rFonts w:ascii="Times New Roman" w:hAnsi="Times New Roman" w:cs="Times New Roman"/>
                <w:noProof/>
                <w:webHidden/>
                <w:sz w:val="24"/>
                <w:szCs w:val="24"/>
              </w:rPr>
              <w:fldChar w:fldCharType="end"/>
            </w:r>
          </w:hyperlink>
        </w:p>
        <w:p w14:paraId="0D0F0867" w14:textId="56EB8BF0"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70" w:history="1">
            <w:r w:rsidR="00A26AF8" w:rsidRPr="0038157E">
              <w:rPr>
                <w:rStyle w:val="Hyperlink"/>
                <w:rFonts w:ascii="Times New Roman" w:hAnsi="Times New Roman" w:cs="Times New Roman"/>
                <w:smallCaps w:val="0"/>
                <w:noProof/>
                <w:sz w:val="24"/>
                <w:szCs w:val="24"/>
              </w:rPr>
              <w:t>2.2 Theoretical Framework</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_Toc224237670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23</w:t>
            </w:r>
            <w:r w:rsidR="00A26AF8" w:rsidRPr="0038157E">
              <w:rPr>
                <w:rFonts w:ascii="Times New Roman" w:hAnsi="Times New Roman" w:cs="Times New Roman"/>
                <w:noProof/>
                <w:webHidden/>
                <w:sz w:val="24"/>
                <w:szCs w:val="24"/>
              </w:rPr>
              <w:fldChar w:fldCharType="end"/>
            </w:r>
          </w:hyperlink>
        </w:p>
        <w:p w14:paraId="14C21756" w14:textId="0A4A37AB" w:rsidR="00A26AF8" w:rsidRPr="0038157E" w:rsidRDefault="00451AD7" w:rsidP="000067B1">
          <w:pPr>
            <w:pStyle w:val="TOC3"/>
            <w:rPr>
              <w:rFonts w:eastAsiaTheme="minorEastAsia"/>
              <w:noProof/>
              <w:lang w:val="en-US"/>
            </w:rPr>
          </w:pPr>
          <w:hyperlink w:anchor="_Toc224237671" w:history="1">
            <w:r w:rsidR="00A26AF8" w:rsidRPr="0038157E">
              <w:rPr>
                <w:rStyle w:val="Hyperlink"/>
                <w:rFonts w:ascii="Times New Roman" w:hAnsi="Times New Roman" w:cs="Times New Roman"/>
                <w:i w:val="0"/>
                <w:noProof/>
                <w:sz w:val="24"/>
                <w:szCs w:val="24"/>
              </w:rPr>
              <w:t>2.2.1 Social Exchange Theory</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_Toc224237671 \h </w:instrText>
            </w:r>
            <w:r w:rsidR="00A26AF8" w:rsidRPr="0038157E">
              <w:rPr>
                <w:noProof/>
                <w:webHidden/>
              </w:rPr>
            </w:r>
            <w:r w:rsidR="00A26AF8" w:rsidRPr="0038157E">
              <w:rPr>
                <w:noProof/>
                <w:webHidden/>
              </w:rPr>
              <w:fldChar w:fldCharType="separate"/>
            </w:r>
            <w:r w:rsidR="000067B1">
              <w:rPr>
                <w:noProof/>
                <w:webHidden/>
              </w:rPr>
              <w:t>23</w:t>
            </w:r>
            <w:r w:rsidR="00A26AF8" w:rsidRPr="0038157E">
              <w:rPr>
                <w:noProof/>
                <w:webHidden/>
              </w:rPr>
              <w:fldChar w:fldCharType="end"/>
            </w:r>
          </w:hyperlink>
        </w:p>
        <w:p w14:paraId="7505EF64" w14:textId="3BE03038" w:rsidR="00A26AF8" w:rsidRPr="0038157E" w:rsidRDefault="00451AD7" w:rsidP="000067B1">
          <w:pPr>
            <w:pStyle w:val="TOC3"/>
            <w:rPr>
              <w:rFonts w:eastAsiaTheme="minorEastAsia"/>
              <w:noProof/>
              <w:lang w:val="en-US"/>
            </w:rPr>
          </w:pPr>
          <w:hyperlink w:anchor="_Toc224237672" w:history="1">
            <w:r w:rsidR="00A26AF8" w:rsidRPr="0038157E">
              <w:rPr>
                <w:rStyle w:val="Hyperlink"/>
                <w:rFonts w:ascii="Times New Roman" w:hAnsi="Times New Roman" w:cs="Times New Roman"/>
                <w:i w:val="0"/>
                <w:noProof/>
                <w:sz w:val="24"/>
                <w:szCs w:val="24"/>
              </w:rPr>
              <w:t>2.2.2 Human Capital Theory</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_Toc224237672 \h </w:instrText>
            </w:r>
            <w:r w:rsidR="00A26AF8" w:rsidRPr="0038157E">
              <w:rPr>
                <w:noProof/>
                <w:webHidden/>
              </w:rPr>
            </w:r>
            <w:r w:rsidR="00A26AF8" w:rsidRPr="0038157E">
              <w:rPr>
                <w:noProof/>
                <w:webHidden/>
              </w:rPr>
              <w:fldChar w:fldCharType="separate"/>
            </w:r>
            <w:r w:rsidR="000067B1">
              <w:rPr>
                <w:noProof/>
                <w:webHidden/>
              </w:rPr>
              <w:t>25</w:t>
            </w:r>
            <w:r w:rsidR="00A26AF8" w:rsidRPr="0038157E">
              <w:rPr>
                <w:noProof/>
                <w:webHidden/>
              </w:rPr>
              <w:fldChar w:fldCharType="end"/>
            </w:r>
          </w:hyperlink>
        </w:p>
        <w:p w14:paraId="7FBDD585" w14:textId="08B9A2A7" w:rsidR="00A26AF8" w:rsidRPr="0038157E" w:rsidRDefault="00451AD7" w:rsidP="000067B1">
          <w:pPr>
            <w:pStyle w:val="TOC3"/>
            <w:rPr>
              <w:rFonts w:eastAsiaTheme="minorEastAsia"/>
              <w:noProof/>
              <w:lang w:val="en-US"/>
            </w:rPr>
          </w:pPr>
          <w:hyperlink w:anchor="_Toc224237673" w:history="1">
            <w:r w:rsidR="00A26AF8" w:rsidRPr="0038157E">
              <w:rPr>
                <w:rStyle w:val="Hyperlink"/>
                <w:rFonts w:ascii="Times New Roman" w:hAnsi="Times New Roman" w:cs="Times New Roman"/>
                <w:i w:val="0"/>
                <w:noProof/>
                <w:sz w:val="24"/>
                <w:szCs w:val="24"/>
              </w:rPr>
              <w:t xml:space="preserve">2.2.3 Ability, Motivation, and Opportunity </w:t>
            </w:r>
            <w:r w:rsidR="0038157E" w:rsidRPr="0038157E">
              <w:rPr>
                <w:rStyle w:val="Hyperlink"/>
                <w:rFonts w:ascii="Times New Roman" w:hAnsi="Times New Roman" w:cs="Times New Roman"/>
                <w:i w:val="0"/>
                <w:noProof/>
                <w:sz w:val="24"/>
                <w:szCs w:val="24"/>
              </w:rPr>
              <w:t>Theory</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_Toc224237673 \h </w:instrText>
            </w:r>
            <w:r w:rsidR="00A26AF8" w:rsidRPr="0038157E">
              <w:rPr>
                <w:noProof/>
                <w:webHidden/>
              </w:rPr>
            </w:r>
            <w:r w:rsidR="00A26AF8" w:rsidRPr="0038157E">
              <w:rPr>
                <w:noProof/>
                <w:webHidden/>
              </w:rPr>
              <w:fldChar w:fldCharType="separate"/>
            </w:r>
            <w:r w:rsidR="000067B1">
              <w:rPr>
                <w:noProof/>
                <w:webHidden/>
              </w:rPr>
              <w:t>27</w:t>
            </w:r>
            <w:r w:rsidR="00A26AF8" w:rsidRPr="0038157E">
              <w:rPr>
                <w:noProof/>
                <w:webHidden/>
              </w:rPr>
              <w:fldChar w:fldCharType="end"/>
            </w:r>
          </w:hyperlink>
        </w:p>
        <w:p w14:paraId="30B55BCF" w14:textId="24265A1D" w:rsidR="00A26AF8" w:rsidRPr="0038157E" w:rsidRDefault="00451AD7" w:rsidP="000067B1">
          <w:pPr>
            <w:pStyle w:val="TOC3"/>
            <w:rPr>
              <w:rFonts w:eastAsiaTheme="minorEastAsia"/>
              <w:noProof/>
              <w:lang w:val="en-US"/>
            </w:rPr>
          </w:pPr>
          <w:hyperlink w:anchor="_Toc224237674" w:history="1">
            <w:r w:rsidR="00A26AF8" w:rsidRPr="0038157E">
              <w:rPr>
                <w:rStyle w:val="Hyperlink"/>
                <w:rFonts w:ascii="Times New Roman" w:hAnsi="Times New Roman" w:cs="Times New Roman"/>
                <w:i w:val="0"/>
                <w:noProof/>
                <w:sz w:val="24"/>
                <w:szCs w:val="24"/>
              </w:rPr>
              <w:t>2.2.4 Resource-Based Theory</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_Toc224237674 \h </w:instrText>
            </w:r>
            <w:r w:rsidR="00A26AF8" w:rsidRPr="0038157E">
              <w:rPr>
                <w:noProof/>
                <w:webHidden/>
              </w:rPr>
            </w:r>
            <w:r w:rsidR="00A26AF8" w:rsidRPr="0038157E">
              <w:rPr>
                <w:noProof/>
                <w:webHidden/>
              </w:rPr>
              <w:fldChar w:fldCharType="separate"/>
            </w:r>
            <w:r w:rsidR="000067B1">
              <w:rPr>
                <w:noProof/>
                <w:webHidden/>
              </w:rPr>
              <w:t>29</w:t>
            </w:r>
            <w:r w:rsidR="00A26AF8" w:rsidRPr="0038157E">
              <w:rPr>
                <w:noProof/>
                <w:webHidden/>
              </w:rPr>
              <w:fldChar w:fldCharType="end"/>
            </w:r>
          </w:hyperlink>
        </w:p>
        <w:p w14:paraId="388FDDDB" w14:textId="774BF9C4"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75" w:history="1">
            <w:r w:rsidR="00A26AF8" w:rsidRPr="0038157E">
              <w:rPr>
                <w:rStyle w:val="Hyperlink"/>
                <w:rFonts w:ascii="Times New Roman" w:hAnsi="Times New Roman" w:cs="Times New Roman"/>
                <w:smallCaps w:val="0"/>
                <w:noProof/>
                <w:sz w:val="24"/>
                <w:szCs w:val="24"/>
              </w:rPr>
              <w:t>2.3 Conceptual Framework</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_Toc224237675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31</w:t>
            </w:r>
            <w:r w:rsidR="00A26AF8" w:rsidRPr="0038157E">
              <w:rPr>
                <w:rFonts w:ascii="Times New Roman" w:hAnsi="Times New Roman" w:cs="Times New Roman"/>
                <w:noProof/>
                <w:webHidden/>
                <w:sz w:val="24"/>
                <w:szCs w:val="24"/>
              </w:rPr>
              <w:fldChar w:fldCharType="end"/>
            </w:r>
          </w:hyperlink>
        </w:p>
        <w:p w14:paraId="023EE33E" w14:textId="0902C43A" w:rsidR="00A26AF8" w:rsidRPr="0038157E" w:rsidRDefault="00451AD7" w:rsidP="000067B1">
          <w:pPr>
            <w:pStyle w:val="TOC3"/>
            <w:rPr>
              <w:rFonts w:eastAsiaTheme="minorEastAsia"/>
              <w:noProof/>
              <w:lang w:val="en-US"/>
            </w:rPr>
          </w:pPr>
          <w:hyperlink w:anchor="_Toc224237676" w:history="1">
            <w:r w:rsidR="00A26AF8" w:rsidRPr="0038157E">
              <w:rPr>
                <w:rStyle w:val="Hyperlink"/>
                <w:rFonts w:ascii="Times New Roman" w:hAnsi="Times New Roman" w:cs="Times New Roman"/>
                <w:i w:val="0"/>
                <w:noProof/>
                <w:sz w:val="24"/>
                <w:szCs w:val="24"/>
              </w:rPr>
              <w:t>2.3.1 Green Employee Resourcing</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_Toc224237676 \h </w:instrText>
            </w:r>
            <w:r w:rsidR="00A26AF8" w:rsidRPr="0038157E">
              <w:rPr>
                <w:noProof/>
                <w:webHidden/>
              </w:rPr>
            </w:r>
            <w:r w:rsidR="00A26AF8" w:rsidRPr="0038157E">
              <w:rPr>
                <w:noProof/>
                <w:webHidden/>
              </w:rPr>
              <w:fldChar w:fldCharType="separate"/>
            </w:r>
            <w:r w:rsidR="000067B1">
              <w:rPr>
                <w:noProof/>
                <w:webHidden/>
              </w:rPr>
              <w:t>32</w:t>
            </w:r>
            <w:r w:rsidR="00A26AF8" w:rsidRPr="0038157E">
              <w:rPr>
                <w:noProof/>
                <w:webHidden/>
              </w:rPr>
              <w:fldChar w:fldCharType="end"/>
            </w:r>
          </w:hyperlink>
        </w:p>
        <w:p w14:paraId="41A07C58" w14:textId="229B2103" w:rsidR="00A26AF8" w:rsidRPr="0038157E" w:rsidRDefault="00451AD7" w:rsidP="000067B1">
          <w:pPr>
            <w:pStyle w:val="TOC3"/>
            <w:rPr>
              <w:rFonts w:eastAsiaTheme="minorEastAsia"/>
              <w:noProof/>
              <w:lang w:val="en-US"/>
            </w:rPr>
          </w:pPr>
          <w:hyperlink w:anchor="_Toc224237677" w:history="1">
            <w:r w:rsidR="00A26AF8" w:rsidRPr="0038157E">
              <w:rPr>
                <w:rStyle w:val="Hyperlink"/>
                <w:rFonts w:ascii="Times New Roman" w:hAnsi="Times New Roman" w:cs="Times New Roman"/>
                <w:i w:val="0"/>
                <w:noProof/>
                <w:sz w:val="24"/>
                <w:szCs w:val="24"/>
              </w:rPr>
              <w:t>2.3.2 Green Training</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_Toc224237677 \h </w:instrText>
            </w:r>
            <w:r w:rsidR="00A26AF8" w:rsidRPr="0038157E">
              <w:rPr>
                <w:noProof/>
                <w:webHidden/>
              </w:rPr>
            </w:r>
            <w:r w:rsidR="00A26AF8" w:rsidRPr="0038157E">
              <w:rPr>
                <w:noProof/>
                <w:webHidden/>
              </w:rPr>
              <w:fldChar w:fldCharType="separate"/>
            </w:r>
            <w:r w:rsidR="000067B1">
              <w:rPr>
                <w:noProof/>
                <w:webHidden/>
              </w:rPr>
              <w:t>37</w:t>
            </w:r>
            <w:r w:rsidR="00A26AF8" w:rsidRPr="0038157E">
              <w:rPr>
                <w:noProof/>
                <w:webHidden/>
              </w:rPr>
              <w:fldChar w:fldCharType="end"/>
            </w:r>
          </w:hyperlink>
        </w:p>
        <w:p w14:paraId="44CF0600" w14:textId="257056B5" w:rsidR="00A26AF8" w:rsidRPr="0038157E" w:rsidRDefault="00451AD7" w:rsidP="000067B1">
          <w:pPr>
            <w:pStyle w:val="TOC3"/>
            <w:rPr>
              <w:rFonts w:eastAsiaTheme="minorEastAsia"/>
              <w:noProof/>
              <w:lang w:val="en-US"/>
            </w:rPr>
          </w:pPr>
          <w:hyperlink w:anchor="_Toc224237678" w:history="1">
            <w:r w:rsidR="00A26AF8" w:rsidRPr="0038157E">
              <w:rPr>
                <w:rStyle w:val="Hyperlink"/>
                <w:rFonts w:ascii="Times New Roman" w:hAnsi="Times New Roman" w:cs="Times New Roman"/>
                <w:i w:val="0"/>
                <w:noProof/>
                <w:sz w:val="24"/>
                <w:szCs w:val="24"/>
              </w:rPr>
              <w:t>2.3.3 Green Occupational Safety and Health</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_Toc224237678 \h </w:instrText>
            </w:r>
            <w:r w:rsidR="00A26AF8" w:rsidRPr="0038157E">
              <w:rPr>
                <w:noProof/>
                <w:webHidden/>
              </w:rPr>
            </w:r>
            <w:r w:rsidR="00A26AF8" w:rsidRPr="0038157E">
              <w:rPr>
                <w:noProof/>
                <w:webHidden/>
              </w:rPr>
              <w:fldChar w:fldCharType="separate"/>
            </w:r>
            <w:r w:rsidR="000067B1">
              <w:rPr>
                <w:noProof/>
                <w:webHidden/>
              </w:rPr>
              <w:t>44</w:t>
            </w:r>
            <w:r w:rsidR="00A26AF8" w:rsidRPr="0038157E">
              <w:rPr>
                <w:noProof/>
                <w:webHidden/>
              </w:rPr>
              <w:fldChar w:fldCharType="end"/>
            </w:r>
          </w:hyperlink>
        </w:p>
        <w:p w14:paraId="55260A29" w14:textId="02B3FB9E" w:rsidR="00A26AF8" w:rsidRPr="0038157E" w:rsidRDefault="00451AD7" w:rsidP="000067B1">
          <w:pPr>
            <w:pStyle w:val="TOC3"/>
            <w:rPr>
              <w:rFonts w:eastAsiaTheme="minorEastAsia"/>
              <w:noProof/>
              <w:lang w:val="en-US"/>
            </w:rPr>
          </w:pPr>
          <w:hyperlink w:anchor="_Toc224237679" w:history="1">
            <w:r w:rsidR="00A26AF8" w:rsidRPr="0038157E">
              <w:rPr>
                <w:rStyle w:val="Hyperlink"/>
                <w:rFonts w:ascii="Times New Roman" w:hAnsi="Times New Roman" w:cs="Times New Roman"/>
                <w:i w:val="0"/>
                <w:noProof/>
                <w:sz w:val="24"/>
                <w:szCs w:val="24"/>
              </w:rPr>
              <w:t>2.3.4 Green Performance Evaluation</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_Toc224237679 \h </w:instrText>
            </w:r>
            <w:r w:rsidR="00A26AF8" w:rsidRPr="0038157E">
              <w:rPr>
                <w:noProof/>
                <w:webHidden/>
              </w:rPr>
            </w:r>
            <w:r w:rsidR="00A26AF8" w:rsidRPr="0038157E">
              <w:rPr>
                <w:noProof/>
                <w:webHidden/>
              </w:rPr>
              <w:fldChar w:fldCharType="separate"/>
            </w:r>
            <w:r w:rsidR="000067B1">
              <w:rPr>
                <w:noProof/>
                <w:webHidden/>
              </w:rPr>
              <w:t>49</w:t>
            </w:r>
            <w:r w:rsidR="00A26AF8" w:rsidRPr="0038157E">
              <w:rPr>
                <w:noProof/>
                <w:webHidden/>
              </w:rPr>
              <w:fldChar w:fldCharType="end"/>
            </w:r>
          </w:hyperlink>
        </w:p>
        <w:p w14:paraId="2F60B0C5" w14:textId="23C612B4" w:rsidR="00A26AF8" w:rsidRPr="0038157E" w:rsidRDefault="00451AD7" w:rsidP="000067B1">
          <w:pPr>
            <w:pStyle w:val="TOC3"/>
            <w:rPr>
              <w:rFonts w:eastAsiaTheme="minorEastAsia"/>
              <w:noProof/>
              <w:lang w:val="en-US"/>
            </w:rPr>
          </w:pPr>
          <w:hyperlink w:anchor="_Toc224237680" w:history="1">
            <w:r w:rsidR="00A26AF8" w:rsidRPr="0038157E">
              <w:rPr>
                <w:rStyle w:val="Hyperlink"/>
                <w:rFonts w:ascii="Times New Roman" w:hAnsi="Times New Roman" w:cs="Times New Roman"/>
                <w:i w:val="0"/>
                <w:noProof/>
                <w:sz w:val="24"/>
                <w:szCs w:val="24"/>
              </w:rPr>
              <w:t>2.3.5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_Toc224237680 \h </w:instrText>
            </w:r>
            <w:r w:rsidR="00A26AF8" w:rsidRPr="0038157E">
              <w:rPr>
                <w:noProof/>
                <w:webHidden/>
              </w:rPr>
            </w:r>
            <w:r w:rsidR="00A26AF8" w:rsidRPr="0038157E">
              <w:rPr>
                <w:noProof/>
                <w:webHidden/>
              </w:rPr>
              <w:fldChar w:fldCharType="separate"/>
            </w:r>
            <w:r w:rsidR="000067B1">
              <w:rPr>
                <w:noProof/>
                <w:webHidden/>
              </w:rPr>
              <w:t>52</w:t>
            </w:r>
            <w:r w:rsidR="00A26AF8" w:rsidRPr="0038157E">
              <w:rPr>
                <w:noProof/>
                <w:webHidden/>
              </w:rPr>
              <w:fldChar w:fldCharType="end"/>
            </w:r>
          </w:hyperlink>
        </w:p>
        <w:p w14:paraId="2B6A424B" w14:textId="3B82B60C" w:rsidR="00A26AF8" w:rsidRPr="0038157E" w:rsidRDefault="00451AD7" w:rsidP="000067B1">
          <w:pPr>
            <w:pStyle w:val="TOC3"/>
            <w:rPr>
              <w:rFonts w:eastAsiaTheme="minorEastAsia"/>
              <w:noProof/>
              <w:lang w:val="en-US"/>
            </w:rPr>
          </w:pPr>
          <w:hyperlink w:anchor="_Toc224237681" w:history="1">
            <w:r w:rsidR="00A26AF8" w:rsidRPr="0038157E">
              <w:rPr>
                <w:rStyle w:val="Hyperlink"/>
                <w:rFonts w:ascii="Times New Roman" w:hAnsi="Times New Roman" w:cs="Times New Roman"/>
                <w:i w:val="0"/>
                <w:noProof/>
                <w:sz w:val="24"/>
                <w:szCs w:val="24"/>
              </w:rPr>
              <w:t>2.3.6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_Toc224237681 \h </w:instrText>
            </w:r>
            <w:r w:rsidR="00A26AF8" w:rsidRPr="0038157E">
              <w:rPr>
                <w:noProof/>
                <w:webHidden/>
              </w:rPr>
            </w:r>
            <w:r w:rsidR="00A26AF8" w:rsidRPr="0038157E">
              <w:rPr>
                <w:noProof/>
                <w:webHidden/>
              </w:rPr>
              <w:fldChar w:fldCharType="separate"/>
            </w:r>
            <w:r w:rsidR="000067B1">
              <w:rPr>
                <w:noProof/>
                <w:webHidden/>
              </w:rPr>
              <w:t>56</w:t>
            </w:r>
            <w:r w:rsidR="00A26AF8" w:rsidRPr="0038157E">
              <w:rPr>
                <w:noProof/>
                <w:webHidden/>
              </w:rPr>
              <w:fldChar w:fldCharType="end"/>
            </w:r>
          </w:hyperlink>
        </w:p>
        <w:p w14:paraId="267E1116" w14:textId="698EC5BD"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82" w:history="1">
            <w:r w:rsidR="00A26AF8" w:rsidRPr="0038157E">
              <w:rPr>
                <w:rStyle w:val="Hyperlink"/>
                <w:rFonts w:ascii="Times New Roman" w:hAnsi="Times New Roman" w:cs="Times New Roman"/>
                <w:smallCaps w:val="0"/>
                <w:noProof/>
                <w:sz w:val="24"/>
                <w:szCs w:val="24"/>
              </w:rPr>
              <w:t>2.4 Empirical Review</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_Toc224237682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64</w:t>
            </w:r>
            <w:r w:rsidR="00A26AF8" w:rsidRPr="0038157E">
              <w:rPr>
                <w:rFonts w:ascii="Times New Roman" w:hAnsi="Times New Roman" w:cs="Times New Roman"/>
                <w:noProof/>
                <w:webHidden/>
                <w:sz w:val="24"/>
                <w:szCs w:val="24"/>
              </w:rPr>
              <w:fldChar w:fldCharType="end"/>
            </w:r>
          </w:hyperlink>
        </w:p>
        <w:p w14:paraId="4D624AAA" w14:textId="140030BE" w:rsidR="00A26AF8" w:rsidRPr="0038157E" w:rsidRDefault="00451AD7" w:rsidP="000067B1">
          <w:pPr>
            <w:pStyle w:val="TOC3"/>
            <w:rPr>
              <w:rFonts w:eastAsiaTheme="minorEastAsia"/>
              <w:noProof/>
              <w:lang w:val="en-US"/>
            </w:rPr>
          </w:pPr>
          <w:hyperlink w:anchor="_Toc224237683" w:history="1">
            <w:r w:rsidR="00A26AF8" w:rsidRPr="0038157E">
              <w:rPr>
                <w:rStyle w:val="Hyperlink"/>
                <w:rFonts w:ascii="Times New Roman" w:hAnsi="Times New Roman" w:cs="Times New Roman"/>
                <w:i w:val="0"/>
                <w:noProof/>
                <w:sz w:val="24"/>
                <w:szCs w:val="24"/>
              </w:rPr>
              <w:t>2.4.1 Green Employee Resourcing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_Toc224237683 \h </w:instrText>
            </w:r>
            <w:r w:rsidR="00A26AF8" w:rsidRPr="0038157E">
              <w:rPr>
                <w:noProof/>
                <w:webHidden/>
              </w:rPr>
            </w:r>
            <w:r w:rsidR="00A26AF8" w:rsidRPr="0038157E">
              <w:rPr>
                <w:noProof/>
                <w:webHidden/>
              </w:rPr>
              <w:fldChar w:fldCharType="separate"/>
            </w:r>
            <w:r w:rsidR="000067B1">
              <w:rPr>
                <w:noProof/>
                <w:webHidden/>
              </w:rPr>
              <w:t>64</w:t>
            </w:r>
            <w:r w:rsidR="00A26AF8" w:rsidRPr="0038157E">
              <w:rPr>
                <w:noProof/>
                <w:webHidden/>
              </w:rPr>
              <w:fldChar w:fldCharType="end"/>
            </w:r>
          </w:hyperlink>
        </w:p>
        <w:p w14:paraId="4ED73526" w14:textId="6161FD37" w:rsidR="00A26AF8" w:rsidRPr="0038157E" w:rsidRDefault="00451AD7" w:rsidP="000067B1">
          <w:pPr>
            <w:pStyle w:val="TOC3"/>
            <w:rPr>
              <w:rFonts w:eastAsiaTheme="minorEastAsia"/>
              <w:noProof/>
              <w:lang w:val="en-US"/>
            </w:rPr>
          </w:pPr>
          <w:hyperlink w:anchor="_Toc224237684" w:history="1">
            <w:r w:rsidR="00A26AF8" w:rsidRPr="0038157E">
              <w:rPr>
                <w:rStyle w:val="Hyperlink"/>
                <w:rFonts w:ascii="Times New Roman" w:hAnsi="Times New Roman" w:cs="Times New Roman"/>
                <w:i w:val="0"/>
                <w:noProof/>
                <w:sz w:val="24"/>
                <w:szCs w:val="24"/>
              </w:rPr>
              <w:t>2.4.2 Green Training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_Toc224237684 \h </w:instrText>
            </w:r>
            <w:r w:rsidR="00A26AF8" w:rsidRPr="0038157E">
              <w:rPr>
                <w:noProof/>
                <w:webHidden/>
              </w:rPr>
            </w:r>
            <w:r w:rsidR="00A26AF8" w:rsidRPr="0038157E">
              <w:rPr>
                <w:noProof/>
                <w:webHidden/>
              </w:rPr>
              <w:fldChar w:fldCharType="separate"/>
            </w:r>
            <w:r w:rsidR="000067B1">
              <w:rPr>
                <w:noProof/>
                <w:webHidden/>
              </w:rPr>
              <w:t>69</w:t>
            </w:r>
            <w:r w:rsidR="00A26AF8" w:rsidRPr="0038157E">
              <w:rPr>
                <w:noProof/>
                <w:webHidden/>
              </w:rPr>
              <w:fldChar w:fldCharType="end"/>
            </w:r>
          </w:hyperlink>
        </w:p>
        <w:p w14:paraId="311EC108" w14:textId="063B69A9" w:rsidR="00A26AF8" w:rsidRPr="0038157E" w:rsidRDefault="00451AD7" w:rsidP="000067B1">
          <w:pPr>
            <w:pStyle w:val="TOC3"/>
            <w:rPr>
              <w:rFonts w:eastAsiaTheme="minorEastAsia"/>
              <w:noProof/>
              <w:lang w:val="en-US"/>
            </w:rPr>
          </w:pPr>
          <w:hyperlink w:anchor="_Toc224237685" w:history="1">
            <w:r w:rsidR="00A26AF8" w:rsidRPr="0038157E">
              <w:rPr>
                <w:rStyle w:val="Hyperlink"/>
                <w:rFonts w:ascii="Times New Roman" w:hAnsi="Times New Roman" w:cs="Times New Roman"/>
                <w:i w:val="0"/>
                <w:noProof/>
                <w:sz w:val="24"/>
                <w:szCs w:val="24"/>
              </w:rPr>
              <w:t>2.4.3 Green Occupational Safety and Health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_Toc224237685 \h </w:instrText>
            </w:r>
            <w:r w:rsidR="00A26AF8" w:rsidRPr="0038157E">
              <w:rPr>
                <w:noProof/>
                <w:webHidden/>
              </w:rPr>
            </w:r>
            <w:r w:rsidR="00A26AF8" w:rsidRPr="0038157E">
              <w:rPr>
                <w:noProof/>
                <w:webHidden/>
              </w:rPr>
              <w:fldChar w:fldCharType="separate"/>
            </w:r>
            <w:r w:rsidR="000067B1">
              <w:rPr>
                <w:noProof/>
                <w:webHidden/>
              </w:rPr>
              <w:t>73</w:t>
            </w:r>
            <w:r w:rsidR="00A26AF8" w:rsidRPr="0038157E">
              <w:rPr>
                <w:noProof/>
                <w:webHidden/>
              </w:rPr>
              <w:fldChar w:fldCharType="end"/>
            </w:r>
          </w:hyperlink>
        </w:p>
        <w:p w14:paraId="03E01BAA" w14:textId="08F382CB" w:rsidR="00A26AF8" w:rsidRPr="0038157E" w:rsidRDefault="00451AD7" w:rsidP="000067B1">
          <w:pPr>
            <w:pStyle w:val="TOC3"/>
            <w:rPr>
              <w:rFonts w:eastAsiaTheme="minorEastAsia"/>
              <w:noProof/>
              <w:lang w:val="en-US"/>
            </w:rPr>
          </w:pPr>
          <w:hyperlink w:anchor="_Toc224237686" w:history="1">
            <w:r w:rsidR="00A26AF8" w:rsidRPr="0038157E">
              <w:rPr>
                <w:rStyle w:val="Hyperlink"/>
                <w:rFonts w:ascii="Times New Roman" w:hAnsi="Times New Roman" w:cs="Times New Roman"/>
                <w:i w:val="0"/>
                <w:noProof/>
                <w:sz w:val="24"/>
                <w:szCs w:val="24"/>
              </w:rPr>
              <w:t>2.4.4 Green Performance Evaluation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_Toc224237686 \h </w:instrText>
            </w:r>
            <w:r w:rsidR="00A26AF8" w:rsidRPr="0038157E">
              <w:rPr>
                <w:noProof/>
                <w:webHidden/>
              </w:rPr>
            </w:r>
            <w:r w:rsidR="00A26AF8" w:rsidRPr="0038157E">
              <w:rPr>
                <w:noProof/>
                <w:webHidden/>
              </w:rPr>
              <w:fldChar w:fldCharType="separate"/>
            </w:r>
            <w:r w:rsidR="000067B1">
              <w:rPr>
                <w:noProof/>
                <w:webHidden/>
              </w:rPr>
              <w:t>74</w:t>
            </w:r>
            <w:r w:rsidR="00A26AF8" w:rsidRPr="0038157E">
              <w:rPr>
                <w:noProof/>
                <w:webHidden/>
              </w:rPr>
              <w:fldChar w:fldCharType="end"/>
            </w:r>
          </w:hyperlink>
        </w:p>
        <w:p w14:paraId="4791EE5F" w14:textId="6BF61BD0"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87" w:history="1">
            <w:r w:rsidR="00A26AF8" w:rsidRPr="0038157E">
              <w:rPr>
                <w:rStyle w:val="Hyperlink"/>
                <w:rFonts w:ascii="Times New Roman" w:hAnsi="Times New Roman" w:cs="Times New Roman"/>
                <w:smallCaps w:val="0"/>
                <w:noProof/>
                <w:sz w:val="24"/>
                <w:szCs w:val="24"/>
              </w:rPr>
              <w:t>2.5 Critique of the Existing Literature Reviewed</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_Toc224237687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77</w:t>
            </w:r>
            <w:r w:rsidR="00A26AF8" w:rsidRPr="0038157E">
              <w:rPr>
                <w:rFonts w:ascii="Times New Roman" w:hAnsi="Times New Roman" w:cs="Times New Roman"/>
                <w:noProof/>
                <w:webHidden/>
                <w:sz w:val="24"/>
                <w:szCs w:val="24"/>
              </w:rPr>
              <w:fldChar w:fldCharType="end"/>
            </w:r>
          </w:hyperlink>
        </w:p>
        <w:p w14:paraId="44729365" w14:textId="2F376DAE"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88" w:history="1">
            <w:r w:rsidR="00A26AF8" w:rsidRPr="0038157E">
              <w:rPr>
                <w:rStyle w:val="Hyperlink"/>
                <w:rFonts w:ascii="Times New Roman" w:hAnsi="Times New Roman" w:cs="Times New Roman"/>
                <w:smallCaps w:val="0"/>
                <w:noProof/>
                <w:sz w:val="24"/>
                <w:szCs w:val="24"/>
              </w:rPr>
              <w:t>2.6 Research Gaps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_Toc224237688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79</w:t>
            </w:r>
            <w:r w:rsidR="00A26AF8" w:rsidRPr="0038157E">
              <w:rPr>
                <w:rFonts w:ascii="Times New Roman" w:hAnsi="Times New Roman" w:cs="Times New Roman"/>
                <w:noProof/>
                <w:webHidden/>
                <w:sz w:val="24"/>
                <w:szCs w:val="24"/>
              </w:rPr>
              <w:fldChar w:fldCharType="end"/>
            </w:r>
          </w:hyperlink>
        </w:p>
        <w:p w14:paraId="7A8D5E35" w14:textId="4763F338"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89" w:history="1">
            <w:r w:rsidR="00A26AF8" w:rsidRPr="0038157E">
              <w:rPr>
                <w:rStyle w:val="Hyperlink"/>
                <w:rFonts w:ascii="Times New Roman" w:hAnsi="Times New Roman" w:cs="Times New Roman"/>
                <w:smallCaps w:val="0"/>
                <w:noProof/>
                <w:sz w:val="24"/>
                <w:szCs w:val="24"/>
              </w:rPr>
              <w:t>2.7 Summary of Literature Reviewed</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_Toc224237689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80</w:t>
            </w:r>
            <w:r w:rsidR="00A26AF8" w:rsidRPr="0038157E">
              <w:rPr>
                <w:rFonts w:ascii="Times New Roman" w:hAnsi="Times New Roman" w:cs="Times New Roman"/>
                <w:noProof/>
                <w:webHidden/>
                <w:sz w:val="24"/>
                <w:szCs w:val="24"/>
              </w:rPr>
              <w:fldChar w:fldCharType="end"/>
            </w:r>
          </w:hyperlink>
        </w:p>
        <w:p w14:paraId="1C641343" w14:textId="241F7391"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90" w:history="1">
            <w:r w:rsidR="00A26AF8" w:rsidRPr="0038157E">
              <w:rPr>
                <w:rStyle w:val="Hyperlink"/>
                <w:rFonts w:ascii="Times New Roman" w:hAnsi="Times New Roman" w:cs="Times New Roman"/>
                <w:caps w:val="0"/>
                <w:noProof/>
                <w:sz w:val="24"/>
                <w:szCs w:val="24"/>
              </w:rPr>
              <w:t>CHAPTER THREE</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_Toc224237690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82</w:t>
            </w:r>
            <w:r w:rsidR="00A26AF8" w:rsidRPr="0038157E">
              <w:rPr>
                <w:rFonts w:ascii="Times New Roman" w:hAnsi="Times New Roman" w:cs="Times New Roman"/>
                <w:caps w:val="0"/>
                <w:noProof/>
                <w:webHidden/>
                <w:sz w:val="24"/>
                <w:szCs w:val="24"/>
              </w:rPr>
              <w:fldChar w:fldCharType="end"/>
            </w:r>
          </w:hyperlink>
        </w:p>
        <w:p w14:paraId="4643BC7E" w14:textId="6D6C252D"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691" w:history="1">
            <w:r w:rsidR="00A26AF8" w:rsidRPr="0038157E">
              <w:rPr>
                <w:rStyle w:val="Hyperlink"/>
                <w:rFonts w:ascii="Times New Roman" w:hAnsi="Times New Roman" w:cs="Times New Roman"/>
                <w:caps w:val="0"/>
                <w:noProof/>
                <w:sz w:val="24"/>
                <w:szCs w:val="24"/>
              </w:rPr>
              <w:t>RESEARCH METHODOLOGY</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_Toc224237691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82</w:t>
            </w:r>
            <w:r w:rsidR="00A26AF8" w:rsidRPr="0038157E">
              <w:rPr>
                <w:rFonts w:ascii="Times New Roman" w:hAnsi="Times New Roman" w:cs="Times New Roman"/>
                <w:caps w:val="0"/>
                <w:noProof/>
                <w:webHidden/>
                <w:sz w:val="24"/>
                <w:szCs w:val="24"/>
              </w:rPr>
              <w:fldChar w:fldCharType="end"/>
            </w:r>
          </w:hyperlink>
        </w:p>
        <w:p w14:paraId="2FA30EBB" w14:textId="324488FF"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2" w:history="1">
            <w:r w:rsidR="00A26AF8" w:rsidRPr="0038157E">
              <w:rPr>
                <w:rStyle w:val="Hyperlink"/>
                <w:rFonts w:ascii="Times New Roman" w:hAnsi="Times New Roman" w:cs="Times New Roman"/>
                <w:smallCaps w:val="0"/>
                <w:noProof/>
                <w:sz w:val="24"/>
                <w:szCs w:val="24"/>
              </w:rPr>
              <w:t>3.1 Introduction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_Toc224237692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82</w:t>
            </w:r>
            <w:r w:rsidR="00A26AF8" w:rsidRPr="0038157E">
              <w:rPr>
                <w:rFonts w:ascii="Times New Roman" w:hAnsi="Times New Roman" w:cs="Times New Roman"/>
                <w:noProof/>
                <w:webHidden/>
                <w:sz w:val="24"/>
                <w:szCs w:val="24"/>
              </w:rPr>
              <w:fldChar w:fldCharType="end"/>
            </w:r>
          </w:hyperlink>
        </w:p>
        <w:p w14:paraId="1D78F76C" w14:textId="0DF5DC41"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3" w:history="1">
            <w:r w:rsidR="00A26AF8" w:rsidRPr="0038157E">
              <w:rPr>
                <w:rStyle w:val="Hyperlink"/>
                <w:rFonts w:ascii="Times New Roman" w:hAnsi="Times New Roman" w:cs="Times New Roman"/>
                <w:smallCaps w:val="0"/>
                <w:noProof/>
                <w:sz w:val="24"/>
                <w:szCs w:val="24"/>
              </w:rPr>
              <w:t>3.2 Research Philosophy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_Toc224237693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82</w:t>
            </w:r>
            <w:r w:rsidR="00A26AF8" w:rsidRPr="0038157E">
              <w:rPr>
                <w:rFonts w:ascii="Times New Roman" w:hAnsi="Times New Roman" w:cs="Times New Roman"/>
                <w:noProof/>
                <w:webHidden/>
                <w:sz w:val="24"/>
                <w:szCs w:val="24"/>
              </w:rPr>
              <w:fldChar w:fldCharType="end"/>
            </w:r>
          </w:hyperlink>
        </w:p>
        <w:p w14:paraId="44B8BBC2" w14:textId="6257C75B"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4" w:history="1">
            <w:r w:rsidR="00A26AF8" w:rsidRPr="0038157E">
              <w:rPr>
                <w:rStyle w:val="Hyperlink"/>
                <w:rFonts w:ascii="Times New Roman" w:hAnsi="Times New Roman" w:cs="Times New Roman"/>
                <w:smallCaps w:val="0"/>
                <w:noProof/>
                <w:sz w:val="24"/>
                <w:szCs w:val="24"/>
              </w:rPr>
              <w:t>3.3 Research Design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_Toc224237694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83</w:t>
            </w:r>
            <w:r w:rsidR="00A26AF8" w:rsidRPr="0038157E">
              <w:rPr>
                <w:rFonts w:ascii="Times New Roman" w:hAnsi="Times New Roman" w:cs="Times New Roman"/>
                <w:noProof/>
                <w:webHidden/>
                <w:sz w:val="24"/>
                <w:szCs w:val="24"/>
              </w:rPr>
              <w:fldChar w:fldCharType="end"/>
            </w:r>
          </w:hyperlink>
        </w:p>
        <w:p w14:paraId="7E07CCED" w14:textId="1CE80F27"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5" w:history="1">
            <w:r w:rsidR="00A26AF8" w:rsidRPr="0038157E">
              <w:rPr>
                <w:rStyle w:val="Hyperlink"/>
                <w:rFonts w:ascii="Times New Roman" w:hAnsi="Times New Roman" w:cs="Times New Roman"/>
                <w:smallCaps w:val="0"/>
                <w:noProof/>
                <w:sz w:val="24"/>
                <w:szCs w:val="24"/>
              </w:rPr>
              <w:t>3.4 Target Population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_Toc224237695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84</w:t>
            </w:r>
            <w:r w:rsidR="00A26AF8" w:rsidRPr="0038157E">
              <w:rPr>
                <w:rFonts w:ascii="Times New Roman" w:hAnsi="Times New Roman" w:cs="Times New Roman"/>
                <w:noProof/>
                <w:webHidden/>
                <w:sz w:val="24"/>
                <w:szCs w:val="24"/>
              </w:rPr>
              <w:fldChar w:fldCharType="end"/>
            </w:r>
          </w:hyperlink>
        </w:p>
        <w:p w14:paraId="0C4D9CEF" w14:textId="4528D8C4"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6" w:history="1">
            <w:r w:rsidR="00A26AF8" w:rsidRPr="0038157E">
              <w:rPr>
                <w:rStyle w:val="Hyperlink"/>
                <w:rFonts w:ascii="Times New Roman" w:hAnsi="Times New Roman" w:cs="Times New Roman"/>
                <w:smallCaps w:val="0"/>
                <w:noProof/>
                <w:sz w:val="24"/>
                <w:szCs w:val="24"/>
              </w:rPr>
              <w:t>3.5 Sampling Frame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_Toc224237696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84</w:t>
            </w:r>
            <w:r w:rsidR="00A26AF8" w:rsidRPr="0038157E">
              <w:rPr>
                <w:rFonts w:ascii="Times New Roman" w:hAnsi="Times New Roman" w:cs="Times New Roman"/>
                <w:noProof/>
                <w:webHidden/>
                <w:sz w:val="24"/>
                <w:szCs w:val="24"/>
              </w:rPr>
              <w:fldChar w:fldCharType="end"/>
            </w:r>
          </w:hyperlink>
        </w:p>
        <w:p w14:paraId="188A219E" w14:textId="5F6D797A"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697" w:history="1">
            <w:r w:rsidR="00A26AF8" w:rsidRPr="0038157E">
              <w:rPr>
                <w:rStyle w:val="Hyperlink"/>
                <w:rFonts w:ascii="Times New Roman" w:hAnsi="Times New Roman" w:cs="Times New Roman"/>
                <w:smallCaps w:val="0"/>
                <w:noProof/>
                <w:sz w:val="24"/>
                <w:szCs w:val="24"/>
              </w:rPr>
              <w:t>3.6 Sample Size and Sampling Technique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_Toc224237697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85</w:t>
            </w:r>
            <w:r w:rsidR="00A26AF8" w:rsidRPr="0038157E">
              <w:rPr>
                <w:rFonts w:ascii="Times New Roman" w:hAnsi="Times New Roman" w:cs="Times New Roman"/>
                <w:noProof/>
                <w:webHidden/>
                <w:sz w:val="24"/>
                <w:szCs w:val="24"/>
              </w:rPr>
              <w:fldChar w:fldCharType="end"/>
            </w:r>
          </w:hyperlink>
        </w:p>
        <w:p w14:paraId="063864FF" w14:textId="502335DA" w:rsidR="00A26AF8" w:rsidRPr="0038157E" w:rsidRDefault="00451AD7" w:rsidP="000067B1">
          <w:pPr>
            <w:pStyle w:val="TOC3"/>
            <w:rPr>
              <w:rFonts w:eastAsiaTheme="minorEastAsia"/>
              <w:noProof/>
              <w:lang w:val="en-US"/>
            </w:rPr>
          </w:pPr>
          <w:hyperlink w:anchor="_Toc224237698" w:history="1">
            <w:r w:rsidR="00A26AF8" w:rsidRPr="0038157E">
              <w:rPr>
                <w:rStyle w:val="Hyperlink"/>
                <w:rFonts w:ascii="Times New Roman" w:hAnsi="Times New Roman" w:cs="Times New Roman"/>
                <w:i w:val="0"/>
                <w:noProof/>
                <w:sz w:val="24"/>
                <w:szCs w:val="24"/>
              </w:rPr>
              <w:t>3.6.1 Sample Size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_Toc224237698 \h </w:instrText>
            </w:r>
            <w:r w:rsidR="00A26AF8" w:rsidRPr="0038157E">
              <w:rPr>
                <w:noProof/>
                <w:webHidden/>
              </w:rPr>
            </w:r>
            <w:r w:rsidR="00A26AF8" w:rsidRPr="0038157E">
              <w:rPr>
                <w:noProof/>
                <w:webHidden/>
              </w:rPr>
              <w:fldChar w:fldCharType="separate"/>
            </w:r>
            <w:r w:rsidR="000067B1">
              <w:rPr>
                <w:noProof/>
                <w:webHidden/>
              </w:rPr>
              <w:t>85</w:t>
            </w:r>
            <w:r w:rsidR="00A26AF8" w:rsidRPr="0038157E">
              <w:rPr>
                <w:noProof/>
                <w:webHidden/>
              </w:rPr>
              <w:fldChar w:fldCharType="end"/>
            </w:r>
          </w:hyperlink>
        </w:p>
        <w:p w14:paraId="3C873FC3" w14:textId="165B86D4" w:rsidR="00A26AF8" w:rsidRPr="0038157E" w:rsidRDefault="00451AD7" w:rsidP="000067B1">
          <w:pPr>
            <w:pStyle w:val="TOC3"/>
            <w:rPr>
              <w:rFonts w:eastAsiaTheme="minorEastAsia"/>
              <w:noProof/>
              <w:lang w:val="en-US"/>
            </w:rPr>
          </w:pPr>
          <w:hyperlink w:anchor="_Toc224237699" w:history="1">
            <w:r w:rsidR="00A26AF8" w:rsidRPr="0038157E">
              <w:rPr>
                <w:rStyle w:val="Hyperlink"/>
                <w:rFonts w:ascii="Times New Roman" w:hAnsi="Times New Roman" w:cs="Times New Roman"/>
                <w:i w:val="0"/>
                <w:noProof/>
                <w:sz w:val="24"/>
                <w:szCs w:val="24"/>
              </w:rPr>
              <w:t>3.6.2 Sampling Technique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_Toc224237699 \h </w:instrText>
            </w:r>
            <w:r w:rsidR="00A26AF8" w:rsidRPr="0038157E">
              <w:rPr>
                <w:noProof/>
                <w:webHidden/>
              </w:rPr>
            </w:r>
            <w:r w:rsidR="00A26AF8" w:rsidRPr="0038157E">
              <w:rPr>
                <w:noProof/>
                <w:webHidden/>
              </w:rPr>
              <w:fldChar w:fldCharType="separate"/>
            </w:r>
            <w:r w:rsidR="000067B1">
              <w:rPr>
                <w:noProof/>
                <w:webHidden/>
              </w:rPr>
              <w:t>87</w:t>
            </w:r>
            <w:r w:rsidR="00A26AF8" w:rsidRPr="0038157E">
              <w:rPr>
                <w:noProof/>
                <w:webHidden/>
              </w:rPr>
              <w:fldChar w:fldCharType="end"/>
            </w:r>
          </w:hyperlink>
        </w:p>
        <w:p w14:paraId="2BA5ED5D" w14:textId="222702CF"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00" w:history="1">
            <w:r w:rsidR="00A26AF8" w:rsidRPr="0038157E">
              <w:rPr>
                <w:rStyle w:val="Hyperlink"/>
                <w:rFonts w:ascii="Times New Roman" w:hAnsi="Times New Roman" w:cs="Times New Roman"/>
                <w:smallCaps w:val="0"/>
                <w:noProof/>
                <w:sz w:val="24"/>
                <w:szCs w:val="24"/>
              </w:rPr>
              <w:t>3.7 Data Collection Instruments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_Toc224237700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88</w:t>
            </w:r>
            <w:r w:rsidR="00A26AF8" w:rsidRPr="0038157E">
              <w:rPr>
                <w:rFonts w:ascii="Times New Roman" w:hAnsi="Times New Roman" w:cs="Times New Roman"/>
                <w:noProof/>
                <w:webHidden/>
                <w:sz w:val="24"/>
                <w:szCs w:val="24"/>
              </w:rPr>
              <w:fldChar w:fldCharType="end"/>
            </w:r>
          </w:hyperlink>
        </w:p>
        <w:p w14:paraId="178FD43E" w14:textId="43EC98FB" w:rsidR="00A26AF8" w:rsidRPr="0038157E" w:rsidRDefault="00451AD7" w:rsidP="000067B1">
          <w:pPr>
            <w:pStyle w:val="TOC3"/>
            <w:rPr>
              <w:rFonts w:eastAsiaTheme="minorEastAsia"/>
              <w:noProof/>
              <w:lang w:val="en-US"/>
            </w:rPr>
          </w:pPr>
          <w:hyperlink w:anchor="_Toc224237701" w:history="1">
            <w:r w:rsidR="00A26AF8" w:rsidRPr="0038157E">
              <w:rPr>
                <w:rStyle w:val="Hyperlink"/>
                <w:rFonts w:ascii="Times New Roman" w:hAnsi="Times New Roman" w:cs="Times New Roman"/>
                <w:i w:val="0"/>
                <w:noProof/>
                <w:sz w:val="24"/>
                <w:szCs w:val="24"/>
              </w:rPr>
              <w:t>3.7.1 Primary and Secondary Data</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_Toc224237701 \h </w:instrText>
            </w:r>
            <w:r w:rsidR="00A26AF8" w:rsidRPr="0038157E">
              <w:rPr>
                <w:noProof/>
                <w:webHidden/>
              </w:rPr>
            </w:r>
            <w:r w:rsidR="00A26AF8" w:rsidRPr="0038157E">
              <w:rPr>
                <w:noProof/>
                <w:webHidden/>
              </w:rPr>
              <w:fldChar w:fldCharType="separate"/>
            </w:r>
            <w:r w:rsidR="000067B1">
              <w:rPr>
                <w:noProof/>
                <w:webHidden/>
              </w:rPr>
              <w:t>88</w:t>
            </w:r>
            <w:r w:rsidR="00A26AF8" w:rsidRPr="0038157E">
              <w:rPr>
                <w:noProof/>
                <w:webHidden/>
              </w:rPr>
              <w:fldChar w:fldCharType="end"/>
            </w:r>
          </w:hyperlink>
        </w:p>
        <w:p w14:paraId="03CDFEA2" w14:textId="74CF2139"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02" w:history="1">
            <w:r w:rsidR="00A26AF8" w:rsidRPr="0038157E">
              <w:rPr>
                <w:rStyle w:val="Hyperlink"/>
                <w:rFonts w:ascii="Times New Roman" w:hAnsi="Times New Roman" w:cs="Times New Roman"/>
                <w:smallCaps w:val="0"/>
                <w:noProof/>
                <w:sz w:val="24"/>
                <w:szCs w:val="24"/>
              </w:rPr>
              <w:t>3.8 Data Collection Procedure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_Toc224237702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89</w:t>
            </w:r>
            <w:r w:rsidR="00A26AF8" w:rsidRPr="0038157E">
              <w:rPr>
                <w:rFonts w:ascii="Times New Roman" w:hAnsi="Times New Roman" w:cs="Times New Roman"/>
                <w:noProof/>
                <w:webHidden/>
                <w:sz w:val="24"/>
                <w:szCs w:val="24"/>
              </w:rPr>
              <w:fldChar w:fldCharType="end"/>
            </w:r>
          </w:hyperlink>
        </w:p>
        <w:p w14:paraId="10AE317F" w14:textId="2AA332F1"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03" w:history="1">
            <w:r w:rsidR="00A26AF8" w:rsidRPr="0038157E">
              <w:rPr>
                <w:rStyle w:val="Hyperlink"/>
                <w:rFonts w:ascii="Times New Roman" w:hAnsi="Times New Roman" w:cs="Times New Roman"/>
                <w:smallCaps w:val="0"/>
                <w:noProof/>
                <w:sz w:val="24"/>
                <w:szCs w:val="24"/>
              </w:rPr>
              <w:t>3.9 Pilot Test</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_Toc224237703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90</w:t>
            </w:r>
            <w:r w:rsidR="00A26AF8" w:rsidRPr="0038157E">
              <w:rPr>
                <w:rFonts w:ascii="Times New Roman" w:hAnsi="Times New Roman" w:cs="Times New Roman"/>
                <w:noProof/>
                <w:webHidden/>
                <w:sz w:val="24"/>
                <w:szCs w:val="24"/>
              </w:rPr>
              <w:fldChar w:fldCharType="end"/>
            </w:r>
          </w:hyperlink>
        </w:p>
        <w:p w14:paraId="05AD81CC" w14:textId="164CC5BF" w:rsidR="00A26AF8" w:rsidRPr="0038157E" w:rsidRDefault="00451AD7" w:rsidP="000067B1">
          <w:pPr>
            <w:pStyle w:val="TOC3"/>
            <w:rPr>
              <w:rFonts w:eastAsiaTheme="minorEastAsia"/>
              <w:noProof/>
              <w:lang w:val="en-US"/>
            </w:rPr>
          </w:pPr>
          <w:hyperlink w:anchor="_Toc224237704" w:history="1">
            <w:r w:rsidR="00A26AF8" w:rsidRPr="0038157E">
              <w:rPr>
                <w:rStyle w:val="Hyperlink"/>
                <w:rFonts w:ascii="Times New Roman" w:hAnsi="Times New Roman" w:cs="Times New Roman"/>
                <w:i w:val="0"/>
                <w:noProof/>
                <w:sz w:val="24"/>
                <w:szCs w:val="24"/>
              </w:rPr>
              <w:t>3.9.1 Reliability of Research Instruments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_Toc224237704 \h </w:instrText>
            </w:r>
            <w:r w:rsidR="00A26AF8" w:rsidRPr="0038157E">
              <w:rPr>
                <w:noProof/>
                <w:webHidden/>
              </w:rPr>
            </w:r>
            <w:r w:rsidR="00A26AF8" w:rsidRPr="0038157E">
              <w:rPr>
                <w:noProof/>
                <w:webHidden/>
              </w:rPr>
              <w:fldChar w:fldCharType="separate"/>
            </w:r>
            <w:r w:rsidR="000067B1">
              <w:rPr>
                <w:noProof/>
                <w:webHidden/>
              </w:rPr>
              <w:t>90</w:t>
            </w:r>
            <w:r w:rsidR="00A26AF8" w:rsidRPr="0038157E">
              <w:rPr>
                <w:noProof/>
                <w:webHidden/>
              </w:rPr>
              <w:fldChar w:fldCharType="end"/>
            </w:r>
          </w:hyperlink>
        </w:p>
        <w:p w14:paraId="6C592C79" w14:textId="741AACD9" w:rsidR="00A26AF8" w:rsidRPr="0038157E" w:rsidRDefault="00451AD7" w:rsidP="000067B1">
          <w:pPr>
            <w:pStyle w:val="TOC3"/>
            <w:rPr>
              <w:rFonts w:eastAsiaTheme="minorEastAsia"/>
              <w:noProof/>
              <w:lang w:val="en-US"/>
            </w:rPr>
          </w:pPr>
          <w:hyperlink w:anchor="_Toc224237705" w:history="1">
            <w:r w:rsidR="00A26AF8" w:rsidRPr="0038157E">
              <w:rPr>
                <w:rStyle w:val="Hyperlink"/>
                <w:rFonts w:ascii="Times New Roman" w:hAnsi="Times New Roman" w:cs="Times New Roman"/>
                <w:i w:val="0"/>
                <w:noProof/>
                <w:sz w:val="24"/>
                <w:szCs w:val="24"/>
              </w:rPr>
              <w:t>3.9.2 Validity of Research Instrument</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_Toc224237705 \h </w:instrText>
            </w:r>
            <w:r w:rsidR="00A26AF8" w:rsidRPr="0038157E">
              <w:rPr>
                <w:noProof/>
                <w:webHidden/>
              </w:rPr>
            </w:r>
            <w:r w:rsidR="00A26AF8" w:rsidRPr="0038157E">
              <w:rPr>
                <w:noProof/>
                <w:webHidden/>
              </w:rPr>
              <w:fldChar w:fldCharType="separate"/>
            </w:r>
            <w:r w:rsidR="000067B1">
              <w:rPr>
                <w:noProof/>
                <w:webHidden/>
              </w:rPr>
              <w:t>91</w:t>
            </w:r>
            <w:r w:rsidR="00A26AF8" w:rsidRPr="0038157E">
              <w:rPr>
                <w:noProof/>
                <w:webHidden/>
              </w:rPr>
              <w:fldChar w:fldCharType="end"/>
            </w:r>
          </w:hyperlink>
        </w:p>
        <w:p w14:paraId="340C1518" w14:textId="5E7628F8"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06" w:history="1">
            <w:r w:rsidR="00A26AF8" w:rsidRPr="0038157E">
              <w:rPr>
                <w:rStyle w:val="Hyperlink"/>
                <w:rFonts w:ascii="Times New Roman" w:hAnsi="Times New Roman" w:cs="Times New Roman"/>
                <w:smallCaps w:val="0"/>
                <w:noProof/>
                <w:sz w:val="24"/>
                <w:szCs w:val="24"/>
              </w:rPr>
              <w:t>3.10 Data Analysis and Presentation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_Toc224237706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92</w:t>
            </w:r>
            <w:r w:rsidR="00A26AF8" w:rsidRPr="0038157E">
              <w:rPr>
                <w:rFonts w:ascii="Times New Roman" w:hAnsi="Times New Roman" w:cs="Times New Roman"/>
                <w:noProof/>
                <w:webHidden/>
                <w:sz w:val="24"/>
                <w:szCs w:val="24"/>
              </w:rPr>
              <w:fldChar w:fldCharType="end"/>
            </w:r>
          </w:hyperlink>
        </w:p>
        <w:p w14:paraId="4E920C5D" w14:textId="274327C9" w:rsidR="00A26AF8" w:rsidRPr="0038157E" w:rsidRDefault="00451AD7" w:rsidP="000067B1">
          <w:pPr>
            <w:pStyle w:val="TOC3"/>
            <w:rPr>
              <w:rFonts w:eastAsiaTheme="minorEastAsia"/>
              <w:noProof/>
              <w:lang w:val="en-US"/>
            </w:rPr>
          </w:pPr>
          <w:hyperlink w:anchor="_Toc224237707" w:history="1">
            <w:r w:rsidR="00A26AF8" w:rsidRPr="0038157E">
              <w:rPr>
                <w:rStyle w:val="Hyperlink"/>
                <w:rFonts w:ascii="Times New Roman" w:hAnsi="Times New Roman" w:cs="Times New Roman"/>
                <w:i w:val="0"/>
                <w:noProof/>
                <w:sz w:val="24"/>
                <w:szCs w:val="24"/>
                <w:lang w:eastAsia="af-ZA"/>
              </w:rPr>
              <w:t xml:space="preserve">3.10.1 </w:t>
            </w:r>
            <w:r w:rsidR="00A26AF8" w:rsidRPr="0038157E">
              <w:rPr>
                <w:rStyle w:val="Hyperlink"/>
                <w:rFonts w:ascii="Times New Roman" w:hAnsi="Times New Roman" w:cs="Times New Roman"/>
                <w:i w:val="0"/>
                <w:noProof/>
                <w:sz w:val="24"/>
                <w:szCs w:val="24"/>
              </w:rPr>
              <w:t>Diagnostic</w:t>
            </w:r>
            <w:r w:rsidR="00A26AF8" w:rsidRPr="0038157E">
              <w:rPr>
                <w:rStyle w:val="Hyperlink"/>
                <w:rFonts w:ascii="Times New Roman" w:hAnsi="Times New Roman" w:cs="Times New Roman"/>
                <w:i w:val="0"/>
                <w:noProof/>
                <w:sz w:val="24"/>
                <w:szCs w:val="24"/>
                <w:lang w:eastAsia="af-ZA"/>
              </w:rPr>
              <w:t xml:space="preserve"> Tests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_Toc224237707 \h </w:instrText>
            </w:r>
            <w:r w:rsidR="00A26AF8" w:rsidRPr="0038157E">
              <w:rPr>
                <w:noProof/>
                <w:webHidden/>
              </w:rPr>
            </w:r>
            <w:r w:rsidR="00A26AF8" w:rsidRPr="0038157E">
              <w:rPr>
                <w:noProof/>
                <w:webHidden/>
              </w:rPr>
              <w:fldChar w:fldCharType="separate"/>
            </w:r>
            <w:r w:rsidR="000067B1">
              <w:rPr>
                <w:noProof/>
                <w:webHidden/>
              </w:rPr>
              <w:t>93</w:t>
            </w:r>
            <w:r w:rsidR="00A26AF8" w:rsidRPr="0038157E">
              <w:rPr>
                <w:noProof/>
                <w:webHidden/>
              </w:rPr>
              <w:fldChar w:fldCharType="end"/>
            </w:r>
          </w:hyperlink>
        </w:p>
        <w:p w14:paraId="53F13309" w14:textId="755AB1B2" w:rsidR="00A26AF8" w:rsidRPr="0038157E" w:rsidRDefault="00451AD7" w:rsidP="000067B1">
          <w:pPr>
            <w:pStyle w:val="TOC3"/>
            <w:rPr>
              <w:rFonts w:eastAsiaTheme="minorEastAsia"/>
              <w:noProof/>
              <w:lang w:val="en-US"/>
            </w:rPr>
          </w:pPr>
          <w:hyperlink w:anchor="_Toc224237708" w:history="1">
            <w:r w:rsidR="00A26AF8" w:rsidRPr="0038157E">
              <w:rPr>
                <w:rStyle w:val="Hyperlink"/>
                <w:rFonts w:ascii="Times New Roman" w:hAnsi="Times New Roman" w:cs="Times New Roman"/>
                <w:i w:val="0"/>
                <w:noProof/>
                <w:sz w:val="24"/>
                <w:szCs w:val="24"/>
                <w:lang w:eastAsia="af-ZA"/>
              </w:rPr>
              <w:t>3.10.2 Data Analysis for Green Employee Resourcing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_Toc224237708 \h </w:instrText>
            </w:r>
            <w:r w:rsidR="00A26AF8" w:rsidRPr="0038157E">
              <w:rPr>
                <w:noProof/>
                <w:webHidden/>
              </w:rPr>
            </w:r>
            <w:r w:rsidR="00A26AF8" w:rsidRPr="0038157E">
              <w:rPr>
                <w:noProof/>
                <w:webHidden/>
              </w:rPr>
              <w:fldChar w:fldCharType="separate"/>
            </w:r>
            <w:r w:rsidR="000067B1">
              <w:rPr>
                <w:noProof/>
                <w:webHidden/>
              </w:rPr>
              <w:t>96</w:t>
            </w:r>
            <w:r w:rsidR="00A26AF8" w:rsidRPr="0038157E">
              <w:rPr>
                <w:noProof/>
                <w:webHidden/>
              </w:rPr>
              <w:fldChar w:fldCharType="end"/>
            </w:r>
          </w:hyperlink>
        </w:p>
        <w:p w14:paraId="673FC5A5" w14:textId="1FDB276C" w:rsidR="00A26AF8" w:rsidRPr="0038157E" w:rsidRDefault="00451AD7" w:rsidP="000067B1">
          <w:pPr>
            <w:pStyle w:val="TOC3"/>
            <w:rPr>
              <w:rFonts w:eastAsiaTheme="minorEastAsia"/>
              <w:noProof/>
              <w:lang w:val="en-US"/>
            </w:rPr>
          </w:pPr>
          <w:hyperlink w:anchor="_Toc224237709" w:history="1">
            <w:r w:rsidR="00A26AF8" w:rsidRPr="0038157E">
              <w:rPr>
                <w:rStyle w:val="Hyperlink"/>
                <w:rFonts w:ascii="Times New Roman" w:hAnsi="Times New Roman" w:cs="Times New Roman"/>
                <w:i w:val="0"/>
                <w:noProof/>
                <w:sz w:val="24"/>
                <w:szCs w:val="24"/>
                <w:lang w:eastAsia="af-ZA"/>
              </w:rPr>
              <w:t>3.10.3 Data Analysis for Green Training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_Toc224237709 \h </w:instrText>
            </w:r>
            <w:r w:rsidR="00A26AF8" w:rsidRPr="0038157E">
              <w:rPr>
                <w:noProof/>
                <w:webHidden/>
              </w:rPr>
            </w:r>
            <w:r w:rsidR="00A26AF8" w:rsidRPr="0038157E">
              <w:rPr>
                <w:noProof/>
                <w:webHidden/>
              </w:rPr>
              <w:fldChar w:fldCharType="separate"/>
            </w:r>
            <w:r w:rsidR="000067B1">
              <w:rPr>
                <w:noProof/>
                <w:webHidden/>
              </w:rPr>
              <w:t>97</w:t>
            </w:r>
            <w:r w:rsidR="00A26AF8" w:rsidRPr="0038157E">
              <w:rPr>
                <w:noProof/>
                <w:webHidden/>
              </w:rPr>
              <w:fldChar w:fldCharType="end"/>
            </w:r>
          </w:hyperlink>
        </w:p>
        <w:p w14:paraId="148E41EE" w14:textId="52DCC6DD" w:rsidR="00A26AF8" w:rsidRPr="0038157E" w:rsidRDefault="00451AD7" w:rsidP="000067B1">
          <w:pPr>
            <w:pStyle w:val="TOC3"/>
            <w:rPr>
              <w:rFonts w:eastAsiaTheme="minorEastAsia"/>
              <w:noProof/>
              <w:lang w:val="en-US"/>
            </w:rPr>
          </w:pPr>
          <w:hyperlink w:anchor="_Toc224237710" w:history="1">
            <w:r w:rsidR="00A26AF8" w:rsidRPr="0038157E">
              <w:rPr>
                <w:rStyle w:val="Hyperlink"/>
                <w:rFonts w:ascii="Times New Roman" w:hAnsi="Times New Roman" w:cs="Times New Roman"/>
                <w:i w:val="0"/>
                <w:noProof/>
                <w:sz w:val="24"/>
                <w:szCs w:val="24"/>
                <w:lang w:eastAsia="af-ZA"/>
              </w:rPr>
              <w:t>3.10.4 Data Analysis for Green Occupational Safety, Health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_Toc224237710 \h </w:instrText>
            </w:r>
            <w:r w:rsidR="00A26AF8" w:rsidRPr="0038157E">
              <w:rPr>
                <w:noProof/>
                <w:webHidden/>
              </w:rPr>
            </w:r>
            <w:r w:rsidR="00A26AF8" w:rsidRPr="0038157E">
              <w:rPr>
                <w:noProof/>
                <w:webHidden/>
              </w:rPr>
              <w:fldChar w:fldCharType="separate"/>
            </w:r>
            <w:r w:rsidR="000067B1">
              <w:rPr>
                <w:noProof/>
                <w:webHidden/>
              </w:rPr>
              <w:t>98</w:t>
            </w:r>
            <w:r w:rsidR="00A26AF8" w:rsidRPr="0038157E">
              <w:rPr>
                <w:noProof/>
                <w:webHidden/>
              </w:rPr>
              <w:fldChar w:fldCharType="end"/>
            </w:r>
          </w:hyperlink>
        </w:p>
        <w:p w14:paraId="30840C06" w14:textId="55E1DE77" w:rsidR="00A26AF8" w:rsidRPr="0038157E" w:rsidRDefault="00451AD7" w:rsidP="000067B1">
          <w:pPr>
            <w:pStyle w:val="TOC3"/>
            <w:rPr>
              <w:rFonts w:eastAsiaTheme="minorEastAsia"/>
              <w:noProof/>
              <w:lang w:val="en-US"/>
            </w:rPr>
          </w:pPr>
          <w:hyperlink w:anchor="_Toc224237711" w:history="1">
            <w:r w:rsidR="00A26AF8" w:rsidRPr="0038157E">
              <w:rPr>
                <w:rStyle w:val="Hyperlink"/>
                <w:rFonts w:ascii="Times New Roman" w:hAnsi="Times New Roman" w:cs="Times New Roman"/>
                <w:i w:val="0"/>
                <w:noProof/>
                <w:sz w:val="24"/>
                <w:szCs w:val="24"/>
                <w:lang w:eastAsia="af-ZA"/>
              </w:rPr>
              <w:t>3.10.5 Data Analysis for Green Performance Evaluation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_Toc224237711 \h </w:instrText>
            </w:r>
            <w:r w:rsidR="00A26AF8" w:rsidRPr="0038157E">
              <w:rPr>
                <w:noProof/>
                <w:webHidden/>
              </w:rPr>
            </w:r>
            <w:r w:rsidR="00A26AF8" w:rsidRPr="0038157E">
              <w:rPr>
                <w:noProof/>
                <w:webHidden/>
              </w:rPr>
              <w:fldChar w:fldCharType="separate"/>
            </w:r>
            <w:r w:rsidR="000067B1">
              <w:rPr>
                <w:noProof/>
                <w:webHidden/>
              </w:rPr>
              <w:t>99</w:t>
            </w:r>
            <w:r w:rsidR="00A26AF8" w:rsidRPr="0038157E">
              <w:rPr>
                <w:noProof/>
                <w:webHidden/>
              </w:rPr>
              <w:fldChar w:fldCharType="end"/>
            </w:r>
          </w:hyperlink>
        </w:p>
        <w:p w14:paraId="54CDFD5F" w14:textId="06020A02" w:rsidR="00A26AF8" w:rsidRPr="0038157E" w:rsidRDefault="00451AD7" w:rsidP="000067B1">
          <w:pPr>
            <w:pStyle w:val="TOC3"/>
            <w:rPr>
              <w:rFonts w:eastAsiaTheme="minorEastAsia"/>
              <w:noProof/>
              <w:lang w:val="en-US"/>
            </w:rPr>
          </w:pPr>
          <w:hyperlink w:anchor="_Toc224237712" w:history="1">
            <w:r w:rsidR="00A26AF8" w:rsidRPr="0038157E">
              <w:rPr>
                <w:rStyle w:val="Hyperlink"/>
                <w:rFonts w:ascii="Times New Roman" w:hAnsi="Times New Roman" w:cs="Times New Roman"/>
                <w:i w:val="0"/>
                <w:noProof/>
                <w:sz w:val="24"/>
                <w:szCs w:val="24"/>
              </w:rPr>
              <w:t>3.10.6 Data Analysis for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_Toc224237712 \h </w:instrText>
            </w:r>
            <w:r w:rsidR="00A26AF8" w:rsidRPr="0038157E">
              <w:rPr>
                <w:noProof/>
                <w:webHidden/>
              </w:rPr>
            </w:r>
            <w:r w:rsidR="00A26AF8" w:rsidRPr="0038157E">
              <w:rPr>
                <w:noProof/>
                <w:webHidden/>
              </w:rPr>
              <w:fldChar w:fldCharType="separate"/>
            </w:r>
            <w:r w:rsidR="000067B1">
              <w:rPr>
                <w:noProof/>
                <w:webHidden/>
              </w:rPr>
              <w:t>100</w:t>
            </w:r>
            <w:r w:rsidR="00A26AF8" w:rsidRPr="0038157E">
              <w:rPr>
                <w:noProof/>
                <w:webHidden/>
              </w:rPr>
              <w:fldChar w:fldCharType="end"/>
            </w:r>
          </w:hyperlink>
        </w:p>
        <w:p w14:paraId="7D7E1261" w14:textId="65893C08" w:rsidR="00A26AF8" w:rsidRPr="0038157E" w:rsidRDefault="00451AD7" w:rsidP="000067B1">
          <w:pPr>
            <w:pStyle w:val="TOC3"/>
            <w:rPr>
              <w:rFonts w:eastAsiaTheme="minorEastAsia"/>
              <w:noProof/>
              <w:lang w:val="en-US"/>
            </w:rPr>
          </w:pPr>
          <w:hyperlink w:anchor="_Toc224237713" w:history="1">
            <w:r w:rsidR="00A26AF8" w:rsidRPr="0038157E">
              <w:rPr>
                <w:rStyle w:val="Hyperlink"/>
                <w:rFonts w:ascii="Times New Roman" w:hAnsi="Times New Roman" w:cs="Times New Roman"/>
                <w:i w:val="0"/>
                <w:noProof/>
                <w:sz w:val="24"/>
                <w:szCs w:val="24"/>
              </w:rPr>
              <w:t>3.10.7 Multiple Linear Regression Analysis without the Moderating Variable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_Toc224237713 \h </w:instrText>
            </w:r>
            <w:r w:rsidR="00A26AF8" w:rsidRPr="0038157E">
              <w:rPr>
                <w:noProof/>
                <w:webHidden/>
              </w:rPr>
            </w:r>
            <w:r w:rsidR="00A26AF8" w:rsidRPr="0038157E">
              <w:rPr>
                <w:noProof/>
                <w:webHidden/>
              </w:rPr>
              <w:fldChar w:fldCharType="separate"/>
            </w:r>
            <w:r w:rsidR="000067B1">
              <w:rPr>
                <w:noProof/>
                <w:webHidden/>
              </w:rPr>
              <w:t>100</w:t>
            </w:r>
            <w:r w:rsidR="00A26AF8" w:rsidRPr="0038157E">
              <w:rPr>
                <w:noProof/>
                <w:webHidden/>
              </w:rPr>
              <w:fldChar w:fldCharType="end"/>
            </w:r>
          </w:hyperlink>
        </w:p>
        <w:p w14:paraId="68941084" w14:textId="69EDADD1" w:rsidR="00A26AF8" w:rsidRPr="0038157E" w:rsidRDefault="00451AD7" w:rsidP="000067B1">
          <w:pPr>
            <w:pStyle w:val="TOC3"/>
            <w:rPr>
              <w:rFonts w:eastAsiaTheme="minorEastAsia"/>
              <w:noProof/>
              <w:lang w:val="en-US"/>
            </w:rPr>
          </w:pPr>
          <w:hyperlink w:anchor="_Toc224237714" w:history="1">
            <w:r w:rsidR="00A26AF8" w:rsidRPr="0038157E">
              <w:rPr>
                <w:rStyle w:val="Hyperlink"/>
                <w:rFonts w:ascii="Times New Roman" w:hAnsi="Times New Roman" w:cs="Times New Roman"/>
                <w:i w:val="0"/>
                <w:noProof/>
                <w:sz w:val="24"/>
                <w:szCs w:val="24"/>
              </w:rPr>
              <w:t>3.10.8 Multiple Linear Regression Analysis with Inclusion of the Moderating Variable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_Toc224237714 \h </w:instrText>
            </w:r>
            <w:r w:rsidR="00A26AF8" w:rsidRPr="0038157E">
              <w:rPr>
                <w:noProof/>
                <w:webHidden/>
              </w:rPr>
            </w:r>
            <w:r w:rsidR="00A26AF8" w:rsidRPr="0038157E">
              <w:rPr>
                <w:noProof/>
                <w:webHidden/>
              </w:rPr>
              <w:fldChar w:fldCharType="separate"/>
            </w:r>
            <w:r w:rsidR="000067B1">
              <w:rPr>
                <w:noProof/>
                <w:webHidden/>
              </w:rPr>
              <w:t>101</w:t>
            </w:r>
            <w:r w:rsidR="00A26AF8" w:rsidRPr="0038157E">
              <w:rPr>
                <w:noProof/>
                <w:webHidden/>
              </w:rPr>
              <w:fldChar w:fldCharType="end"/>
            </w:r>
          </w:hyperlink>
        </w:p>
        <w:p w14:paraId="134A8CC5" w14:textId="02FDAC3E"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715" w:history="1">
            <w:r w:rsidR="00A26AF8" w:rsidRPr="0038157E">
              <w:rPr>
                <w:rStyle w:val="Hyperlink"/>
                <w:rFonts w:ascii="Times New Roman" w:hAnsi="Times New Roman" w:cs="Times New Roman"/>
                <w:caps w:val="0"/>
                <w:noProof/>
                <w:sz w:val="24"/>
                <w:szCs w:val="24"/>
              </w:rPr>
              <w:t>CHAPTER FOUR</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_Toc224237715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104</w:t>
            </w:r>
            <w:r w:rsidR="00A26AF8" w:rsidRPr="0038157E">
              <w:rPr>
                <w:rFonts w:ascii="Times New Roman" w:hAnsi="Times New Roman" w:cs="Times New Roman"/>
                <w:caps w:val="0"/>
                <w:noProof/>
                <w:webHidden/>
                <w:sz w:val="24"/>
                <w:szCs w:val="24"/>
              </w:rPr>
              <w:fldChar w:fldCharType="end"/>
            </w:r>
          </w:hyperlink>
        </w:p>
        <w:p w14:paraId="2E071BDD" w14:textId="39C7621A"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716" w:history="1">
            <w:r w:rsidR="00A26AF8" w:rsidRPr="0038157E">
              <w:rPr>
                <w:rStyle w:val="Hyperlink"/>
                <w:rFonts w:ascii="Times New Roman" w:hAnsi="Times New Roman" w:cs="Times New Roman"/>
                <w:caps w:val="0"/>
                <w:noProof/>
                <w:sz w:val="24"/>
                <w:szCs w:val="24"/>
              </w:rPr>
              <w:t>RESEARCH FINDINGS AND DISCUSSIONS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_Toc224237716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104</w:t>
            </w:r>
            <w:r w:rsidR="00A26AF8" w:rsidRPr="0038157E">
              <w:rPr>
                <w:rFonts w:ascii="Times New Roman" w:hAnsi="Times New Roman" w:cs="Times New Roman"/>
                <w:caps w:val="0"/>
                <w:noProof/>
                <w:webHidden/>
                <w:sz w:val="24"/>
                <w:szCs w:val="24"/>
              </w:rPr>
              <w:fldChar w:fldCharType="end"/>
            </w:r>
          </w:hyperlink>
        </w:p>
        <w:p w14:paraId="61C4ACE6" w14:textId="50C4ACEB"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17" w:history="1">
            <w:r w:rsidR="00A26AF8" w:rsidRPr="0038157E">
              <w:rPr>
                <w:rStyle w:val="Hyperlink"/>
                <w:rFonts w:ascii="Times New Roman" w:hAnsi="Times New Roman" w:cs="Times New Roman"/>
                <w:smallCaps w:val="0"/>
                <w:noProof/>
                <w:sz w:val="24"/>
                <w:szCs w:val="24"/>
              </w:rPr>
              <w:t>4.1 Introduction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_Toc224237717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104</w:t>
            </w:r>
            <w:r w:rsidR="00A26AF8" w:rsidRPr="0038157E">
              <w:rPr>
                <w:rFonts w:ascii="Times New Roman" w:hAnsi="Times New Roman" w:cs="Times New Roman"/>
                <w:noProof/>
                <w:webHidden/>
                <w:sz w:val="24"/>
                <w:szCs w:val="24"/>
              </w:rPr>
              <w:fldChar w:fldCharType="end"/>
            </w:r>
          </w:hyperlink>
        </w:p>
        <w:p w14:paraId="5129D58F" w14:textId="1103BAAC"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18" w:history="1">
            <w:r w:rsidR="00A26AF8" w:rsidRPr="0038157E">
              <w:rPr>
                <w:rStyle w:val="Hyperlink"/>
                <w:rFonts w:ascii="Times New Roman" w:hAnsi="Times New Roman" w:cs="Times New Roman"/>
                <w:smallCaps w:val="0"/>
                <w:noProof/>
                <w:sz w:val="24"/>
                <w:szCs w:val="24"/>
              </w:rPr>
              <w:t>4.2 Response Rate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_Toc224237718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104</w:t>
            </w:r>
            <w:r w:rsidR="00A26AF8" w:rsidRPr="0038157E">
              <w:rPr>
                <w:rFonts w:ascii="Times New Roman" w:hAnsi="Times New Roman" w:cs="Times New Roman"/>
                <w:noProof/>
                <w:webHidden/>
                <w:sz w:val="24"/>
                <w:szCs w:val="24"/>
              </w:rPr>
              <w:fldChar w:fldCharType="end"/>
            </w:r>
          </w:hyperlink>
        </w:p>
        <w:p w14:paraId="4CF2BF44" w14:textId="4B9961C4"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19" w:history="1">
            <w:r w:rsidR="00A26AF8" w:rsidRPr="0038157E">
              <w:rPr>
                <w:rStyle w:val="Hyperlink"/>
                <w:rFonts w:ascii="Times New Roman" w:hAnsi="Times New Roman" w:cs="Times New Roman"/>
                <w:smallCaps w:val="0"/>
                <w:noProof/>
                <w:sz w:val="24"/>
                <w:szCs w:val="24"/>
              </w:rPr>
              <w:t>4.3 Pilot Study Findings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_Toc224237719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105</w:t>
            </w:r>
            <w:r w:rsidR="00A26AF8" w:rsidRPr="0038157E">
              <w:rPr>
                <w:rFonts w:ascii="Times New Roman" w:hAnsi="Times New Roman" w:cs="Times New Roman"/>
                <w:noProof/>
                <w:webHidden/>
                <w:sz w:val="24"/>
                <w:szCs w:val="24"/>
              </w:rPr>
              <w:fldChar w:fldCharType="end"/>
            </w:r>
          </w:hyperlink>
        </w:p>
        <w:p w14:paraId="17A07842" w14:textId="74F8E296" w:rsidR="00A26AF8" w:rsidRPr="0038157E" w:rsidRDefault="00451AD7" w:rsidP="000067B1">
          <w:pPr>
            <w:pStyle w:val="TOC3"/>
            <w:rPr>
              <w:rFonts w:eastAsiaTheme="minorEastAsia"/>
              <w:noProof/>
              <w:lang w:val="en-US"/>
            </w:rPr>
          </w:pPr>
          <w:hyperlink w:anchor="_Toc224237720" w:history="1">
            <w:r w:rsidR="00A26AF8" w:rsidRPr="0038157E">
              <w:rPr>
                <w:rStyle w:val="Hyperlink"/>
                <w:rFonts w:ascii="Times New Roman" w:hAnsi="Times New Roman" w:cs="Times New Roman"/>
                <w:i w:val="0"/>
                <w:noProof/>
                <w:sz w:val="24"/>
                <w:szCs w:val="24"/>
              </w:rPr>
              <w:t>4.3.1 Reliability Test Findings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_Toc224237720 \h </w:instrText>
            </w:r>
            <w:r w:rsidR="00A26AF8" w:rsidRPr="0038157E">
              <w:rPr>
                <w:noProof/>
                <w:webHidden/>
              </w:rPr>
            </w:r>
            <w:r w:rsidR="00A26AF8" w:rsidRPr="0038157E">
              <w:rPr>
                <w:noProof/>
                <w:webHidden/>
              </w:rPr>
              <w:fldChar w:fldCharType="separate"/>
            </w:r>
            <w:r w:rsidR="000067B1">
              <w:rPr>
                <w:noProof/>
                <w:webHidden/>
              </w:rPr>
              <w:t>105</w:t>
            </w:r>
            <w:r w:rsidR="00A26AF8" w:rsidRPr="0038157E">
              <w:rPr>
                <w:noProof/>
                <w:webHidden/>
              </w:rPr>
              <w:fldChar w:fldCharType="end"/>
            </w:r>
          </w:hyperlink>
        </w:p>
        <w:p w14:paraId="02324CAE" w14:textId="59A7A50A" w:rsidR="00A26AF8" w:rsidRPr="0038157E" w:rsidRDefault="00451AD7" w:rsidP="000067B1">
          <w:pPr>
            <w:pStyle w:val="TOC3"/>
            <w:rPr>
              <w:rFonts w:eastAsiaTheme="minorEastAsia"/>
              <w:noProof/>
              <w:lang w:val="en-US"/>
            </w:rPr>
          </w:pPr>
          <w:hyperlink w:anchor="_Toc224237721" w:history="1">
            <w:r w:rsidR="00A26AF8" w:rsidRPr="0038157E">
              <w:rPr>
                <w:rStyle w:val="Hyperlink"/>
                <w:rFonts w:ascii="Times New Roman" w:hAnsi="Times New Roman" w:cs="Times New Roman"/>
                <w:i w:val="0"/>
                <w:noProof/>
                <w:sz w:val="24"/>
                <w:szCs w:val="24"/>
              </w:rPr>
              <w:t>4.3.2 Validity Test Findings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_Toc224237721 \h </w:instrText>
            </w:r>
            <w:r w:rsidR="00A26AF8" w:rsidRPr="0038157E">
              <w:rPr>
                <w:noProof/>
                <w:webHidden/>
              </w:rPr>
            </w:r>
            <w:r w:rsidR="00A26AF8" w:rsidRPr="0038157E">
              <w:rPr>
                <w:noProof/>
                <w:webHidden/>
              </w:rPr>
              <w:fldChar w:fldCharType="separate"/>
            </w:r>
            <w:r w:rsidR="000067B1">
              <w:rPr>
                <w:noProof/>
                <w:webHidden/>
              </w:rPr>
              <w:t>106</w:t>
            </w:r>
            <w:r w:rsidR="00A26AF8" w:rsidRPr="0038157E">
              <w:rPr>
                <w:noProof/>
                <w:webHidden/>
              </w:rPr>
              <w:fldChar w:fldCharType="end"/>
            </w:r>
          </w:hyperlink>
        </w:p>
        <w:p w14:paraId="5EB45460" w14:textId="64C7593C"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22" w:history="1">
            <w:r w:rsidR="00A26AF8" w:rsidRPr="0038157E">
              <w:rPr>
                <w:rStyle w:val="Hyperlink"/>
                <w:rFonts w:ascii="Times New Roman" w:hAnsi="Times New Roman" w:cs="Times New Roman"/>
                <w:smallCaps w:val="0"/>
                <w:noProof/>
                <w:sz w:val="24"/>
                <w:szCs w:val="24"/>
              </w:rPr>
              <w:t>4.4 Demographic Characteristics of the Respondents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_Toc224237722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108</w:t>
            </w:r>
            <w:r w:rsidR="00A26AF8" w:rsidRPr="0038157E">
              <w:rPr>
                <w:rFonts w:ascii="Times New Roman" w:hAnsi="Times New Roman" w:cs="Times New Roman"/>
                <w:noProof/>
                <w:webHidden/>
                <w:sz w:val="24"/>
                <w:szCs w:val="24"/>
              </w:rPr>
              <w:fldChar w:fldCharType="end"/>
            </w:r>
          </w:hyperlink>
        </w:p>
        <w:p w14:paraId="4715C450" w14:textId="0FC1C4A6" w:rsidR="00A26AF8" w:rsidRPr="0038157E" w:rsidRDefault="00451AD7" w:rsidP="000067B1">
          <w:pPr>
            <w:pStyle w:val="TOC3"/>
            <w:rPr>
              <w:rFonts w:eastAsiaTheme="minorEastAsia"/>
              <w:noProof/>
              <w:lang w:val="en-US"/>
            </w:rPr>
          </w:pPr>
          <w:hyperlink w:anchor="_Toc224237723" w:history="1">
            <w:r w:rsidR="00A26AF8" w:rsidRPr="0038157E">
              <w:rPr>
                <w:rStyle w:val="Hyperlink"/>
                <w:rFonts w:ascii="Times New Roman" w:hAnsi="Times New Roman" w:cs="Times New Roman"/>
                <w:i w:val="0"/>
                <w:noProof/>
                <w:sz w:val="24"/>
                <w:szCs w:val="24"/>
              </w:rPr>
              <w:t>4.4.1 Findings for Name of the Hospital</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_Toc224237723 \h </w:instrText>
            </w:r>
            <w:r w:rsidR="00A26AF8" w:rsidRPr="0038157E">
              <w:rPr>
                <w:noProof/>
                <w:webHidden/>
              </w:rPr>
            </w:r>
            <w:r w:rsidR="00A26AF8" w:rsidRPr="0038157E">
              <w:rPr>
                <w:noProof/>
                <w:webHidden/>
              </w:rPr>
              <w:fldChar w:fldCharType="separate"/>
            </w:r>
            <w:r w:rsidR="000067B1">
              <w:rPr>
                <w:noProof/>
                <w:webHidden/>
              </w:rPr>
              <w:t>108</w:t>
            </w:r>
            <w:r w:rsidR="00A26AF8" w:rsidRPr="0038157E">
              <w:rPr>
                <w:noProof/>
                <w:webHidden/>
              </w:rPr>
              <w:fldChar w:fldCharType="end"/>
            </w:r>
          </w:hyperlink>
        </w:p>
        <w:p w14:paraId="29190EF3" w14:textId="3976F1F0" w:rsidR="00A26AF8" w:rsidRPr="0038157E" w:rsidRDefault="00451AD7" w:rsidP="000067B1">
          <w:pPr>
            <w:pStyle w:val="TOC3"/>
            <w:rPr>
              <w:rFonts w:eastAsiaTheme="minorEastAsia"/>
              <w:noProof/>
              <w:lang w:val="en-US"/>
            </w:rPr>
          </w:pPr>
          <w:hyperlink w:anchor="_Toc224237724" w:history="1">
            <w:r w:rsidR="00A26AF8" w:rsidRPr="0038157E">
              <w:rPr>
                <w:rStyle w:val="Hyperlink"/>
                <w:rFonts w:ascii="Times New Roman" w:hAnsi="Times New Roman" w:cs="Times New Roman"/>
                <w:i w:val="0"/>
                <w:noProof/>
                <w:sz w:val="24"/>
                <w:szCs w:val="24"/>
              </w:rPr>
              <w:t>4.4.2 Gender of the Respondents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_Toc224237724 \h </w:instrText>
            </w:r>
            <w:r w:rsidR="00A26AF8" w:rsidRPr="0038157E">
              <w:rPr>
                <w:noProof/>
                <w:webHidden/>
              </w:rPr>
            </w:r>
            <w:r w:rsidR="00A26AF8" w:rsidRPr="0038157E">
              <w:rPr>
                <w:noProof/>
                <w:webHidden/>
              </w:rPr>
              <w:fldChar w:fldCharType="separate"/>
            </w:r>
            <w:r w:rsidR="000067B1">
              <w:rPr>
                <w:noProof/>
                <w:webHidden/>
              </w:rPr>
              <w:t>109</w:t>
            </w:r>
            <w:r w:rsidR="00A26AF8" w:rsidRPr="0038157E">
              <w:rPr>
                <w:noProof/>
                <w:webHidden/>
              </w:rPr>
              <w:fldChar w:fldCharType="end"/>
            </w:r>
          </w:hyperlink>
        </w:p>
        <w:p w14:paraId="415F4A9B" w14:textId="1559FBE5" w:rsidR="00A26AF8" w:rsidRPr="0038157E" w:rsidRDefault="00451AD7" w:rsidP="000067B1">
          <w:pPr>
            <w:pStyle w:val="TOC3"/>
            <w:rPr>
              <w:rFonts w:eastAsiaTheme="minorEastAsia"/>
              <w:noProof/>
              <w:lang w:val="en-US"/>
            </w:rPr>
          </w:pPr>
          <w:hyperlink w:anchor="_Toc224237725" w:history="1">
            <w:r w:rsidR="00A26AF8" w:rsidRPr="0038157E">
              <w:rPr>
                <w:rStyle w:val="Hyperlink"/>
                <w:rFonts w:ascii="Times New Roman" w:hAnsi="Times New Roman" w:cs="Times New Roman"/>
                <w:i w:val="0"/>
                <w:noProof/>
                <w:sz w:val="24"/>
                <w:szCs w:val="24"/>
              </w:rPr>
              <w:t>4.4.3 Category of Respondents in Management</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_Toc224237725 \h </w:instrText>
            </w:r>
            <w:r w:rsidR="00A26AF8" w:rsidRPr="0038157E">
              <w:rPr>
                <w:noProof/>
                <w:webHidden/>
              </w:rPr>
            </w:r>
            <w:r w:rsidR="00A26AF8" w:rsidRPr="0038157E">
              <w:rPr>
                <w:noProof/>
                <w:webHidden/>
              </w:rPr>
              <w:fldChar w:fldCharType="separate"/>
            </w:r>
            <w:r w:rsidR="000067B1">
              <w:rPr>
                <w:noProof/>
                <w:webHidden/>
              </w:rPr>
              <w:t>109</w:t>
            </w:r>
            <w:r w:rsidR="00A26AF8" w:rsidRPr="0038157E">
              <w:rPr>
                <w:noProof/>
                <w:webHidden/>
              </w:rPr>
              <w:fldChar w:fldCharType="end"/>
            </w:r>
          </w:hyperlink>
        </w:p>
        <w:p w14:paraId="7FBDFD56" w14:textId="226B0770" w:rsidR="00A26AF8" w:rsidRPr="0038157E" w:rsidRDefault="00451AD7" w:rsidP="000067B1">
          <w:pPr>
            <w:pStyle w:val="TOC3"/>
            <w:rPr>
              <w:rFonts w:eastAsiaTheme="minorEastAsia"/>
              <w:noProof/>
              <w:lang w:val="en-US"/>
            </w:rPr>
          </w:pPr>
          <w:hyperlink w:anchor="_Toc224237726" w:history="1">
            <w:r w:rsidR="00A26AF8" w:rsidRPr="0038157E">
              <w:rPr>
                <w:rStyle w:val="Hyperlink"/>
                <w:rFonts w:ascii="Times New Roman" w:hAnsi="Times New Roman" w:cs="Times New Roman"/>
                <w:i w:val="0"/>
                <w:noProof/>
                <w:sz w:val="24"/>
                <w:szCs w:val="24"/>
              </w:rPr>
              <w:t>4.4.4 Age of the Respondents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_Toc224237726 \h </w:instrText>
            </w:r>
            <w:r w:rsidR="00A26AF8" w:rsidRPr="0038157E">
              <w:rPr>
                <w:noProof/>
                <w:webHidden/>
              </w:rPr>
            </w:r>
            <w:r w:rsidR="00A26AF8" w:rsidRPr="0038157E">
              <w:rPr>
                <w:noProof/>
                <w:webHidden/>
              </w:rPr>
              <w:fldChar w:fldCharType="separate"/>
            </w:r>
            <w:r w:rsidR="000067B1">
              <w:rPr>
                <w:noProof/>
                <w:webHidden/>
              </w:rPr>
              <w:t>110</w:t>
            </w:r>
            <w:r w:rsidR="00A26AF8" w:rsidRPr="0038157E">
              <w:rPr>
                <w:noProof/>
                <w:webHidden/>
              </w:rPr>
              <w:fldChar w:fldCharType="end"/>
            </w:r>
          </w:hyperlink>
        </w:p>
        <w:p w14:paraId="36ACD510" w14:textId="24346D8B" w:rsidR="00A26AF8" w:rsidRPr="0038157E" w:rsidRDefault="00451AD7" w:rsidP="000067B1">
          <w:pPr>
            <w:pStyle w:val="TOC3"/>
            <w:rPr>
              <w:rFonts w:eastAsiaTheme="minorEastAsia"/>
              <w:noProof/>
              <w:lang w:val="en-US"/>
            </w:rPr>
          </w:pPr>
          <w:hyperlink w:anchor="_Toc224237727" w:history="1">
            <w:r w:rsidR="00A26AF8" w:rsidRPr="0038157E">
              <w:rPr>
                <w:rStyle w:val="Hyperlink"/>
                <w:rFonts w:ascii="Times New Roman" w:hAnsi="Times New Roman" w:cs="Times New Roman"/>
                <w:i w:val="0"/>
                <w:noProof/>
                <w:sz w:val="24"/>
                <w:szCs w:val="24"/>
              </w:rPr>
              <w:t>4.4.5 Highest Level of Education of Respondents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_Toc224237727 \h </w:instrText>
            </w:r>
            <w:r w:rsidR="00A26AF8" w:rsidRPr="0038157E">
              <w:rPr>
                <w:noProof/>
                <w:webHidden/>
              </w:rPr>
            </w:r>
            <w:r w:rsidR="00A26AF8" w:rsidRPr="0038157E">
              <w:rPr>
                <w:noProof/>
                <w:webHidden/>
              </w:rPr>
              <w:fldChar w:fldCharType="separate"/>
            </w:r>
            <w:r w:rsidR="000067B1">
              <w:rPr>
                <w:noProof/>
                <w:webHidden/>
              </w:rPr>
              <w:t>112</w:t>
            </w:r>
            <w:r w:rsidR="00A26AF8" w:rsidRPr="0038157E">
              <w:rPr>
                <w:noProof/>
                <w:webHidden/>
              </w:rPr>
              <w:fldChar w:fldCharType="end"/>
            </w:r>
          </w:hyperlink>
        </w:p>
        <w:p w14:paraId="1F76945E" w14:textId="1CCB78B0" w:rsidR="00A26AF8" w:rsidRPr="0038157E" w:rsidRDefault="00451AD7" w:rsidP="000067B1">
          <w:pPr>
            <w:pStyle w:val="TOC3"/>
            <w:rPr>
              <w:rFonts w:eastAsiaTheme="minorEastAsia"/>
              <w:noProof/>
              <w:lang w:val="en-US"/>
            </w:rPr>
          </w:pPr>
          <w:hyperlink w:anchor="_Toc224237728" w:history="1">
            <w:r w:rsidR="00A26AF8" w:rsidRPr="0038157E">
              <w:rPr>
                <w:rStyle w:val="Hyperlink"/>
                <w:rFonts w:ascii="Times New Roman" w:hAnsi="Times New Roman" w:cs="Times New Roman"/>
                <w:i w:val="0"/>
                <w:noProof/>
                <w:sz w:val="24"/>
                <w:szCs w:val="24"/>
              </w:rPr>
              <w:t>4.4.6 Length of Service of Respondents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_Toc224237728 \h </w:instrText>
            </w:r>
            <w:r w:rsidR="00A26AF8" w:rsidRPr="0038157E">
              <w:rPr>
                <w:noProof/>
                <w:webHidden/>
              </w:rPr>
            </w:r>
            <w:r w:rsidR="00A26AF8" w:rsidRPr="0038157E">
              <w:rPr>
                <w:noProof/>
                <w:webHidden/>
              </w:rPr>
              <w:fldChar w:fldCharType="separate"/>
            </w:r>
            <w:r w:rsidR="000067B1">
              <w:rPr>
                <w:noProof/>
                <w:webHidden/>
              </w:rPr>
              <w:t>113</w:t>
            </w:r>
            <w:r w:rsidR="00A26AF8" w:rsidRPr="0038157E">
              <w:rPr>
                <w:noProof/>
                <w:webHidden/>
              </w:rPr>
              <w:fldChar w:fldCharType="end"/>
            </w:r>
          </w:hyperlink>
        </w:p>
        <w:p w14:paraId="23268D8D" w14:textId="24FCC2AF" w:rsidR="00A26AF8" w:rsidRPr="0038157E" w:rsidRDefault="00451AD7" w:rsidP="000067B1">
          <w:pPr>
            <w:pStyle w:val="TOC3"/>
            <w:rPr>
              <w:rFonts w:eastAsiaTheme="minorEastAsia"/>
              <w:noProof/>
              <w:lang w:val="en-US"/>
            </w:rPr>
          </w:pPr>
          <w:hyperlink w:anchor="_Toc224237729" w:history="1">
            <w:r w:rsidR="00A26AF8" w:rsidRPr="0038157E">
              <w:rPr>
                <w:rStyle w:val="Hyperlink"/>
                <w:rFonts w:ascii="Times New Roman" w:hAnsi="Times New Roman" w:cs="Times New Roman"/>
                <w:i w:val="0"/>
                <w:noProof/>
                <w:sz w:val="24"/>
                <w:szCs w:val="24"/>
              </w:rPr>
              <w:t>4.4.7 Respondent’s Department</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_Toc224237729 \h </w:instrText>
            </w:r>
            <w:r w:rsidR="00A26AF8" w:rsidRPr="0038157E">
              <w:rPr>
                <w:noProof/>
                <w:webHidden/>
              </w:rPr>
            </w:r>
            <w:r w:rsidR="00A26AF8" w:rsidRPr="0038157E">
              <w:rPr>
                <w:noProof/>
                <w:webHidden/>
              </w:rPr>
              <w:fldChar w:fldCharType="separate"/>
            </w:r>
            <w:r w:rsidR="000067B1">
              <w:rPr>
                <w:noProof/>
                <w:webHidden/>
              </w:rPr>
              <w:t>115</w:t>
            </w:r>
            <w:r w:rsidR="00A26AF8" w:rsidRPr="0038157E">
              <w:rPr>
                <w:noProof/>
                <w:webHidden/>
              </w:rPr>
              <w:fldChar w:fldCharType="end"/>
            </w:r>
          </w:hyperlink>
        </w:p>
        <w:p w14:paraId="191124EE" w14:textId="3868EBB9"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30" w:history="1">
            <w:r w:rsidR="00A26AF8" w:rsidRPr="0038157E">
              <w:rPr>
                <w:rStyle w:val="Hyperlink"/>
                <w:rFonts w:ascii="Times New Roman" w:hAnsi="Times New Roman" w:cs="Times New Roman"/>
                <w:smallCaps w:val="0"/>
                <w:noProof/>
                <w:sz w:val="24"/>
                <w:szCs w:val="24"/>
              </w:rPr>
              <w:t>4.5 Findings for Diagnostic Tests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_Toc224237730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117</w:t>
            </w:r>
            <w:r w:rsidR="00A26AF8" w:rsidRPr="0038157E">
              <w:rPr>
                <w:rFonts w:ascii="Times New Roman" w:hAnsi="Times New Roman" w:cs="Times New Roman"/>
                <w:noProof/>
                <w:webHidden/>
                <w:sz w:val="24"/>
                <w:szCs w:val="24"/>
              </w:rPr>
              <w:fldChar w:fldCharType="end"/>
            </w:r>
          </w:hyperlink>
        </w:p>
        <w:p w14:paraId="41C2759C" w14:textId="34E6DAA1" w:rsidR="00A26AF8" w:rsidRPr="0038157E" w:rsidRDefault="00451AD7" w:rsidP="000067B1">
          <w:pPr>
            <w:pStyle w:val="TOC3"/>
            <w:rPr>
              <w:rFonts w:eastAsiaTheme="minorEastAsia"/>
              <w:noProof/>
              <w:lang w:val="en-US"/>
            </w:rPr>
          </w:pPr>
          <w:hyperlink w:anchor="_Toc224237731" w:history="1">
            <w:r w:rsidR="00A26AF8" w:rsidRPr="0038157E">
              <w:rPr>
                <w:rStyle w:val="Hyperlink"/>
                <w:rFonts w:ascii="Times New Roman" w:hAnsi="Times New Roman" w:cs="Times New Roman"/>
                <w:i w:val="0"/>
                <w:noProof/>
                <w:sz w:val="24"/>
                <w:szCs w:val="24"/>
              </w:rPr>
              <w:t>4.5.1 Test of Sampling Adequacy</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_Toc224237731 \h </w:instrText>
            </w:r>
            <w:r w:rsidR="00A26AF8" w:rsidRPr="0038157E">
              <w:rPr>
                <w:noProof/>
                <w:webHidden/>
              </w:rPr>
            </w:r>
            <w:r w:rsidR="00A26AF8" w:rsidRPr="0038157E">
              <w:rPr>
                <w:noProof/>
                <w:webHidden/>
              </w:rPr>
              <w:fldChar w:fldCharType="separate"/>
            </w:r>
            <w:r w:rsidR="000067B1">
              <w:rPr>
                <w:noProof/>
                <w:webHidden/>
              </w:rPr>
              <w:t>117</w:t>
            </w:r>
            <w:r w:rsidR="00A26AF8" w:rsidRPr="0038157E">
              <w:rPr>
                <w:noProof/>
                <w:webHidden/>
              </w:rPr>
              <w:fldChar w:fldCharType="end"/>
            </w:r>
          </w:hyperlink>
        </w:p>
        <w:p w14:paraId="5C26AF85" w14:textId="21077ED9" w:rsidR="00A26AF8" w:rsidRPr="0038157E" w:rsidRDefault="00451AD7" w:rsidP="000067B1">
          <w:pPr>
            <w:pStyle w:val="TOC3"/>
            <w:rPr>
              <w:rFonts w:eastAsiaTheme="minorEastAsia"/>
              <w:noProof/>
              <w:lang w:val="en-US"/>
            </w:rPr>
          </w:pPr>
          <w:hyperlink w:anchor="_Toc224237732" w:history="1">
            <w:r w:rsidR="00A26AF8" w:rsidRPr="0038157E">
              <w:rPr>
                <w:rStyle w:val="Hyperlink"/>
                <w:rFonts w:ascii="Times New Roman" w:hAnsi="Times New Roman" w:cs="Times New Roman"/>
                <w:i w:val="0"/>
                <w:noProof/>
                <w:sz w:val="24"/>
                <w:szCs w:val="24"/>
              </w:rPr>
              <w:t>4.5.2 Normality Test Findings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_Toc224237732 \h </w:instrText>
            </w:r>
            <w:r w:rsidR="00A26AF8" w:rsidRPr="0038157E">
              <w:rPr>
                <w:noProof/>
                <w:webHidden/>
              </w:rPr>
            </w:r>
            <w:r w:rsidR="00A26AF8" w:rsidRPr="0038157E">
              <w:rPr>
                <w:noProof/>
                <w:webHidden/>
              </w:rPr>
              <w:fldChar w:fldCharType="separate"/>
            </w:r>
            <w:r w:rsidR="000067B1">
              <w:rPr>
                <w:noProof/>
                <w:webHidden/>
              </w:rPr>
              <w:t>118</w:t>
            </w:r>
            <w:r w:rsidR="00A26AF8" w:rsidRPr="0038157E">
              <w:rPr>
                <w:noProof/>
                <w:webHidden/>
              </w:rPr>
              <w:fldChar w:fldCharType="end"/>
            </w:r>
          </w:hyperlink>
        </w:p>
        <w:p w14:paraId="532876F4" w14:textId="00B53272" w:rsidR="00A26AF8" w:rsidRPr="0038157E" w:rsidRDefault="00451AD7" w:rsidP="000067B1">
          <w:pPr>
            <w:pStyle w:val="TOC3"/>
            <w:rPr>
              <w:rFonts w:eastAsiaTheme="minorEastAsia"/>
              <w:noProof/>
              <w:lang w:val="en-US"/>
            </w:rPr>
          </w:pPr>
          <w:hyperlink w:anchor="_Toc224237733" w:history="1">
            <w:r w:rsidR="00A26AF8" w:rsidRPr="0038157E">
              <w:rPr>
                <w:rStyle w:val="Hyperlink"/>
                <w:rFonts w:ascii="Times New Roman" w:hAnsi="Times New Roman" w:cs="Times New Roman"/>
                <w:i w:val="0"/>
                <w:noProof/>
                <w:sz w:val="24"/>
                <w:szCs w:val="24"/>
              </w:rPr>
              <w:t>4.5.3 Heteroscedasticity Test Findings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_Toc224237733 \h </w:instrText>
            </w:r>
            <w:r w:rsidR="00A26AF8" w:rsidRPr="0038157E">
              <w:rPr>
                <w:noProof/>
                <w:webHidden/>
              </w:rPr>
            </w:r>
            <w:r w:rsidR="00A26AF8" w:rsidRPr="0038157E">
              <w:rPr>
                <w:noProof/>
                <w:webHidden/>
              </w:rPr>
              <w:fldChar w:fldCharType="separate"/>
            </w:r>
            <w:r w:rsidR="000067B1">
              <w:rPr>
                <w:noProof/>
                <w:webHidden/>
              </w:rPr>
              <w:t>120</w:t>
            </w:r>
            <w:r w:rsidR="00A26AF8" w:rsidRPr="0038157E">
              <w:rPr>
                <w:noProof/>
                <w:webHidden/>
              </w:rPr>
              <w:fldChar w:fldCharType="end"/>
            </w:r>
          </w:hyperlink>
        </w:p>
        <w:p w14:paraId="52684F39" w14:textId="4D788855" w:rsidR="00A26AF8" w:rsidRPr="0038157E" w:rsidRDefault="00451AD7" w:rsidP="000067B1">
          <w:pPr>
            <w:pStyle w:val="TOC3"/>
            <w:rPr>
              <w:rFonts w:eastAsiaTheme="minorEastAsia"/>
              <w:noProof/>
              <w:lang w:val="en-US"/>
            </w:rPr>
          </w:pPr>
          <w:hyperlink w:anchor="_Toc224237734" w:history="1">
            <w:r w:rsidR="00A26AF8" w:rsidRPr="0038157E">
              <w:rPr>
                <w:rStyle w:val="Hyperlink"/>
                <w:rFonts w:ascii="Times New Roman" w:hAnsi="Times New Roman" w:cs="Times New Roman"/>
                <w:i w:val="0"/>
                <w:noProof/>
                <w:sz w:val="24"/>
                <w:szCs w:val="24"/>
              </w:rPr>
              <w:t>4.5.4 Multi-Collinearity Test Findings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_Toc224237734 \h </w:instrText>
            </w:r>
            <w:r w:rsidR="00A26AF8" w:rsidRPr="0038157E">
              <w:rPr>
                <w:noProof/>
                <w:webHidden/>
              </w:rPr>
            </w:r>
            <w:r w:rsidR="00A26AF8" w:rsidRPr="0038157E">
              <w:rPr>
                <w:noProof/>
                <w:webHidden/>
              </w:rPr>
              <w:fldChar w:fldCharType="separate"/>
            </w:r>
            <w:r w:rsidR="000067B1">
              <w:rPr>
                <w:noProof/>
                <w:webHidden/>
              </w:rPr>
              <w:t>120</w:t>
            </w:r>
            <w:r w:rsidR="00A26AF8" w:rsidRPr="0038157E">
              <w:rPr>
                <w:noProof/>
                <w:webHidden/>
              </w:rPr>
              <w:fldChar w:fldCharType="end"/>
            </w:r>
          </w:hyperlink>
        </w:p>
        <w:p w14:paraId="06B41CB8" w14:textId="77EBEDDF" w:rsidR="00A26AF8" w:rsidRPr="0038157E" w:rsidRDefault="00451AD7" w:rsidP="000067B1">
          <w:pPr>
            <w:pStyle w:val="TOC3"/>
            <w:rPr>
              <w:rFonts w:eastAsiaTheme="minorEastAsia"/>
              <w:noProof/>
              <w:lang w:val="en-US"/>
            </w:rPr>
          </w:pPr>
          <w:hyperlink w:anchor="_Toc224237735" w:history="1">
            <w:r w:rsidR="00A26AF8" w:rsidRPr="0038157E">
              <w:rPr>
                <w:rStyle w:val="Hyperlink"/>
                <w:rFonts w:ascii="Times New Roman" w:hAnsi="Times New Roman" w:cs="Times New Roman"/>
                <w:i w:val="0"/>
                <w:noProof/>
                <w:sz w:val="24"/>
                <w:szCs w:val="24"/>
              </w:rPr>
              <w:t>4.5.5 Findings for Autocorrelation</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_Toc224237735 \h </w:instrText>
            </w:r>
            <w:r w:rsidR="00A26AF8" w:rsidRPr="0038157E">
              <w:rPr>
                <w:noProof/>
                <w:webHidden/>
              </w:rPr>
            </w:r>
            <w:r w:rsidR="00A26AF8" w:rsidRPr="0038157E">
              <w:rPr>
                <w:noProof/>
                <w:webHidden/>
              </w:rPr>
              <w:fldChar w:fldCharType="separate"/>
            </w:r>
            <w:r w:rsidR="000067B1">
              <w:rPr>
                <w:noProof/>
                <w:webHidden/>
              </w:rPr>
              <w:t>121</w:t>
            </w:r>
            <w:r w:rsidR="00A26AF8" w:rsidRPr="0038157E">
              <w:rPr>
                <w:noProof/>
                <w:webHidden/>
              </w:rPr>
              <w:fldChar w:fldCharType="end"/>
            </w:r>
          </w:hyperlink>
        </w:p>
        <w:p w14:paraId="46BE7E9C" w14:textId="480F2C58" w:rsidR="00A26AF8" w:rsidRPr="0038157E" w:rsidRDefault="00451AD7" w:rsidP="000067B1">
          <w:pPr>
            <w:pStyle w:val="TOC3"/>
            <w:rPr>
              <w:rFonts w:eastAsiaTheme="minorEastAsia"/>
              <w:noProof/>
              <w:lang w:val="en-US"/>
            </w:rPr>
          </w:pPr>
          <w:hyperlink w:anchor="_Toc224237736" w:history="1">
            <w:r w:rsidR="00A26AF8" w:rsidRPr="0038157E">
              <w:rPr>
                <w:rStyle w:val="Hyperlink"/>
                <w:rFonts w:ascii="Times New Roman" w:hAnsi="Times New Roman" w:cs="Times New Roman"/>
                <w:i w:val="0"/>
                <w:noProof/>
                <w:sz w:val="24"/>
                <w:szCs w:val="24"/>
                <w:lang w:val="en-US"/>
              </w:rPr>
              <w:t>4.5.6 Overall Correlation Analysis Findings for GHRM Practices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_Toc224237736 \h </w:instrText>
            </w:r>
            <w:r w:rsidR="00A26AF8" w:rsidRPr="0038157E">
              <w:rPr>
                <w:noProof/>
                <w:webHidden/>
              </w:rPr>
            </w:r>
            <w:r w:rsidR="00A26AF8" w:rsidRPr="0038157E">
              <w:rPr>
                <w:noProof/>
                <w:webHidden/>
              </w:rPr>
              <w:fldChar w:fldCharType="separate"/>
            </w:r>
            <w:r w:rsidR="000067B1">
              <w:rPr>
                <w:noProof/>
                <w:webHidden/>
              </w:rPr>
              <w:t>122</w:t>
            </w:r>
            <w:r w:rsidR="00A26AF8" w:rsidRPr="0038157E">
              <w:rPr>
                <w:noProof/>
                <w:webHidden/>
              </w:rPr>
              <w:fldChar w:fldCharType="end"/>
            </w:r>
          </w:hyperlink>
        </w:p>
        <w:p w14:paraId="150BF041" w14:textId="239D849C"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37" w:history="1">
            <w:r w:rsidR="00A26AF8" w:rsidRPr="0038157E">
              <w:rPr>
                <w:rStyle w:val="Hyperlink"/>
                <w:rFonts w:ascii="Times New Roman" w:hAnsi="Times New Roman" w:cs="Times New Roman"/>
                <w:smallCaps w:val="0"/>
                <w:noProof/>
                <w:sz w:val="24"/>
                <w:szCs w:val="24"/>
              </w:rPr>
              <w:t>4.6 Findings for Green Employee Resourcing and Performance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_Toc224237737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123</w:t>
            </w:r>
            <w:r w:rsidR="00A26AF8" w:rsidRPr="0038157E">
              <w:rPr>
                <w:rFonts w:ascii="Times New Roman" w:hAnsi="Times New Roman" w:cs="Times New Roman"/>
                <w:noProof/>
                <w:webHidden/>
                <w:sz w:val="24"/>
                <w:szCs w:val="24"/>
              </w:rPr>
              <w:fldChar w:fldCharType="end"/>
            </w:r>
          </w:hyperlink>
        </w:p>
        <w:p w14:paraId="060CAF54" w14:textId="610632AF" w:rsidR="00A26AF8" w:rsidRPr="0038157E" w:rsidRDefault="00451AD7" w:rsidP="000067B1">
          <w:pPr>
            <w:pStyle w:val="TOC3"/>
            <w:rPr>
              <w:rFonts w:eastAsiaTheme="minorEastAsia"/>
              <w:noProof/>
              <w:lang w:val="en-US"/>
            </w:rPr>
          </w:pPr>
          <w:hyperlink w:anchor="_Toc224237738" w:history="1">
            <w:r w:rsidR="00A26AF8" w:rsidRPr="0038157E">
              <w:rPr>
                <w:rStyle w:val="Hyperlink"/>
                <w:rFonts w:ascii="Times New Roman" w:hAnsi="Times New Roman" w:cs="Times New Roman"/>
                <w:i w:val="0"/>
                <w:noProof/>
                <w:sz w:val="24"/>
                <w:szCs w:val="24"/>
              </w:rPr>
              <w:t>4.6.1 Descriptive Statistical Findings for Green Employee Resourcing</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_Toc224237738 \h </w:instrText>
            </w:r>
            <w:r w:rsidR="00A26AF8" w:rsidRPr="0038157E">
              <w:rPr>
                <w:noProof/>
                <w:webHidden/>
              </w:rPr>
            </w:r>
            <w:r w:rsidR="00A26AF8" w:rsidRPr="0038157E">
              <w:rPr>
                <w:noProof/>
                <w:webHidden/>
              </w:rPr>
              <w:fldChar w:fldCharType="separate"/>
            </w:r>
            <w:r w:rsidR="000067B1">
              <w:rPr>
                <w:noProof/>
                <w:webHidden/>
              </w:rPr>
              <w:t>123</w:t>
            </w:r>
            <w:r w:rsidR="00A26AF8" w:rsidRPr="0038157E">
              <w:rPr>
                <w:noProof/>
                <w:webHidden/>
              </w:rPr>
              <w:fldChar w:fldCharType="end"/>
            </w:r>
          </w:hyperlink>
        </w:p>
        <w:p w14:paraId="2FAEE875" w14:textId="51A63EAB" w:rsidR="00A26AF8" w:rsidRPr="0038157E" w:rsidRDefault="00451AD7" w:rsidP="000067B1">
          <w:pPr>
            <w:pStyle w:val="TOC3"/>
            <w:rPr>
              <w:rFonts w:eastAsiaTheme="minorEastAsia"/>
              <w:noProof/>
              <w:lang w:val="en-US"/>
            </w:rPr>
          </w:pPr>
          <w:hyperlink w:anchor="_Toc224237739" w:history="1">
            <w:r w:rsidR="00A26AF8" w:rsidRPr="0038157E">
              <w:rPr>
                <w:rStyle w:val="Hyperlink"/>
                <w:rFonts w:ascii="Times New Roman" w:hAnsi="Times New Roman" w:cs="Times New Roman"/>
                <w:i w:val="0"/>
                <w:noProof/>
                <w:sz w:val="24"/>
                <w:szCs w:val="24"/>
              </w:rPr>
              <w:t>4.6.2 Correlation Analysis Findings for Green Employee Resourcing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_Toc224237739 \h </w:instrText>
            </w:r>
            <w:r w:rsidR="00A26AF8" w:rsidRPr="0038157E">
              <w:rPr>
                <w:noProof/>
                <w:webHidden/>
              </w:rPr>
            </w:r>
            <w:r w:rsidR="00A26AF8" w:rsidRPr="0038157E">
              <w:rPr>
                <w:noProof/>
                <w:webHidden/>
              </w:rPr>
              <w:fldChar w:fldCharType="separate"/>
            </w:r>
            <w:r w:rsidR="000067B1">
              <w:rPr>
                <w:noProof/>
                <w:webHidden/>
              </w:rPr>
              <w:t>130</w:t>
            </w:r>
            <w:r w:rsidR="00A26AF8" w:rsidRPr="0038157E">
              <w:rPr>
                <w:noProof/>
                <w:webHidden/>
              </w:rPr>
              <w:fldChar w:fldCharType="end"/>
            </w:r>
          </w:hyperlink>
        </w:p>
        <w:p w14:paraId="64189A28" w14:textId="5B50163E" w:rsidR="00A26AF8" w:rsidRPr="0038157E" w:rsidRDefault="00451AD7" w:rsidP="000067B1">
          <w:pPr>
            <w:pStyle w:val="TOC3"/>
            <w:rPr>
              <w:rFonts w:eastAsiaTheme="minorEastAsia"/>
              <w:noProof/>
              <w:lang w:val="en-US"/>
            </w:rPr>
          </w:pPr>
          <w:hyperlink w:anchor="_Toc224237740" w:history="1">
            <w:r w:rsidR="00A26AF8" w:rsidRPr="0038157E">
              <w:rPr>
                <w:rStyle w:val="Hyperlink"/>
                <w:rFonts w:ascii="Times New Roman" w:hAnsi="Times New Roman" w:cs="Times New Roman"/>
                <w:i w:val="0"/>
                <w:noProof/>
                <w:sz w:val="24"/>
                <w:szCs w:val="24"/>
              </w:rPr>
              <w:t>4.6.3 Simple Linear Regression Analysis Findings for Green Employee Resourcing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_Toc224237740 \h </w:instrText>
            </w:r>
            <w:r w:rsidR="00A26AF8" w:rsidRPr="0038157E">
              <w:rPr>
                <w:noProof/>
                <w:webHidden/>
              </w:rPr>
            </w:r>
            <w:r w:rsidR="00A26AF8" w:rsidRPr="0038157E">
              <w:rPr>
                <w:noProof/>
                <w:webHidden/>
              </w:rPr>
              <w:fldChar w:fldCharType="separate"/>
            </w:r>
            <w:r w:rsidR="000067B1">
              <w:rPr>
                <w:noProof/>
                <w:webHidden/>
              </w:rPr>
              <w:t>132</w:t>
            </w:r>
            <w:r w:rsidR="00A26AF8" w:rsidRPr="0038157E">
              <w:rPr>
                <w:noProof/>
                <w:webHidden/>
              </w:rPr>
              <w:fldChar w:fldCharType="end"/>
            </w:r>
          </w:hyperlink>
        </w:p>
        <w:p w14:paraId="1EDEDF94" w14:textId="4051557B"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41" w:history="1">
            <w:r w:rsidR="00A26AF8" w:rsidRPr="0038157E">
              <w:rPr>
                <w:rStyle w:val="Hyperlink"/>
                <w:rFonts w:ascii="Times New Roman" w:hAnsi="Times New Roman" w:cs="Times New Roman"/>
                <w:smallCaps w:val="0"/>
                <w:noProof/>
                <w:sz w:val="24"/>
                <w:szCs w:val="24"/>
              </w:rPr>
              <w:t>4.7 Findings for Green Training and Performance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_Toc224237741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134</w:t>
            </w:r>
            <w:r w:rsidR="00A26AF8" w:rsidRPr="0038157E">
              <w:rPr>
                <w:rFonts w:ascii="Times New Roman" w:hAnsi="Times New Roman" w:cs="Times New Roman"/>
                <w:noProof/>
                <w:webHidden/>
                <w:sz w:val="24"/>
                <w:szCs w:val="24"/>
              </w:rPr>
              <w:fldChar w:fldCharType="end"/>
            </w:r>
          </w:hyperlink>
        </w:p>
        <w:p w14:paraId="6733EB95" w14:textId="538074BF" w:rsidR="00A26AF8" w:rsidRPr="0038157E" w:rsidRDefault="00451AD7" w:rsidP="000067B1">
          <w:pPr>
            <w:pStyle w:val="TOC3"/>
            <w:rPr>
              <w:rFonts w:eastAsiaTheme="minorEastAsia"/>
              <w:noProof/>
              <w:lang w:val="en-US"/>
            </w:rPr>
          </w:pPr>
          <w:hyperlink w:anchor="_Toc224237742" w:history="1">
            <w:r w:rsidR="00A26AF8" w:rsidRPr="0038157E">
              <w:rPr>
                <w:rStyle w:val="Hyperlink"/>
                <w:rFonts w:ascii="Times New Roman" w:hAnsi="Times New Roman" w:cs="Times New Roman"/>
                <w:i w:val="0"/>
                <w:noProof/>
                <w:sz w:val="24"/>
                <w:szCs w:val="24"/>
              </w:rPr>
              <w:t>4.7.1 Descriptive Statistical Findings for Green Training</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_Toc224237742 \h </w:instrText>
            </w:r>
            <w:r w:rsidR="00A26AF8" w:rsidRPr="0038157E">
              <w:rPr>
                <w:noProof/>
                <w:webHidden/>
              </w:rPr>
            </w:r>
            <w:r w:rsidR="00A26AF8" w:rsidRPr="0038157E">
              <w:rPr>
                <w:noProof/>
                <w:webHidden/>
              </w:rPr>
              <w:fldChar w:fldCharType="separate"/>
            </w:r>
            <w:r w:rsidR="000067B1">
              <w:rPr>
                <w:noProof/>
                <w:webHidden/>
              </w:rPr>
              <w:t>134</w:t>
            </w:r>
            <w:r w:rsidR="00A26AF8" w:rsidRPr="0038157E">
              <w:rPr>
                <w:noProof/>
                <w:webHidden/>
              </w:rPr>
              <w:fldChar w:fldCharType="end"/>
            </w:r>
          </w:hyperlink>
        </w:p>
        <w:p w14:paraId="4DE1A385" w14:textId="5BA1C5C9" w:rsidR="00A26AF8" w:rsidRPr="0038157E" w:rsidRDefault="00451AD7" w:rsidP="000067B1">
          <w:pPr>
            <w:pStyle w:val="TOC3"/>
            <w:rPr>
              <w:rFonts w:eastAsiaTheme="minorEastAsia"/>
              <w:noProof/>
              <w:lang w:val="en-US"/>
            </w:rPr>
          </w:pPr>
          <w:hyperlink w:anchor="_Toc224237743" w:history="1">
            <w:r w:rsidR="00A26AF8" w:rsidRPr="0038157E">
              <w:rPr>
                <w:rStyle w:val="Hyperlink"/>
                <w:rFonts w:ascii="Times New Roman" w:hAnsi="Times New Roman" w:cs="Times New Roman"/>
                <w:i w:val="0"/>
                <w:noProof/>
                <w:sz w:val="24"/>
                <w:szCs w:val="24"/>
              </w:rPr>
              <w:t>4.7.2 Correlation Analysis Finding for Green Training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_Toc224237743 \h </w:instrText>
            </w:r>
            <w:r w:rsidR="00A26AF8" w:rsidRPr="0038157E">
              <w:rPr>
                <w:noProof/>
                <w:webHidden/>
              </w:rPr>
            </w:r>
            <w:r w:rsidR="00A26AF8" w:rsidRPr="0038157E">
              <w:rPr>
                <w:noProof/>
                <w:webHidden/>
              </w:rPr>
              <w:fldChar w:fldCharType="separate"/>
            </w:r>
            <w:r w:rsidR="000067B1">
              <w:rPr>
                <w:noProof/>
                <w:webHidden/>
              </w:rPr>
              <w:t>143</w:t>
            </w:r>
            <w:r w:rsidR="00A26AF8" w:rsidRPr="0038157E">
              <w:rPr>
                <w:noProof/>
                <w:webHidden/>
              </w:rPr>
              <w:fldChar w:fldCharType="end"/>
            </w:r>
          </w:hyperlink>
        </w:p>
        <w:p w14:paraId="644B10D6" w14:textId="3F4659E9" w:rsidR="00A26AF8" w:rsidRPr="0038157E" w:rsidRDefault="00451AD7" w:rsidP="000067B1">
          <w:pPr>
            <w:pStyle w:val="TOC3"/>
            <w:rPr>
              <w:rFonts w:eastAsiaTheme="minorEastAsia"/>
              <w:noProof/>
              <w:lang w:val="en-US"/>
            </w:rPr>
          </w:pPr>
          <w:hyperlink w:anchor="_Toc224237744" w:history="1">
            <w:r w:rsidR="00A26AF8" w:rsidRPr="0038157E">
              <w:rPr>
                <w:rStyle w:val="Hyperlink"/>
                <w:rFonts w:ascii="Times New Roman" w:eastAsia="TimesNewRoman" w:hAnsi="Times New Roman" w:cs="Times New Roman"/>
                <w:i w:val="0"/>
                <w:noProof/>
                <w:sz w:val="24"/>
                <w:szCs w:val="24"/>
              </w:rPr>
              <w:t>4.7.3</w:t>
            </w:r>
            <w:r w:rsidR="00A26AF8" w:rsidRPr="0038157E">
              <w:rPr>
                <w:rStyle w:val="Hyperlink"/>
                <w:rFonts w:ascii="Times New Roman" w:hAnsi="Times New Roman" w:cs="Times New Roman"/>
                <w:i w:val="0"/>
                <w:noProof/>
                <w:sz w:val="24"/>
                <w:szCs w:val="24"/>
              </w:rPr>
              <w:t xml:space="preserve"> Simple Linear Regression Analysis Findings for Green Training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_Toc224237744 \h </w:instrText>
            </w:r>
            <w:r w:rsidR="00A26AF8" w:rsidRPr="0038157E">
              <w:rPr>
                <w:noProof/>
                <w:webHidden/>
              </w:rPr>
            </w:r>
            <w:r w:rsidR="00A26AF8" w:rsidRPr="0038157E">
              <w:rPr>
                <w:noProof/>
                <w:webHidden/>
              </w:rPr>
              <w:fldChar w:fldCharType="separate"/>
            </w:r>
            <w:r w:rsidR="000067B1">
              <w:rPr>
                <w:noProof/>
                <w:webHidden/>
              </w:rPr>
              <w:t>145</w:t>
            </w:r>
            <w:r w:rsidR="00A26AF8" w:rsidRPr="0038157E">
              <w:rPr>
                <w:noProof/>
                <w:webHidden/>
              </w:rPr>
              <w:fldChar w:fldCharType="end"/>
            </w:r>
          </w:hyperlink>
        </w:p>
        <w:p w14:paraId="2ED1D4AF" w14:textId="34CF5562"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45" w:history="1">
            <w:r w:rsidR="00A26AF8" w:rsidRPr="0038157E">
              <w:rPr>
                <w:rStyle w:val="Hyperlink"/>
                <w:rFonts w:ascii="Times New Roman" w:hAnsi="Times New Roman" w:cs="Times New Roman"/>
                <w:smallCaps w:val="0"/>
                <w:noProof/>
                <w:sz w:val="24"/>
                <w:szCs w:val="24"/>
              </w:rPr>
              <w:t>4.8 Findings for Green Occupational Safety, Health, and Performance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_Toc224237745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147</w:t>
            </w:r>
            <w:r w:rsidR="00A26AF8" w:rsidRPr="0038157E">
              <w:rPr>
                <w:rFonts w:ascii="Times New Roman" w:hAnsi="Times New Roman" w:cs="Times New Roman"/>
                <w:noProof/>
                <w:webHidden/>
                <w:sz w:val="24"/>
                <w:szCs w:val="24"/>
              </w:rPr>
              <w:fldChar w:fldCharType="end"/>
            </w:r>
          </w:hyperlink>
        </w:p>
        <w:p w14:paraId="42D9097A" w14:textId="21C958A9" w:rsidR="00A26AF8" w:rsidRPr="0038157E" w:rsidRDefault="00451AD7" w:rsidP="000067B1">
          <w:pPr>
            <w:pStyle w:val="TOC3"/>
            <w:rPr>
              <w:rFonts w:eastAsiaTheme="minorEastAsia"/>
              <w:noProof/>
              <w:lang w:val="en-US"/>
            </w:rPr>
          </w:pPr>
          <w:hyperlink w:anchor="_Toc224237746" w:history="1">
            <w:r w:rsidR="00A26AF8" w:rsidRPr="0038157E">
              <w:rPr>
                <w:rStyle w:val="Hyperlink"/>
                <w:rFonts w:ascii="Times New Roman" w:hAnsi="Times New Roman" w:cs="Times New Roman"/>
                <w:i w:val="0"/>
                <w:noProof/>
                <w:sz w:val="24"/>
                <w:szCs w:val="24"/>
              </w:rPr>
              <w:t>4.8.1 Descriptive Statistical Findings for Green Occupational Safety and Health</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_Toc224237746 \h </w:instrText>
            </w:r>
            <w:r w:rsidR="00A26AF8" w:rsidRPr="0038157E">
              <w:rPr>
                <w:noProof/>
                <w:webHidden/>
              </w:rPr>
            </w:r>
            <w:r w:rsidR="00A26AF8" w:rsidRPr="0038157E">
              <w:rPr>
                <w:noProof/>
                <w:webHidden/>
              </w:rPr>
              <w:fldChar w:fldCharType="separate"/>
            </w:r>
            <w:r w:rsidR="000067B1">
              <w:rPr>
                <w:noProof/>
                <w:webHidden/>
              </w:rPr>
              <w:t>147</w:t>
            </w:r>
            <w:r w:rsidR="00A26AF8" w:rsidRPr="0038157E">
              <w:rPr>
                <w:noProof/>
                <w:webHidden/>
              </w:rPr>
              <w:fldChar w:fldCharType="end"/>
            </w:r>
          </w:hyperlink>
        </w:p>
        <w:p w14:paraId="1B4D673D" w14:textId="79B7E929" w:rsidR="00A26AF8" w:rsidRPr="0038157E" w:rsidRDefault="00451AD7" w:rsidP="000067B1">
          <w:pPr>
            <w:pStyle w:val="TOC3"/>
            <w:rPr>
              <w:rFonts w:eastAsiaTheme="minorEastAsia"/>
              <w:noProof/>
              <w:lang w:val="en-US"/>
            </w:rPr>
          </w:pPr>
          <w:hyperlink w:anchor="_Toc224237747" w:history="1">
            <w:r w:rsidR="00A26AF8" w:rsidRPr="0038157E">
              <w:rPr>
                <w:rStyle w:val="Hyperlink"/>
                <w:rFonts w:ascii="Times New Roman" w:hAnsi="Times New Roman" w:cs="Times New Roman"/>
                <w:i w:val="0"/>
                <w:noProof/>
                <w:sz w:val="24"/>
                <w:szCs w:val="24"/>
              </w:rPr>
              <w:t>4.8.2 Correlation Analysis Findings for Green Occupational Safety, Health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_Toc224237747 \h </w:instrText>
            </w:r>
            <w:r w:rsidR="00A26AF8" w:rsidRPr="0038157E">
              <w:rPr>
                <w:noProof/>
                <w:webHidden/>
              </w:rPr>
            </w:r>
            <w:r w:rsidR="00A26AF8" w:rsidRPr="0038157E">
              <w:rPr>
                <w:noProof/>
                <w:webHidden/>
              </w:rPr>
              <w:fldChar w:fldCharType="separate"/>
            </w:r>
            <w:r w:rsidR="000067B1">
              <w:rPr>
                <w:noProof/>
                <w:webHidden/>
              </w:rPr>
              <w:t>157</w:t>
            </w:r>
            <w:r w:rsidR="00A26AF8" w:rsidRPr="0038157E">
              <w:rPr>
                <w:noProof/>
                <w:webHidden/>
              </w:rPr>
              <w:fldChar w:fldCharType="end"/>
            </w:r>
          </w:hyperlink>
        </w:p>
        <w:p w14:paraId="037E4171" w14:textId="2DB68811" w:rsidR="00A26AF8" w:rsidRPr="0038157E" w:rsidRDefault="00451AD7" w:rsidP="000067B1">
          <w:pPr>
            <w:pStyle w:val="TOC3"/>
            <w:rPr>
              <w:rFonts w:eastAsiaTheme="minorEastAsia"/>
              <w:noProof/>
              <w:lang w:val="en-US"/>
            </w:rPr>
          </w:pPr>
          <w:hyperlink w:anchor="_Toc224237748" w:history="1">
            <w:r w:rsidR="00A26AF8" w:rsidRPr="0038157E">
              <w:rPr>
                <w:rStyle w:val="Hyperlink"/>
                <w:rFonts w:ascii="Times New Roman" w:hAnsi="Times New Roman" w:cs="Times New Roman"/>
                <w:i w:val="0"/>
                <w:noProof/>
                <w:sz w:val="24"/>
                <w:szCs w:val="24"/>
              </w:rPr>
              <w:t>4.8.3 Simple Linear Regression Analysis Finding for Green Occupational Safety, Health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_Toc224237748 \h </w:instrText>
            </w:r>
            <w:r w:rsidR="00A26AF8" w:rsidRPr="0038157E">
              <w:rPr>
                <w:noProof/>
                <w:webHidden/>
              </w:rPr>
            </w:r>
            <w:r w:rsidR="00A26AF8" w:rsidRPr="0038157E">
              <w:rPr>
                <w:noProof/>
                <w:webHidden/>
              </w:rPr>
              <w:fldChar w:fldCharType="separate"/>
            </w:r>
            <w:r w:rsidR="000067B1">
              <w:rPr>
                <w:noProof/>
                <w:webHidden/>
              </w:rPr>
              <w:t>158</w:t>
            </w:r>
            <w:r w:rsidR="00A26AF8" w:rsidRPr="0038157E">
              <w:rPr>
                <w:noProof/>
                <w:webHidden/>
              </w:rPr>
              <w:fldChar w:fldCharType="end"/>
            </w:r>
          </w:hyperlink>
        </w:p>
        <w:p w14:paraId="1DA13AF5" w14:textId="73853B80"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49" w:history="1">
            <w:r w:rsidR="00A26AF8" w:rsidRPr="0038157E">
              <w:rPr>
                <w:rStyle w:val="Hyperlink"/>
                <w:rFonts w:ascii="Times New Roman" w:hAnsi="Times New Roman" w:cs="Times New Roman"/>
                <w:smallCaps w:val="0"/>
                <w:noProof/>
                <w:sz w:val="24"/>
                <w:szCs w:val="24"/>
              </w:rPr>
              <w:t>4.9 Findings for Green Performance Evaluation and Performance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_Toc224237749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160</w:t>
            </w:r>
            <w:r w:rsidR="00A26AF8" w:rsidRPr="0038157E">
              <w:rPr>
                <w:rFonts w:ascii="Times New Roman" w:hAnsi="Times New Roman" w:cs="Times New Roman"/>
                <w:noProof/>
                <w:webHidden/>
                <w:sz w:val="24"/>
                <w:szCs w:val="24"/>
              </w:rPr>
              <w:fldChar w:fldCharType="end"/>
            </w:r>
          </w:hyperlink>
        </w:p>
        <w:p w14:paraId="4D5F979A" w14:textId="42C10F32" w:rsidR="00A26AF8" w:rsidRPr="0038157E" w:rsidRDefault="00451AD7" w:rsidP="000067B1">
          <w:pPr>
            <w:pStyle w:val="TOC3"/>
            <w:rPr>
              <w:rFonts w:eastAsiaTheme="minorEastAsia"/>
              <w:noProof/>
              <w:lang w:val="en-US"/>
            </w:rPr>
          </w:pPr>
          <w:hyperlink w:anchor="_Toc224237750" w:history="1">
            <w:r w:rsidR="00A26AF8" w:rsidRPr="0038157E">
              <w:rPr>
                <w:rStyle w:val="Hyperlink"/>
                <w:rFonts w:ascii="Times New Roman" w:hAnsi="Times New Roman" w:cs="Times New Roman"/>
                <w:i w:val="0"/>
                <w:noProof/>
                <w:sz w:val="24"/>
                <w:szCs w:val="24"/>
              </w:rPr>
              <w:t>4.9.1 Descriptive Statistical Findings for Green Performance Evaluation</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_Toc224237750 \h </w:instrText>
            </w:r>
            <w:r w:rsidR="00A26AF8" w:rsidRPr="0038157E">
              <w:rPr>
                <w:noProof/>
                <w:webHidden/>
              </w:rPr>
            </w:r>
            <w:r w:rsidR="00A26AF8" w:rsidRPr="0038157E">
              <w:rPr>
                <w:noProof/>
                <w:webHidden/>
              </w:rPr>
              <w:fldChar w:fldCharType="separate"/>
            </w:r>
            <w:r w:rsidR="000067B1">
              <w:rPr>
                <w:noProof/>
                <w:webHidden/>
              </w:rPr>
              <w:t>160</w:t>
            </w:r>
            <w:r w:rsidR="00A26AF8" w:rsidRPr="0038157E">
              <w:rPr>
                <w:noProof/>
                <w:webHidden/>
              </w:rPr>
              <w:fldChar w:fldCharType="end"/>
            </w:r>
          </w:hyperlink>
        </w:p>
        <w:p w14:paraId="6747DD8A" w14:textId="27A3E667" w:rsidR="00A26AF8" w:rsidRPr="0038157E" w:rsidRDefault="00451AD7" w:rsidP="000067B1">
          <w:pPr>
            <w:pStyle w:val="TOC3"/>
            <w:rPr>
              <w:rFonts w:eastAsiaTheme="minorEastAsia"/>
              <w:noProof/>
              <w:lang w:val="en-US"/>
            </w:rPr>
          </w:pPr>
          <w:hyperlink w:anchor="_Toc224237751" w:history="1">
            <w:r w:rsidR="00A26AF8" w:rsidRPr="0038157E">
              <w:rPr>
                <w:rStyle w:val="Hyperlink"/>
                <w:rFonts w:ascii="Times New Roman" w:hAnsi="Times New Roman" w:cs="Times New Roman"/>
                <w:i w:val="0"/>
                <w:noProof/>
                <w:sz w:val="24"/>
                <w:szCs w:val="24"/>
              </w:rPr>
              <w:t>4.9.2 Correlation Analysis Findings for Green Performance Evaluation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_Toc224237751 \h </w:instrText>
            </w:r>
            <w:r w:rsidR="00A26AF8" w:rsidRPr="0038157E">
              <w:rPr>
                <w:noProof/>
                <w:webHidden/>
              </w:rPr>
            </w:r>
            <w:r w:rsidR="00A26AF8" w:rsidRPr="0038157E">
              <w:rPr>
                <w:noProof/>
                <w:webHidden/>
              </w:rPr>
              <w:fldChar w:fldCharType="separate"/>
            </w:r>
            <w:r w:rsidR="000067B1">
              <w:rPr>
                <w:noProof/>
                <w:webHidden/>
              </w:rPr>
              <w:t>167</w:t>
            </w:r>
            <w:r w:rsidR="00A26AF8" w:rsidRPr="0038157E">
              <w:rPr>
                <w:noProof/>
                <w:webHidden/>
              </w:rPr>
              <w:fldChar w:fldCharType="end"/>
            </w:r>
          </w:hyperlink>
        </w:p>
        <w:p w14:paraId="4B0AD4DE" w14:textId="45B9ADF4" w:rsidR="00A26AF8" w:rsidRPr="0038157E" w:rsidRDefault="00451AD7" w:rsidP="000067B1">
          <w:pPr>
            <w:pStyle w:val="TOC3"/>
            <w:rPr>
              <w:rFonts w:eastAsiaTheme="minorEastAsia"/>
              <w:noProof/>
              <w:lang w:val="en-US"/>
            </w:rPr>
          </w:pPr>
          <w:hyperlink w:anchor="_Toc224237752" w:history="1">
            <w:r w:rsidR="00A26AF8" w:rsidRPr="0038157E">
              <w:rPr>
                <w:rStyle w:val="Hyperlink"/>
                <w:rFonts w:ascii="Times New Roman" w:hAnsi="Times New Roman" w:cs="Times New Roman"/>
                <w:i w:val="0"/>
                <w:noProof/>
                <w:sz w:val="24"/>
                <w:szCs w:val="24"/>
              </w:rPr>
              <w:t>4.9.3 Simple Linear Regression Analysis for Green Performance Evaluation and Performance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_Toc224237752 \h </w:instrText>
            </w:r>
            <w:r w:rsidR="00A26AF8" w:rsidRPr="0038157E">
              <w:rPr>
                <w:noProof/>
                <w:webHidden/>
              </w:rPr>
            </w:r>
            <w:r w:rsidR="00A26AF8" w:rsidRPr="0038157E">
              <w:rPr>
                <w:noProof/>
                <w:webHidden/>
              </w:rPr>
              <w:fldChar w:fldCharType="separate"/>
            </w:r>
            <w:r w:rsidR="000067B1">
              <w:rPr>
                <w:noProof/>
                <w:webHidden/>
              </w:rPr>
              <w:t>168</w:t>
            </w:r>
            <w:r w:rsidR="00A26AF8" w:rsidRPr="0038157E">
              <w:rPr>
                <w:noProof/>
                <w:webHidden/>
              </w:rPr>
              <w:fldChar w:fldCharType="end"/>
            </w:r>
          </w:hyperlink>
        </w:p>
        <w:p w14:paraId="79952B67" w14:textId="1070D1D6"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53" w:history="1">
            <w:r w:rsidR="00A26AF8" w:rsidRPr="0038157E">
              <w:rPr>
                <w:rStyle w:val="Hyperlink"/>
                <w:rFonts w:ascii="Times New Roman" w:hAnsi="Times New Roman" w:cs="Times New Roman"/>
                <w:smallCaps w:val="0"/>
                <w:noProof/>
                <w:sz w:val="24"/>
                <w:szCs w:val="24"/>
              </w:rPr>
              <w:t>4.10 Multiple Regression Analysis Findings without the Moderating Variable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_Toc224237753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170</w:t>
            </w:r>
            <w:r w:rsidR="00A26AF8" w:rsidRPr="0038157E">
              <w:rPr>
                <w:rFonts w:ascii="Times New Roman" w:hAnsi="Times New Roman" w:cs="Times New Roman"/>
                <w:noProof/>
                <w:webHidden/>
                <w:sz w:val="24"/>
                <w:szCs w:val="24"/>
              </w:rPr>
              <w:fldChar w:fldCharType="end"/>
            </w:r>
          </w:hyperlink>
        </w:p>
        <w:p w14:paraId="6AAEF7B1" w14:textId="5092CC8E"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54" w:history="1">
            <w:r w:rsidR="00A26AF8" w:rsidRPr="0038157E">
              <w:rPr>
                <w:rStyle w:val="Hyperlink"/>
                <w:rFonts w:ascii="Times New Roman" w:hAnsi="Times New Roman" w:cs="Times New Roman"/>
                <w:smallCaps w:val="0"/>
                <w:noProof/>
                <w:sz w:val="24"/>
                <w:szCs w:val="24"/>
              </w:rPr>
              <w:t>4.11 Statistical Findings for Management Style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_Toc224237754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173</w:t>
            </w:r>
            <w:r w:rsidR="00A26AF8" w:rsidRPr="0038157E">
              <w:rPr>
                <w:rFonts w:ascii="Times New Roman" w:hAnsi="Times New Roman" w:cs="Times New Roman"/>
                <w:noProof/>
                <w:webHidden/>
                <w:sz w:val="24"/>
                <w:szCs w:val="24"/>
              </w:rPr>
              <w:fldChar w:fldCharType="end"/>
            </w:r>
          </w:hyperlink>
        </w:p>
        <w:p w14:paraId="55612315" w14:textId="00B44DD9" w:rsidR="00A26AF8" w:rsidRPr="0038157E" w:rsidRDefault="00451AD7" w:rsidP="000067B1">
          <w:pPr>
            <w:pStyle w:val="TOC3"/>
            <w:rPr>
              <w:rFonts w:eastAsiaTheme="minorEastAsia"/>
              <w:noProof/>
              <w:lang w:val="en-US"/>
            </w:rPr>
          </w:pPr>
          <w:hyperlink w:anchor="_Toc224237755" w:history="1">
            <w:r w:rsidR="00A26AF8" w:rsidRPr="0038157E">
              <w:rPr>
                <w:rStyle w:val="Hyperlink"/>
                <w:rFonts w:ascii="Times New Roman" w:hAnsi="Times New Roman" w:cs="Times New Roman"/>
                <w:i w:val="0"/>
                <w:noProof/>
                <w:sz w:val="24"/>
                <w:szCs w:val="24"/>
              </w:rPr>
              <w:t>4.11.1 Descriptive Statistical Findings for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_Toc224237755 \h </w:instrText>
            </w:r>
            <w:r w:rsidR="00A26AF8" w:rsidRPr="0038157E">
              <w:rPr>
                <w:noProof/>
                <w:webHidden/>
              </w:rPr>
            </w:r>
            <w:r w:rsidR="00A26AF8" w:rsidRPr="0038157E">
              <w:rPr>
                <w:noProof/>
                <w:webHidden/>
              </w:rPr>
              <w:fldChar w:fldCharType="separate"/>
            </w:r>
            <w:r w:rsidR="000067B1">
              <w:rPr>
                <w:noProof/>
                <w:webHidden/>
              </w:rPr>
              <w:t>174</w:t>
            </w:r>
            <w:r w:rsidR="00A26AF8" w:rsidRPr="0038157E">
              <w:rPr>
                <w:noProof/>
                <w:webHidden/>
              </w:rPr>
              <w:fldChar w:fldCharType="end"/>
            </w:r>
          </w:hyperlink>
        </w:p>
        <w:p w14:paraId="0A8BB80C" w14:textId="2AB417C5"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56" w:history="1">
            <w:r w:rsidR="00A26AF8" w:rsidRPr="0038157E">
              <w:rPr>
                <w:rStyle w:val="Hyperlink"/>
                <w:rFonts w:ascii="Times New Roman" w:hAnsi="Times New Roman" w:cs="Times New Roman"/>
                <w:smallCaps w:val="0"/>
                <w:noProof/>
                <w:sz w:val="24"/>
                <w:szCs w:val="24"/>
              </w:rPr>
              <w:t>4.12 Multiple Regression Analysis Findings with the Moderating Variable- Management Style</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_Toc224237756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180</w:t>
            </w:r>
            <w:r w:rsidR="00A26AF8" w:rsidRPr="0038157E">
              <w:rPr>
                <w:rFonts w:ascii="Times New Roman" w:hAnsi="Times New Roman" w:cs="Times New Roman"/>
                <w:noProof/>
                <w:webHidden/>
                <w:sz w:val="24"/>
                <w:szCs w:val="24"/>
              </w:rPr>
              <w:fldChar w:fldCharType="end"/>
            </w:r>
          </w:hyperlink>
        </w:p>
        <w:p w14:paraId="2D20488D" w14:textId="5960DB80" w:rsidR="00A26AF8" w:rsidRPr="0038157E" w:rsidRDefault="00451AD7" w:rsidP="000067B1">
          <w:pPr>
            <w:pStyle w:val="TOC3"/>
            <w:rPr>
              <w:rFonts w:eastAsiaTheme="minorEastAsia"/>
              <w:noProof/>
              <w:lang w:val="en-US"/>
            </w:rPr>
          </w:pPr>
          <w:hyperlink w:anchor="_Toc224237757" w:history="1">
            <w:r w:rsidR="00A26AF8" w:rsidRPr="0038157E">
              <w:rPr>
                <w:rStyle w:val="Hyperlink"/>
                <w:rFonts w:ascii="Times New Roman" w:hAnsi="Times New Roman" w:cs="Times New Roman"/>
                <w:i w:val="0"/>
                <w:noProof/>
                <w:sz w:val="24"/>
                <w:szCs w:val="24"/>
              </w:rPr>
              <w:t>4.12.1 Regression Analysis Findings for Moderating Bureaucratic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_Toc224237757 \h </w:instrText>
            </w:r>
            <w:r w:rsidR="00A26AF8" w:rsidRPr="0038157E">
              <w:rPr>
                <w:noProof/>
                <w:webHidden/>
              </w:rPr>
            </w:r>
            <w:r w:rsidR="00A26AF8" w:rsidRPr="0038157E">
              <w:rPr>
                <w:noProof/>
                <w:webHidden/>
              </w:rPr>
              <w:fldChar w:fldCharType="separate"/>
            </w:r>
            <w:r w:rsidR="000067B1">
              <w:rPr>
                <w:noProof/>
                <w:webHidden/>
              </w:rPr>
              <w:t>185</w:t>
            </w:r>
            <w:r w:rsidR="00A26AF8" w:rsidRPr="0038157E">
              <w:rPr>
                <w:noProof/>
                <w:webHidden/>
              </w:rPr>
              <w:fldChar w:fldCharType="end"/>
            </w:r>
          </w:hyperlink>
        </w:p>
        <w:p w14:paraId="4A8C18CC" w14:textId="4CF85984" w:rsidR="00A26AF8" w:rsidRPr="0038157E" w:rsidRDefault="00451AD7" w:rsidP="000067B1">
          <w:pPr>
            <w:pStyle w:val="TOC3"/>
            <w:rPr>
              <w:rFonts w:eastAsiaTheme="minorEastAsia"/>
              <w:noProof/>
              <w:lang w:val="en-US"/>
            </w:rPr>
          </w:pPr>
          <w:hyperlink w:anchor="_Toc224237758" w:history="1">
            <w:r w:rsidR="00A26AF8" w:rsidRPr="0038157E">
              <w:rPr>
                <w:rStyle w:val="Hyperlink"/>
                <w:rFonts w:ascii="Times New Roman" w:hAnsi="Times New Roman" w:cs="Times New Roman"/>
                <w:i w:val="0"/>
                <w:noProof/>
                <w:sz w:val="24"/>
                <w:szCs w:val="24"/>
              </w:rPr>
              <w:t>4.12.2 Regression Analysis Findings for Moderating Participative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_Toc224237758 \h </w:instrText>
            </w:r>
            <w:r w:rsidR="00A26AF8" w:rsidRPr="0038157E">
              <w:rPr>
                <w:noProof/>
                <w:webHidden/>
              </w:rPr>
            </w:r>
            <w:r w:rsidR="00A26AF8" w:rsidRPr="0038157E">
              <w:rPr>
                <w:noProof/>
                <w:webHidden/>
              </w:rPr>
              <w:fldChar w:fldCharType="separate"/>
            </w:r>
            <w:r w:rsidR="000067B1">
              <w:rPr>
                <w:noProof/>
                <w:webHidden/>
              </w:rPr>
              <w:t>186</w:t>
            </w:r>
            <w:r w:rsidR="00A26AF8" w:rsidRPr="0038157E">
              <w:rPr>
                <w:noProof/>
                <w:webHidden/>
              </w:rPr>
              <w:fldChar w:fldCharType="end"/>
            </w:r>
          </w:hyperlink>
        </w:p>
        <w:p w14:paraId="7BA02033" w14:textId="3E12C7AB" w:rsidR="00A26AF8" w:rsidRPr="0038157E" w:rsidRDefault="00451AD7" w:rsidP="000067B1">
          <w:pPr>
            <w:pStyle w:val="TOC3"/>
            <w:rPr>
              <w:rFonts w:eastAsiaTheme="minorEastAsia"/>
              <w:noProof/>
              <w:lang w:val="en-US"/>
            </w:rPr>
          </w:pPr>
          <w:hyperlink w:anchor="_Toc224237759" w:history="1">
            <w:r w:rsidR="00A26AF8" w:rsidRPr="0038157E">
              <w:rPr>
                <w:rStyle w:val="Hyperlink"/>
                <w:rFonts w:ascii="Times New Roman" w:hAnsi="Times New Roman" w:cs="Times New Roman"/>
                <w:i w:val="0"/>
                <w:noProof/>
                <w:sz w:val="24"/>
                <w:szCs w:val="24"/>
              </w:rPr>
              <w:t>4.12.3 Regression Analysis Findings for Moderating Contingency management Style</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_Toc224237759 \h </w:instrText>
            </w:r>
            <w:r w:rsidR="00A26AF8" w:rsidRPr="0038157E">
              <w:rPr>
                <w:noProof/>
                <w:webHidden/>
              </w:rPr>
            </w:r>
            <w:r w:rsidR="00A26AF8" w:rsidRPr="0038157E">
              <w:rPr>
                <w:noProof/>
                <w:webHidden/>
              </w:rPr>
              <w:fldChar w:fldCharType="separate"/>
            </w:r>
            <w:r w:rsidR="000067B1">
              <w:rPr>
                <w:noProof/>
                <w:webHidden/>
              </w:rPr>
              <w:t>188</w:t>
            </w:r>
            <w:r w:rsidR="00A26AF8" w:rsidRPr="0038157E">
              <w:rPr>
                <w:noProof/>
                <w:webHidden/>
              </w:rPr>
              <w:fldChar w:fldCharType="end"/>
            </w:r>
          </w:hyperlink>
        </w:p>
        <w:p w14:paraId="4900396A" w14:textId="67938987"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60" w:history="1">
            <w:r w:rsidR="00A26AF8" w:rsidRPr="0038157E">
              <w:rPr>
                <w:rStyle w:val="Hyperlink"/>
                <w:rFonts w:ascii="Times New Roman" w:eastAsia="SimSun" w:hAnsi="Times New Roman" w:cs="Times New Roman"/>
                <w:smallCaps w:val="0"/>
                <w:noProof/>
                <w:sz w:val="24"/>
                <w:szCs w:val="24"/>
              </w:rPr>
              <w:t xml:space="preserve">4.13 Findings for </w:t>
            </w:r>
            <w:r w:rsidR="00A26AF8" w:rsidRPr="0038157E">
              <w:rPr>
                <w:rStyle w:val="Hyperlink"/>
                <w:rFonts w:ascii="Times New Roman" w:hAnsi="Times New Roman" w:cs="Times New Roman"/>
                <w:smallCaps w:val="0"/>
                <w:noProof/>
                <w:sz w:val="24"/>
                <w:szCs w:val="24"/>
              </w:rPr>
              <w:t>Performance of Devolved Healthcare Services in Kenya</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_Toc224237760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190</w:t>
            </w:r>
            <w:r w:rsidR="00A26AF8" w:rsidRPr="0038157E">
              <w:rPr>
                <w:rFonts w:ascii="Times New Roman" w:hAnsi="Times New Roman" w:cs="Times New Roman"/>
                <w:noProof/>
                <w:webHidden/>
                <w:sz w:val="24"/>
                <w:szCs w:val="24"/>
              </w:rPr>
              <w:fldChar w:fldCharType="end"/>
            </w:r>
          </w:hyperlink>
        </w:p>
        <w:p w14:paraId="28A77F23" w14:textId="2399B592"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761" w:history="1">
            <w:r w:rsidR="00A26AF8" w:rsidRPr="0038157E">
              <w:rPr>
                <w:rStyle w:val="Hyperlink"/>
                <w:rFonts w:ascii="Times New Roman" w:hAnsi="Times New Roman" w:cs="Times New Roman"/>
                <w:caps w:val="0"/>
                <w:noProof/>
                <w:sz w:val="24"/>
                <w:szCs w:val="24"/>
              </w:rPr>
              <w:t>CHAPTER FIVE</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_Toc224237761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201</w:t>
            </w:r>
            <w:r w:rsidR="00A26AF8" w:rsidRPr="0038157E">
              <w:rPr>
                <w:rFonts w:ascii="Times New Roman" w:hAnsi="Times New Roman" w:cs="Times New Roman"/>
                <w:caps w:val="0"/>
                <w:noProof/>
                <w:webHidden/>
                <w:sz w:val="24"/>
                <w:szCs w:val="24"/>
              </w:rPr>
              <w:fldChar w:fldCharType="end"/>
            </w:r>
          </w:hyperlink>
        </w:p>
        <w:p w14:paraId="3CC51D35" w14:textId="50B8E391"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762" w:history="1">
            <w:r w:rsidR="00A26AF8" w:rsidRPr="0038157E">
              <w:rPr>
                <w:rStyle w:val="Hyperlink"/>
                <w:rFonts w:ascii="Times New Roman" w:hAnsi="Times New Roman" w:cs="Times New Roman"/>
                <w:caps w:val="0"/>
                <w:noProof/>
                <w:sz w:val="24"/>
                <w:szCs w:val="24"/>
              </w:rPr>
              <w:t>SUMMARY, CONCLUSIONS AND RECOMMENDATIONS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_Toc224237762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201</w:t>
            </w:r>
            <w:r w:rsidR="00A26AF8" w:rsidRPr="0038157E">
              <w:rPr>
                <w:rFonts w:ascii="Times New Roman" w:hAnsi="Times New Roman" w:cs="Times New Roman"/>
                <w:caps w:val="0"/>
                <w:noProof/>
                <w:webHidden/>
                <w:sz w:val="24"/>
                <w:szCs w:val="24"/>
              </w:rPr>
              <w:fldChar w:fldCharType="end"/>
            </w:r>
          </w:hyperlink>
        </w:p>
        <w:p w14:paraId="70FE5CA2" w14:textId="33907E78"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63" w:history="1">
            <w:r w:rsidR="00A26AF8" w:rsidRPr="0038157E">
              <w:rPr>
                <w:rStyle w:val="Hyperlink"/>
                <w:rFonts w:ascii="Times New Roman" w:hAnsi="Times New Roman" w:cs="Times New Roman"/>
                <w:smallCaps w:val="0"/>
                <w:noProof/>
                <w:sz w:val="24"/>
                <w:szCs w:val="24"/>
              </w:rPr>
              <w:t>5.1 Introduction</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_Toc224237763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201</w:t>
            </w:r>
            <w:r w:rsidR="00A26AF8" w:rsidRPr="0038157E">
              <w:rPr>
                <w:rFonts w:ascii="Times New Roman" w:hAnsi="Times New Roman" w:cs="Times New Roman"/>
                <w:noProof/>
                <w:webHidden/>
                <w:sz w:val="24"/>
                <w:szCs w:val="24"/>
              </w:rPr>
              <w:fldChar w:fldCharType="end"/>
            </w:r>
          </w:hyperlink>
        </w:p>
        <w:p w14:paraId="69349FA5" w14:textId="7D8E33D8"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64" w:history="1">
            <w:r w:rsidR="00A26AF8" w:rsidRPr="0038157E">
              <w:rPr>
                <w:rStyle w:val="Hyperlink"/>
                <w:rFonts w:ascii="Times New Roman" w:hAnsi="Times New Roman" w:cs="Times New Roman"/>
                <w:smallCaps w:val="0"/>
                <w:noProof/>
                <w:sz w:val="24"/>
                <w:szCs w:val="24"/>
              </w:rPr>
              <w:t>5.2 Summary of Findings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_Toc224237764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201</w:t>
            </w:r>
            <w:r w:rsidR="00A26AF8" w:rsidRPr="0038157E">
              <w:rPr>
                <w:rFonts w:ascii="Times New Roman" w:hAnsi="Times New Roman" w:cs="Times New Roman"/>
                <w:noProof/>
                <w:webHidden/>
                <w:sz w:val="24"/>
                <w:szCs w:val="24"/>
              </w:rPr>
              <w:fldChar w:fldCharType="end"/>
            </w:r>
          </w:hyperlink>
        </w:p>
        <w:p w14:paraId="22DD7341" w14:textId="4398DFC9" w:rsidR="00A26AF8" w:rsidRPr="0038157E" w:rsidRDefault="00451AD7" w:rsidP="000067B1">
          <w:pPr>
            <w:pStyle w:val="TOC3"/>
            <w:rPr>
              <w:rFonts w:eastAsiaTheme="minorEastAsia"/>
              <w:noProof/>
              <w:lang w:val="en-US"/>
            </w:rPr>
          </w:pPr>
          <w:hyperlink w:anchor="_Toc224237765" w:history="1">
            <w:r w:rsidR="00A26AF8" w:rsidRPr="0038157E">
              <w:rPr>
                <w:rStyle w:val="Hyperlink"/>
                <w:rFonts w:ascii="Times New Roman" w:hAnsi="Times New Roman" w:cs="Times New Roman"/>
                <w:i w:val="0"/>
                <w:noProof/>
                <w:sz w:val="24"/>
                <w:szCs w:val="24"/>
              </w:rPr>
              <w:t>5.2.1 Green Employee Resourcing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_Toc224237765 \h </w:instrText>
            </w:r>
            <w:r w:rsidR="00A26AF8" w:rsidRPr="0038157E">
              <w:rPr>
                <w:noProof/>
                <w:webHidden/>
              </w:rPr>
            </w:r>
            <w:r w:rsidR="00A26AF8" w:rsidRPr="0038157E">
              <w:rPr>
                <w:noProof/>
                <w:webHidden/>
              </w:rPr>
              <w:fldChar w:fldCharType="separate"/>
            </w:r>
            <w:r w:rsidR="000067B1">
              <w:rPr>
                <w:noProof/>
                <w:webHidden/>
              </w:rPr>
              <w:t>201</w:t>
            </w:r>
            <w:r w:rsidR="00A26AF8" w:rsidRPr="0038157E">
              <w:rPr>
                <w:noProof/>
                <w:webHidden/>
              </w:rPr>
              <w:fldChar w:fldCharType="end"/>
            </w:r>
          </w:hyperlink>
        </w:p>
        <w:p w14:paraId="249B5730" w14:textId="5C215D96" w:rsidR="00A26AF8" w:rsidRPr="0038157E" w:rsidRDefault="00451AD7" w:rsidP="000067B1">
          <w:pPr>
            <w:pStyle w:val="TOC3"/>
            <w:rPr>
              <w:rFonts w:eastAsiaTheme="minorEastAsia"/>
              <w:noProof/>
              <w:lang w:val="en-US"/>
            </w:rPr>
          </w:pPr>
          <w:hyperlink w:anchor="_Toc224237766" w:history="1">
            <w:r w:rsidR="00A26AF8" w:rsidRPr="0038157E">
              <w:rPr>
                <w:rStyle w:val="Hyperlink"/>
                <w:rFonts w:ascii="Times New Roman" w:hAnsi="Times New Roman" w:cs="Times New Roman"/>
                <w:i w:val="0"/>
                <w:noProof/>
                <w:sz w:val="24"/>
                <w:szCs w:val="24"/>
              </w:rPr>
              <w:t>5.2.2 Green Training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_Toc224237766 \h </w:instrText>
            </w:r>
            <w:r w:rsidR="00A26AF8" w:rsidRPr="0038157E">
              <w:rPr>
                <w:noProof/>
                <w:webHidden/>
              </w:rPr>
            </w:r>
            <w:r w:rsidR="00A26AF8" w:rsidRPr="0038157E">
              <w:rPr>
                <w:noProof/>
                <w:webHidden/>
              </w:rPr>
              <w:fldChar w:fldCharType="separate"/>
            </w:r>
            <w:r w:rsidR="000067B1">
              <w:rPr>
                <w:noProof/>
                <w:webHidden/>
              </w:rPr>
              <w:t>202</w:t>
            </w:r>
            <w:r w:rsidR="00A26AF8" w:rsidRPr="0038157E">
              <w:rPr>
                <w:noProof/>
                <w:webHidden/>
              </w:rPr>
              <w:fldChar w:fldCharType="end"/>
            </w:r>
          </w:hyperlink>
        </w:p>
        <w:p w14:paraId="766C865B" w14:textId="349404EB" w:rsidR="00A26AF8" w:rsidRPr="0038157E" w:rsidRDefault="00451AD7" w:rsidP="000067B1">
          <w:pPr>
            <w:pStyle w:val="TOC3"/>
            <w:rPr>
              <w:rFonts w:eastAsiaTheme="minorEastAsia"/>
              <w:noProof/>
              <w:lang w:val="en-US"/>
            </w:rPr>
          </w:pPr>
          <w:hyperlink w:anchor="_Toc224237767" w:history="1">
            <w:r w:rsidR="00A26AF8" w:rsidRPr="0038157E">
              <w:rPr>
                <w:rStyle w:val="Hyperlink"/>
                <w:rFonts w:ascii="Times New Roman" w:hAnsi="Times New Roman" w:cs="Times New Roman"/>
                <w:i w:val="0"/>
                <w:noProof/>
                <w:sz w:val="24"/>
                <w:szCs w:val="24"/>
              </w:rPr>
              <w:t xml:space="preserve">5.2.3 Green Occupational Safety, Health, and </w:t>
            </w:r>
            <w:r w:rsidR="00A26AF8" w:rsidRPr="0038157E">
              <w:rPr>
                <w:rStyle w:val="Hyperlink"/>
                <w:rFonts w:ascii="Times New Roman" w:eastAsia="Times New Roman" w:hAnsi="Times New Roman" w:cs="Times New Roman"/>
                <w:i w:val="0"/>
                <w:noProof/>
                <w:sz w:val="24"/>
                <w:szCs w:val="24"/>
              </w:rPr>
              <w:t>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_Toc224237767 \h </w:instrText>
            </w:r>
            <w:r w:rsidR="00A26AF8" w:rsidRPr="0038157E">
              <w:rPr>
                <w:noProof/>
                <w:webHidden/>
              </w:rPr>
            </w:r>
            <w:r w:rsidR="00A26AF8" w:rsidRPr="0038157E">
              <w:rPr>
                <w:noProof/>
                <w:webHidden/>
              </w:rPr>
              <w:fldChar w:fldCharType="separate"/>
            </w:r>
            <w:r w:rsidR="000067B1">
              <w:rPr>
                <w:noProof/>
                <w:webHidden/>
              </w:rPr>
              <w:t>203</w:t>
            </w:r>
            <w:r w:rsidR="00A26AF8" w:rsidRPr="0038157E">
              <w:rPr>
                <w:noProof/>
                <w:webHidden/>
              </w:rPr>
              <w:fldChar w:fldCharType="end"/>
            </w:r>
          </w:hyperlink>
        </w:p>
        <w:p w14:paraId="3C6B3A8F" w14:textId="4C07D9D2" w:rsidR="00A26AF8" w:rsidRPr="0038157E" w:rsidRDefault="00451AD7" w:rsidP="000067B1">
          <w:pPr>
            <w:pStyle w:val="TOC3"/>
            <w:rPr>
              <w:rFonts w:eastAsiaTheme="minorEastAsia"/>
              <w:noProof/>
              <w:lang w:val="en-US"/>
            </w:rPr>
          </w:pPr>
          <w:hyperlink w:anchor="_Toc224237768" w:history="1">
            <w:r w:rsidR="00A26AF8" w:rsidRPr="0038157E">
              <w:rPr>
                <w:rStyle w:val="Hyperlink"/>
                <w:rFonts w:ascii="Times New Roman" w:eastAsia="SimSun" w:hAnsi="Times New Roman" w:cs="Times New Roman"/>
                <w:i w:val="0"/>
                <w:noProof/>
                <w:sz w:val="24"/>
                <w:szCs w:val="24"/>
              </w:rPr>
              <w:t xml:space="preserve">5.2.4 </w:t>
            </w:r>
            <w:r w:rsidR="00A26AF8" w:rsidRPr="0038157E">
              <w:rPr>
                <w:rStyle w:val="Hyperlink"/>
                <w:rFonts w:ascii="Times New Roman" w:hAnsi="Times New Roman" w:cs="Times New Roman"/>
                <w:i w:val="0"/>
                <w:noProof/>
                <w:sz w:val="24"/>
                <w:szCs w:val="24"/>
              </w:rPr>
              <w:t xml:space="preserve">Green Performance Evaluation </w:t>
            </w:r>
            <w:r w:rsidR="00A26AF8" w:rsidRPr="0038157E">
              <w:rPr>
                <w:rStyle w:val="Hyperlink"/>
                <w:rFonts w:ascii="Times New Roman" w:eastAsia="SimSun" w:hAnsi="Times New Roman" w:cs="Times New Roman"/>
                <w:i w:val="0"/>
                <w:noProof/>
                <w:sz w:val="24"/>
                <w:szCs w:val="24"/>
              </w:rPr>
              <w:t xml:space="preserve">and </w:t>
            </w:r>
            <w:r w:rsidR="00A26AF8" w:rsidRPr="0038157E">
              <w:rPr>
                <w:rStyle w:val="Hyperlink"/>
                <w:rFonts w:ascii="Times New Roman" w:hAnsi="Times New Roman" w:cs="Times New Roman"/>
                <w:i w:val="0"/>
                <w:noProof/>
                <w:sz w:val="24"/>
                <w:szCs w:val="24"/>
              </w:rPr>
              <w:t>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_Toc224237768 \h </w:instrText>
            </w:r>
            <w:r w:rsidR="00A26AF8" w:rsidRPr="0038157E">
              <w:rPr>
                <w:noProof/>
                <w:webHidden/>
              </w:rPr>
            </w:r>
            <w:r w:rsidR="00A26AF8" w:rsidRPr="0038157E">
              <w:rPr>
                <w:noProof/>
                <w:webHidden/>
              </w:rPr>
              <w:fldChar w:fldCharType="separate"/>
            </w:r>
            <w:r w:rsidR="000067B1">
              <w:rPr>
                <w:noProof/>
                <w:webHidden/>
              </w:rPr>
              <w:t>203</w:t>
            </w:r>
            <w:r w:rsidR="00A26AF8" w:rsidRPr="0038157E">
              <w:rPr>
                <w:noProof/>
                <w:webHidden/>
              </w:rPr>
              <w:fldChar w:fldCharType="end"/>
            </w:r>
          </w:hyperlink>
        </w:p>
        <w:p w14:paraId="78B25032" w14:textId="6159C413" w:rsidR="00A26AF8" w:rsidRPr="0038157E" w:rsidRDefault="00451AD7" w:rsidP="000067B1">
          <w:pPr>
            <w:pStyle w:val="TOC3"/>
            <w:rPr>
              <w:rFonts w:eastAsiaTheme="minorEastAsia"/>
              <w:noProof/>
              <w:lang w:val="en-US"/>
            </w:rPr>
          </w:pPr>
          <w:hyperlink w:anchor="_Toc224237769" w:history="1">
            <w:r w:rsidR="00A26AF8" w:rsidRPr="0038157E">
              <w:rPr>
                <w:rStyle w:val="Hyperlink"/>
                <w:rFonts w:ascii="Times New Roman" w:hAnsi="Times New Roman" w:cs="Times New Roman"/>
                <w:i w:val="0"/>
                <w:noProof/>
                <w:sz w:val="24"/>
                <w:szCs w:val="24"/>
              </w:rPr>
              <w:t>5.2.5 The Moderating Effect of Management Style on the Relationship between GHRM Practices and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_Toc224237769 \h </w:instrText>
            </w:r>
            <w:r w:rsidR="00A26AF8" w:rsidRPr="0038157E">
              <w:rPr>
                <w:noProof/>
                <w:webHidden/>
              </w:rPr>
            </w:r>
            <w:r w:rsidR="00A26AF8" w:rsidRPr="0038157E">
              <w:rPr>
                <w:noProof/>
                <w:webHidden/>
              </w:rPr>
              <w:fldChar w:fldCharType="separate"/>
            </w:r>
            <w:r w:rsidR="000067B1">
              <w:rPr>
                <w:noProof/>
                <w:webHidden/>
              </w:rPr>
              <w:t>204</w:t>
            </w:r>
            <w:r w:rsidR="00A26AF8" w:rsidRPr="0038157E">
              <w:rPr>
                <w:noProof/>
                <w:webHidden/>
              </w:rPr>
              <w:fldChar w:fldCharType="end"/>
            </w:r>
          </w:hyperlink>
        </w:p>
        <w:p w14:paraId="6BBB7C9B" w14:textId="52189AB6" w:rsidR="00A26AF8" w:rsidRPr="0038157E" w:rsidRDefault="00451AD7" w:rsidP="000067B1">
          <w:pPr>
            <w:pStyle w:val="TOC3"/>
            <w:rPr>
              <w:rFonts w:eastAsiaTheme="minorEastAsia"/>
              <w:noProof/>
              <w:lang w:val="en-US"/>
            </w:rPr>
          </w:pPr>
          <w:hyperlink w:anchor="_Toc224237770" w:history="1">
            <w:r w:rsidR="00A26AF8" w:rsidRPr="0038157E">
              <w:rPr>
                <w:rStyle w:val="Hyperlink"/>
                <w:rFonts w:ascii="Times New Roman" w:hAnsi="Times New Roman" w:cs="Times New Roman"/>
                <w:i w:val="0"/>
                <w:noProof/>
                <w:sz w:val="24"/>
                <w:szCs w:val="24"/>
                <w:lang w:eastAsia="af-ZA"/>
              </w:rPr>
              <w:t>5.2.6 Performance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_Toc224237770 \h </w:instrText>
            </w:r>
            <w:r w:rsidR="00A26AF8" w:rsidRPr="0038157E">
              <w:rPr>
                <w:noProof/>
                <w:webHidden/>
              </w:rPr>
            </w:r>
            <w:r w:rsidR="00A26AF8" w:rsidRPr="0038157E">
              <w:rPr>
                <w:noProof/>
                <w:webHidden/>
              </w:rPr>
              <w:fldChar w:fldCharType="separate"/>
            </w:r>
            <w:r w:rsidR="000067B1">
              <w:rPr>
                <w:noProof/>
                <w:webHidden/>
              </w:rPr>
              <w:t>205</w:t>
            </w:r>
            <w:r w:rsidR="00A26AF8" w:rsidRPr="0038157E">
              <w:rPr>
                <w:noProof/>
                <w:webHidden/>
              </w:rPr>
              <w:fldChar w:fldCharType="end"/>
            </w:r>
          </w:hyperlink>
        </w:p>
        <w:p w14:paraId="12A83CA0" w14:textId="5617AEFE"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71" w:history="1">
            <w:r w:rsidR="00A26AF8" w:rsidRPr="0038157E">
              <w:rPr>
                <w:rStyle w:val="Hyperlink"/>
                <w:rFonts w:ascii="Times New Roman" w:hAnsi="Times New Roman" w:cs="Times New Roman"/>
                <w:smallCaps w:val="0"/>
                <w:noProof/>
                <w:sz w:val="24"/>
                <w:szCs w:val="24"/>
              </w:rPr>
              <w:t>5.3 Conclusions</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_Toc224237771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205</w:t>
            </w:r>
            <w:r w:rsidR="00A26AF8" w:rsidRPr="0038157E">
              <w:rPr>
                <w:rFonts w:ascii="Times New Roman" w:hAnsi="Times New Roman" w:cs="Times New Roman"/>
                <w:noProof/>
                <w:webHidden/>
                <w:sz w:val="24"/>
                <w:szCs w:val="24"/>
              </w:rPr>
              <w:fldChar w:fldCharType="end"/>
            </w:r>
          </w:hyperlink>
        </w:p>
        <w:p w14:paraId="5B2A7268" w14:textId="095C648F"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72" w:history="1">
            <w:r w:rsidR="00A26AF8" w:rsidRPr="0038157E">
              <w:rPr>
                <w:rStyle w:val="Hyperlink"/>
                <w:rFonts w:ascii="Times New Roman" w:hAnsi="Times New Roman" w:cs="Times New Roman"/>
                <w:smallCaps w:val="0"/>
                <w:noProof/>
                <w:sz w:val="24"/>
                <w:szCs w:val="24"/>
              </w:rPr>
              <w:t>5.4 Recommendations of the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_Toc224237772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208</w:t>
            </w:r>
            <w:r w:rsidR="00A26AF8" w:rsidRPr="0038157E">
              <w:rPr>
                <w:rFonts w:ascii="Times New Roman" w:hAnsi="Times New Roman" w:cs="Times New Roman"/>
                <w:noProof/>
                <w:webHidden/>
                <w:sz w:val="24"/>
                <w:szCs w:val="24"/>
              </w:rPr>
              <w:fldChar w:fldCharType="end"/>
            </w:r>
          </w:hyperlink>
        </w:p>
        <w:p w14:paraId="0673E709" w14:textId="0C260FE9" w:rsidR="00A26AF8" w:rsidRPr="0038157E" w:rsidRDefault="00451AD7" w:rsidP="000067B1">
          <w:pPr>
            <w:pStyle w:val="TOC3"/>
            <w:rPr>
              <w:rFonts w:eastAsiaTheme="minorEastAsia"/>
              <w:noProof/>
              <w:lang w:val="en-US"/>
            </w:rPr>
          </w:pPr>
          <w:hyperlink w:anchor="_Toc224237773" w:history="1">
            <w:r w:rsidR="00A26AF8" w:rsidRPr="0038157E">
              <w:rPr>
                <w:rStyle w:val="Hyperlink"/>
                <w:rFonts w:ascii="Times New Roman" w:hAnsi="Times New Roman" w:cs="Times New Roman"/>
                <w:i w:val="0"/>
                <w:noProof/>
                <w:sz w:val="24"/>
                <w:szCs w:val="24"/>
              </w:rPr>
              <w:t xml:space="preserve">5.4.1 </w:t>
            </w:r>
            <w:r w:rsidR="00A26AF8" w:rsidRPr="0038157E">
              <w:rPr>
                <w:rStyle w:val="Hyperlink"/>
                <w:rFonts w:ascii="Times New Roman" w:hAnsi="Times New Roman" w:cs="Times New Roman"/>
                <w:i w:val="0"/>
                <w:noProof/>
                <w:sz w:val="24"/>
                <w:szCs w:val="24"/>
                <w:lang w:eastAsia="af-ZA"/>
              </w:rPr>
              <w:t>Managers and Administrators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_Toc224237773 \h </w:instrText>
            </w:r>
            <w:r w:rsidR="00A26AF8" w:rsidRPr="0038157E">
              <w:rPr>
                <w:noProof/>
                <w:webHidden/>
              </w:rPr>
            </w:r>
            <w:r w:rsidR="00A26AF8" w:rsidRPr="0038157E">
              <w:rPr>
                <w:noProof/>
                <w:webHidden/>
              </w:rPr>
              <w:fldChar w:fldCharType="separate"/>
            </w:r>
            <w:r w:rsidR="000067B1">
              <w:rPr>
                <w:noProof/>
                <w:webHidden/>
              </w:rPr>
              <w:t>208</w:t>
            </w:r>
            <w:r w:rsidR="00A26AF8" w:rsidRPr="0038157E">
              <w:rPr>
                <w:noProof/>
                <w:webHidden/>
              </w:rPr>
              <w:fldChar w:fldCharType="end"/>
            </w:r>
          </w:hyperlink>
        </w:p>
        <w:p w14:paraId="27730349" w14:textId="51B9C609" w:rsidR="00A26AF8" w:rsidRPr="0038157E" w:rsidRDefault="00451AD7" w:rsidP="000067B1">
          <w:pPr>
            <w:pStyle w:val="TOC3"/>
            <w:rPr>
              <w:rFonts w:eastAsiaTheme="minorEastAsia"/>
              <w:noProof/>
              <w:lang w:val="en-US"/>
            </w:rPr>
          </w:pPr>
          <w:hyperlink w:anchor="_Toc224237774" w:history="1">
            <w:r w:rsidR="00A26AF8" w:rsidRPr="0038157E">
              <w:rPr>
                <w:rStyle w:val="Hyperlink"/>
                <w:rFonts w:ascii="Times New Roman" w:hAnsi="Times New Roman" w:cs="Times New Roman"/>
                <w:i w:val="0"/>
                <w:noProof/>
                <w:sz w:val="24"/>
                <w:szCs w:val="24"/>
                <w:lang w:eastAsia="af-ZA"/>
              </w:rPr>
              <w:t>5.4.2 Employees of Devolved healthcare Services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_Toc224237774 \h </w:instrText>
            </w:r>
            <w:r w:rsidR="00A26AF8" w:rsidRPr="0038157E">
              <w:rPr>
                <w:noProof/>
                <w:webHidden/>
              </w:rPr>
            </w:r>
            <w:r w:rsidR="00A26AF8" w:rsidRPr="0038157E">
              <w:rPr>
                <w:noProof/>
                <w:webHidden/>
              </w:rPr>
              <w:fldChar w:fldCharType="separate"/>
            </w:r>
            <w:r w:rsidR="000067B1">
              <w:rPr>
                <w:noProof/>
                <w:webHidden/>
              </w:rPr>
              <w:t>211</w:t>
            </w:r>
            <w:r w:rsidR="00A26AF8" w:rsidRPr="0038157E">
              <w:rPr>
                <w:noProof/>
                <w:webHidden/>
              </w:rPr>
              <w:fldChar w:fldCharType="end"/>
            </w:r>
          </w:hyperlink>
        </w:p>
        <w:p w14:paraId="0251D825" w14:textId="3B19CAE1" w:rsidR="00A26AF8" w:rsidRPr="0038157E" w:rsidRDefault="00451AD7" w:rsidP="000067B1">
          <w:pPr>
            <w:pStyle w:val="TOC3"/>
            <w:rPr>
              <w:rFonts w:eastAsiaTheme="minorEastAsia"/>
              <w:noProof/>
              <w:lang w:val="en-US"/>
            </w:rPr>
          </w:pPr>
          <w:hyperlink w:anchor="_Toc224237775" w:history="1">
            <w:r w:rsidR="00A26AF8" w:rsidRPr="0038157E">
              <w:rPr>
                <w:rStyle w:val="Hyperlink"/>
                <w:rFonts w:ascii="Times New Roman" w:hAnsi="Times New Roman" w:cs="Times New Roman"/>
                <w:i w:val="0"/>
                <w:noProof/>
                <w:sz w:val="24"/>
                <w:szCs w:val="24"/>
                <w:lang w:eastAsia="af-ZA"/>
              </w:rPr>
              <w:t>5.4.3 County Government- Department of Health</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_Toc224237775 \h </w:instrText>
            </w:r>
            <w:r w:rsidR="00A26AF8" w:rsidRPr="0038157E">
              <w:rPr>
                <w:noProof/>
                <w:webHidden/>
              </w:rPr>
            </w:r>
            <w:r w:rsidR="00A26AF8" w:rsidRPr="0038157E">
              <w:rPr>
                <w:noProof/>
                <w:webHidden/>
              </w:rPr>
              <w:fldChar w:fldCharType="separate"/>
            </w:r>
            <w:r w:rsidR="000067B1">
              <w:rPr>
                <w:noProof/>
                <w:webHidden/>
              </w:rPr>
              <w:t>212</w:t>
            </w:r>
            <w:r w:rsidR="00A26AF8" w:rsidRPr="0038157E">
              <w:rPr>
                <w:noProof/>
                <w:webHidden/>
              </w:rPr>
              <w:fldChar w:fldCharType="end"/>
            </w:r>
          </w:hyperlink>
        </w:p>
        <w:p w14:paraId="18DDC801" w14:textId="0BB5F504" w:rsidR="00A26AF8" w:rsidRPr="0038157E" w:rsidRDefault="00451AD7" w:rsidP="000067B1">
          <w:pPr>
            <w:pStyle w:val="TOC3"/>
            <w:rPr>
              <w:rFonts w:eastAsiaTheme="minorEastAsia"/>
              <w:noProof/>
              <w:lang w:val="en-US"/>
            </w:rPr>
          </w:pPr>
          <w:hyperlink w:anchor="_Toc224237776" w:history="1">
            <w:r w:rsidR="00A26AF8" w:rsidRPr="0038157E">
              <w:rPr>
                <w:rStyle w:val="Hyperlink"/>
                <w:rFonts w:ascii="Times New Roman" w:hAnsi="Times New Roman" w:cs="Times New Roman"/>
                <w:i w:val="0"/>
                <w:noProof/>
                <w:sz w:val="24"/>
                <w:szCs w:val="24"/>
                <w:lang w:eastAsia="af-ZA"/>
              </w:rPr>
              <w:t>5.4.4 Development Partners in Health Sector</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_Toc224237776 \h </w:instrText>
            </w:r>
            <w:r w:rsidR="00A26AF8" w:rsidRPr="0038157E">
              <w:rPr>
                <w:noProof/>
                <w:webHidden/>
              </w:rPr>
            </w:r>
            <w:r w:rsidR="00A26AF8" w:rsidRPr="0038157E">
              <w:rPr>
                <w:noProof/>
                <w:webHidden/>
              </w:rPr>
              <w:fldChar w:fldCharType="separate"/>
            </w:r>
            <w:r w:rsidR="000067B1">
              <w:rPr>
                <w:noProof/>
                <w:webHidden/>
              </w:rPr>
              <w:t>213</w:t>
            </w:r>
            <w:r w:rsidR="00A26AF8" w:rsidRPr="0038157E">
              <w:rPr>
                <w:noProof/>
                <w:webHidden/>
              </w:rPr>
              <w:fldChar w:fldCharType="end"/>
            </w:r>
          </w:hyperlink>
        </w:p>
        <w:p w14:paraId="0F4E8990" w14:textId="1C712FA1" w:rsidR="00A26AF8" w:rsidRPr="0038157E" w:rsidRDefault="00451AD7" w:rsidP="000067B1">
          <w:pPr>
            <w:pStyle w:val="TOC3"/>
            <w:rPr>
              <w:rFonts w:eastAsiaTheme="minorEastAsia"/>
              <w:noProof/>
              <w:lang w:val="en-US"/>
            </w:rPr>
          </w:pPr>
          <w:hyperlink w:anchor="_Toc224237777" w:history="1">
            <w:r w:rsidR="00A26AF8" w:rsidRPr="0038157E">
              <w:rPr>
                <w:rStyle w:val="Hyperlink"/>
                <w:rFonts w:ascii="Times New Roman" w:hAnsi="Times New Roman" w:cs="Times New Roman"/>
                <w:i w:val="0"/>
                <w:noProof/>
                <w:sz w:val="24"/>
                <w:szCs w:val="24"/>
                <w:lang w:eastAsia="af-ZA"/>
              </w:rPr>
              <w:t>5.4.5 Academic and Research Scholars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_Toc224237777 \h </w:instrText>
            </w:r>
            <w:r w:rsidR="00A26AF8" w:rsidRPr="0038157E">
              <w:rPr>
                <w:noProof/>
                <w:webHidden/>
              </w:rPr>
            </w:r>
            <w:r w:rsidR="00A26AF8" w:rsidRPr="0038157E">
              <w:rPr>
                <w:noProof/>
                <w:webHidden/>
              </w:rPr>
              <w:fldChar w:fldCharType="separate"/>
            </w:r>
            <w:r w:rsidR="000067B1">
              <w:rPr>
                <w:noProof/>
                <w:webHidden/>
              </w:rPr>
              <w:t>213</w:t>
            </w:r>
            <w:r w:rsidR="00A26AF8" w:rsidRPr="0038157E">
              <w:rPr>
                <w:noProof/>
                <w:webHidden/>
              </w:rPr>
              <w:fldChar w:fldCharType="end"/>
            </w:r>
          </w:hyperlink>
        </w:p>
        <w:p w14:paraId="53001075" w14:textId="7A6E9C8B" w:rsidR="00A26AF8" w:rsidRPr="0038157E" w:rsidRDefault="00451AD7" w:rsidP="000067B1">
          <w:pPr>
            <w:pStyle w:val="TOC3"/>
            <w:rPr>
              <w:rFonts w:eastAsiaTheme="minorEastAsia"/>
              <w:noProof/>
              <w:lang w:val="en-US"/>
            </w:rPr>
          </w:pPr>
          <w:hyperlink w:anchor="_Toc224237778" w:history="1">
            <w:r w:rsidR="00A26AF8" w:rsidRPr="0038157E">
              <w:rPr>
                <w:rStyle w:val="Hyperlink"/>
                <w:rFonts w:ascii="Times New Roman" w:hAnsi="Times New Roman" w:cs="Times New Roman"/>
                <w:i w:val="0"/>
                <w:noProof/>
                <w:sz w:val="24"/>
                <w:szCs w:val="24"/>
              </w:rPr>
              <w:t>5.4.6 Recommendation for Policy Makers</w:t>
            </w:r>
            <w:r w:rsidR="00A26AF8" w:rsidRPr="0038157E">
              <w:rPr>
                <w:noProof/>
                <w:webHidden/>
              </w:rPr>
              <w:tab/>
            </w:r>
            <w:r w:rsidR="00A26AF8" w:rsidRPr="0038157E">
              <w:rPr>
                <w:noProof/>
                <w:webHidden/>
              </w:rPr>
              <w:fldChar w:fldCharType="begin"/>
            </w:r>
            <w:r w:rsidR="00A26AF8" w:rsidRPr="0038157E">
              <w:rPr>
                <w:noProof/>
                <w:webHidden/>
              </w:rPr>
              <w:instrText xml:space="preserve"> PAGEREF _Toc224237778 \h </w:instrText>
            </w:r>
            <w:r w:rsidR="00A26AF8" w:rsidRPr="0038157E">
              <w:rPr>
                <w:noProof/>
                <w:webHidden/>
              </w:rPr>
            </w:r>
            <w:r w:rsidR="00A26AF8" w:rsidRPr="0038157E">
              <w:rPr>
                <w:noProof/>
                <w:webHidden/>
              </w:rPr>
              <w:fldChar w:fldCharType="separate"/>
            </w:r>
            <w:r w:rsidR="000067B1">
              <w:rPr>
                <w:noProof/>
                <w:webHidden/>
              </w:rPr>
              <w:t>214</w:t>
            </w:r>
            <w:r w:rsidR="00A26AF8" w:rsidRPr="0038157E">
              <w:rPr>
                <w:noProof/>
                <w:webHidden/>
              </w:rPr>
              <w:fldChar w:fldCharType="end"/>
            </w:r>
          </w:hyperlink>
        </w:p>
        <w:p w14:paraId="44844CB8" w14:textId="13A95E26" w:rsidR="00A26AF8" w:rsidRPr="0038157E" w:rsidRDefault="00451AD7" w:rsidP="0038157E">
          <w:pPr>
            <w:pStyle w:val="TOC2"/>
            <w:spacing w:before="100" w:after="100"/>
            <w:jc w:val="both"/>
            <w:rPr>
              <w:rFonts w:ascii="Times New Roman" w:eastAsiaTheme="minorEastAsia" w:hAnsi="Times New Roman" w:cs="Times New Roman"/>
              <w:noProof/>
              <w:sz w:val="24"/>
              <w:szCs w:val="24"/>
              <w:lang w:val="en-US"/>
            </w:rPr>
          </w:pPr>
          <w:hyperlink w:anchor="_Toc224237779" w:history="1">
            <w:r w:rsidR="00A26AF8" w:rsidRPr="0038157E">
              <w:rPr>
                <w:rStyle w:val="Hyperlink"/>
                <w:rFonts w:ascii="Times New Roman" w:hAnsi="Times New Roman" w:cs="Times New Roman"/>
                <w:smallCaps w:val="0"/>
                <w:noProof/>
                <w:sz w:val="24"/>
                <w:szCs w:val="24"/>
              </w:rPr>
              <w:t>5.5 Suggestions for Further Study</w:t>
            </w:r>
            <w:r w:rsidR="00A26AF8" w:rsidRPr="0038157E">
              <w:rPr>
                <w:rFonts w:ascii="Times New Roman" w:hAnsi="Times New Roman" w:cs="Times New Roman"/>
                <w:noProof/>
                <w:webHidden/>
                <w:sz w:val="24"/>
                <w:szCs w:val="24"/>
              </w:rPr>
              <w:tab/>
            </w:r>
            <w:r w:rsidR="00A26AF8" w:rsidRPr="0038157E">
              <w:rPr>
                <w:rFonts w:ascii="Times New Roman" w:hAnsi="Times New Roman" w:cs="Times New Roman"/>
                <w:noProof/>
                <w:webHidden/>
                <w:sz w:val="24"/>
                <w:szCs w:val="24"/>
              </w:rPr>
              <w:fldChar w:fldCharType="begin"/>
            </w:r>
            <w:r w:rsidR="00A26AF8" w:rsidRPr="0038157E">
              <w:rPr>
                <w:rFonts w:ascii="Times New Roman" w:hAnsi="Times New Roman" w:cs="Times New Roman"/>
                <w:noProof/>
                <w:webHidden/>
                <w:sz w:val="24"/>
                <w:szCs w:val="24"/>
              </w:rPr>
              <w:instrText xml:space="preserve"> PAGEREF _Toc224237779 \h </w:instrText>
            </w:r>
            <w:r w:rsidR="00A26AF8" w:rsidRPr="0038157E">
              <w:rPr>
                <w:rFonts w:ascii="Times New Roman" w:hAnsi="Times New Roman" w:cs="Times New Roman"/>
                <w:noProof/>
                <w:webHidden/>
                <w:sz w:val="24"/>
                <w:szCs w:val="24"/>
              </w:rPr>
            </w:r>
            <w:r w:rsidR="00A26AF8" w:rsidRPr="0038157E">
              <w:rPr>
                <w:rFonts w:ascii="Times New Roman" w:hAnsi="Times New Roman" w:cs="Times New Roman"/>
                <w:noProof/>
                <w:webHidden/>
                <w:sz w:val="24"/>
                <w:szCs w:val="24"/>
              </w:rPr>
              <w:fldChar w:fldCharType="separate"/>
            </w:r>
            <w:r w:rsidR="000067B1">
              <w:rPr>
                <w:rFonts w:ascii="Times New Roman" w:hAnsi="Times New Roman" w:cs="Times New Roman"/>
                <w:noProof/>
                <w:webHidden/>
                <w:sz w:val="24"/>
                <w:szCs w:val="24"/>
              </w:rPr>
              <w:t>215</w:t>
            </w:r>
            <w:r w:rsidR="00A26AF8" w:rsidRPr="0038157E">
              <w:rPr>
                <w:rFonts w:ascii="Times New Roman" w:hAnsi="Times New Roman" w:cs="Times New Roman"/>
                <w:noProof/>
                <w:webHidden/>
                <w:sz w:val="24"/>
                <w:szCs w:val="24"/>
              </w:rPr>
              <w:fldChar w:fldCharType="end"/>
            </w:r>
          </w:hyperlink>
        </w:p>
        <w:p w14:paraId="227FFE1F" w14:textId="196B8C5C" w:rsidR="00A26AF8" w:rsidRPr="0038157E" w:rsidRDefault="00451AD7" w:rsidP="0038157E">
          <w:pPr>
            <w:pStyle w:val="TOC1"/>
            <w:tabs>
              <w:tab w:val="right" w:leader="dot" w:pos="8544"/>
            </w:tabs>
            <w:spacing w:before="100" w:after="100"/>
            <w:jc w:val="both"/>
            <w:rPr>
              <w:rFonts w:ascii="Times New Roman" w:eastAsiaTheme="minorEastAsia" w:hAnsi="Times New Roman" w:cs="Times New Roman"/>
              <w:b w:val="0"/>
              <w:bCs w:val="0"/>
              <w:caps w:val="0"/>
              <w:noProof/>
              <w:sz w:val="24"/>
              <w:szCs w:val="24"/>
              <w:lang w:val="en-US"/>
            </w:rPr>
          </w:pPr>
          <w:hyperlink w:anchor="_Toc224237780" w:history="1">
            <w:r w:rsidR="00A26AF8" w:rsidRPr="0038157E">
              <w:rPr>
                <w:rStyle w:val="Hyperlink"/>
                <w:rFonts w:ascii="Times New Roman" w:hAnsi="Times New Roman" w:cs="Times New Roman"/>
                <w:caps w:val="0"/>
                <w:noProof/>
                <w:sz w:val="24"/>
                <w:szCs w:val="24"/>
              </w:rPr>
              <w:t>REFERENCES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_Toc224237780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216</w:t>
            </w:r>
            <w:r w:rsidR="00A26AF8" w:rsidRPr="0038157E">
              <w:rPr>
                <w:rFonts w:ascii="Times New Roman" w:hAnsi="Times New Roman" w:cs="Times New Roman"/>
                <w:caps w:val="0"/>
                <w:noProof/>
                <w:webHidden/>
                <w:sz w:val="24"/>
                <w:szCs w:val="24"/>
              </w:rPr>
              <w:fldChar w:fldCharType="end"/>
            </w:r>
          </w:hyperlink>
        </w:p>
        <w:p w14:paraId="2344A57C" w14:textId="37B73E03" w:rsidR="009F33CD" w:rsidRPr="0038157E" w:rsidRDefault="00451AD7" w:rsidP="0038157E">
          <w:pPr>
            <w:pStyle w:val="TOC1"/>
            <w:tabs>
              <w:tab w:val="right" w:leader="dot" w:pos="8544"/>
            </w:tabs>
            <w:spacing w:before="100" w:after="100"/>
            <w:jc w:val="both"/>
            <w:rPr>
              <w:rFonts w:ascii="Times New Roman" w:hAnsi="Times New Roman" w:cs="Times New Roman"/>
              <w:sz w:val="24"/>
              <w:szCs w:val="24"/>
            </w:rPr>
          </w:pPr>
          <w:hyperlink w:anchor="_Toc224237781" w:history="1">
            <w:r w:rsidR="00A26AF8" w:rsidRPr="0038157E">
              <w:rPr>
                <w:rStyle w:val="Hyperlink"/>
                <w:rFonts w:ascii="Times New Roman" w:hAnsi="Times New Roman" w:cs="Times New Roman"/>
                <w:caps w:val="0"/>
                <w:noProof/>
                <w:sz w:val="24"/>
                <w:szCs w:val="24"/>
              </w:rPr>
              <w:t>APPENDICES</w:t>
            </w:r>
            <w:r w:rsidR="00A26AF8" w:rsidRPr="0038157E">
              <w:rPr>
                <w:rFonts w:ascii="Times New Roman" w:hAnsi="Times New Roman" w:cs="Times New Roman"/>
                <w:caps w:val="0"/>
                <w:noProof/>
                <w:webHidden/>
                <w:sz w:val="24"/>
                <w:szCs w:val="24"/>
              </w:rPr>
              <w:tab/>
            </w:r>
            <w:r w:rsidR="00A26AF8" w:rsidRPr="0038157E">
              <w:rPr>
                <w:rFonts w:ascii="Times New Roman" w:hAnsi="Times New Roman" w:cs="Times New Roman"/>
                <w:caps w:val="0"/>
                <w:noProof/>
                <w:webHidden/>
                <w:sz w:val="24"/>
                <w:szCs w:val="24"/>
              </w:rPr>
              <w:fldChar w:fldCharType="begin"/>
            </w:r>
            <w:r w:rsidR="00A26AF8" w:rsidRPr="0038157E">
              <w:rPr>
                <w:rFonts w:ascii="Times New Roman" w:hAnsi="Times New Roman" w:cs="Times New Roman"/>
                <w:caps w:val="0"/>
                <w:noProof/>
                <w:webHidden/>
                <w:sz w:val="24"/>
                <w:szCs w:val="24"/>
              </w:rPr>
              <w:instrText xml:space="preserve"> PAGEREF _Toc224237781 \h </w:instrText>
            </w:r>
            <w:r w:rsidR="00A26AF8" w:rsidRPr="0038157E">
              <w:rPr>
                <w:rFonts w:ascii="Times New Roman" w:hAnsi="Times New Roman" w:cs="Times New Roman"/>
                <w:caps w:val="0"/>
                <w:noProof/>
                <w:webHidden/>
                <w:sz w:val="24"/>
                <w:szCs w:val="24"/>
              </w:rPr>
            </w:r>
            <w:r w:rsidR="00A26AF8" w:rsidRPr="0038157E">
              <w:rPr>
                <w:rFonts w:ascii="Times New Roman" w:hAnsi="Times New Roman" w:cs="Times New Roman"/>
                <w:caps w:val="0"/>
                <w:noProof/>
                <w:webHidden/>
                <w:sz w:val="24"/>
                <w:szCs w:val="24"/>
              </w:rPr>
              <w:fldChar w:fldCharType="separate"/>
            </w:r>
            <w:r w:rsidR="000067B1">
              <w:rPr>
                <w:rFonts w:ascii="Times New Roman" w:hAnsi="Times New Roman" w:cs="Times New Roman"/>
                <w:caps w:val="0"/>
                <w:noProof/>
                <w:webHidden/>
                <w:sz w:val="24"/>
                <w:szCs w:val="24"/>
              </w:rPr>
              <w:t>237</w:t>
            </w:r>
            <w:r w:rsidR="00A26AF8" w:rsidRPr="0038157E">
              <w:rPr>
                <w:rFonts w:ascii="Times New Roman" w:hAnsi="Times New Roman" w:cs="Times New Roman"/>
                <w:caps w:val="0"/>
                <w:noProof/>
                <w:webHidden/>
                <w:sz w:val="24"/>
                <w:szCs w:val="24"/>
              </w:rPr>
              <w:fldChar w:fldCharType="end"/>
            </w:r>
          </w:hyperlink>
          <w:r w:rsidR="00A26AF8" w:rsidRPr="0038157E">
            <w:rPr>
              <w:rFonts w:ascii="Times New Roman" w:hAnsi="Times New Roman" w:cs="Times New Roman"/>
              <w:bCs w:val="0"/>
              <w:sz w:val="24"/>
              <w:szCs w:val="24"/>
            </w:rPr>
            <w:fldChar w:fldCharType="end"/>
          </w:r>
        </w:p>
      </w:sdtContent>
    </w:sdt>
    <w:bookmarkEnd w:id="11"/>
    <w:p w14:paraId="1B8D3EB2" w14:textId="77777777" w:rsidR="009F33CD" w:rsidRPr="00A92ECE" w:rsidRDefault="00E40740" w:rsidP="000748E0">
      <w:pPr>
        <w:pStyle w:val="Heading1"/>
        <w:spacing w:before="0" w:beforeAutospacing="0" w:after="0" w:afterAutospacing="0" w:line="240" w:lineRule="auto"/>
        <w:ind w:left="993" w:hanging="993"/>
        <w:rPr>
          <w:rFonts w:eastAsiaTheme="minorEastAsia"/>
          <w:sz w:val="22"/>
          <w:szCs w:val="22"/>
        </w:rPr>
      </w:pPr>
      <w:r>
        <w:rPr>
          <w:rFonts w:cs="Times New Roman"/>
          <w:szCs w:val="24"/>
        </w:rPr>
        <w:br w:type="page"/>
      </w:r>
      <w:bookmarkStart w:id="12" w:name="_Toc224237642"/>
      <w:r>
        <w:rPr>
          <w:rFonts w:cs="Times New Roman"/>
          <w:szCs w:val="24"/>
        </w:rPr>
        <w:lastRenderedPageBreak/>
        <w:t>LIST OF TABLES</w:t>
      </w:r>
      <w:bookmarkEnd w:id="12"/>
    </w:p>
    <w:p w14:paraId="14AAF26E" w14:textId="7D72C7DD" w:rsidR="00A26AF8" w:rsidRDefault="00E40740">
      <w:pPr>
        <w:pStyle w:val="TableofFigures"/>
        <w:tabs>
          <w:tab w:val="right" w:leader="dot" w:pos="8544"/>
        </w:tabs>
        <w:rPr>
          <w:rFonts w:asciiTheme="minorHAnsi" w:eastAsiaTheme="minorEastAsia" w:hAnsiTheme="minorHAnsi"/>
          <w:noProof/>
          <w:sz w:val="22"/>
          <w:szCs w:val="22"/>
          <w:lang w:val="en-US"/>
        </w:rPr>
      </w:pPr>
      <w:r>
        <w:fldChar w:fldCharType="begin"/>
      </w:r>
      <w:r>
        <w:instrText xml:space="preserve"> TOC \h \z \t "Heading 6" \c </w:instrText>
      </w:r>
      <w:r>
        <w:fldChar w:fldCharType="separate"/>
      </w:r>
      <w:hyperlink w:anchor="_Toc224237428" w:history="1">
        <w:r w:rsidR="00A26AF8" w:rsidRPr="004130F0">
          <w:rPr>
            <w:rStyle w:val="Hyperlink"/>
            <w:b/>
            <w:noProof/>
          </w:rPr>
          <w:t xml:space="preserve">Table 3.1: </w:t>
        </w:r>
        <w:r w:rsidR="00A26AF8" w:rsidRPr="00496BA5">
          <w:rPr>
            <w:rStyle w:val="Hyperlink"/>
            <w:noProof/>
          </w:rPr>
          <w:t>Sample Size</w:t>
        </w:r>
        <w:r w:rsidR="00A26AF8">
          <w:rPr>
            <w:noProof/>
            <w:webHidden/>
          </w:rPr>
          <w:tab/>
        </w:r>
        <w:r w:rsidR="00A26AF8">
          <w:rPr>
            <w:noProof/>
            <w:webHidden/>
          </w:rPr>
          <w:fldChar w:fldCharType="begin"/>
        </w:r>
        <w:r w:rsidR="00A26AF8">
          <w:rPr>
            <w:noProof/>
            <w:webHidden/>
          </w:rPr>
          <w:instrText xml:space="preserve"> PAGEREF _Toc224237428 \h </w:instrText>
        </w:r>
        <w:r w:rsidR="00A26AF8">
          <w:rPr>
            <w:noProof/>
            <w:webHidden/>
          </w:rPr>
        </w:r>
        <w:r w:rsidR="00A26AF8">
          <w:rPr>
            <w:noProof/>
            <w:webHidden/>
          </w:rPr>
          <w:fldChar w:fldCharType="separate"/>
        </w:r>
        <w:r w:rsidR="00B0575C">
          <w:rPr>
            <w:noProof/>
            <w:webHidden/>
          </w:rPr>
          <w:t>86</w:t>
        </w:r>
        <w:r w:rsidR="00A26AF8">
          <w:rPr>
            <w:noProof/>
            <w:webHidden/>
          </w:rPr>
          <w:fldChar w:fldCharType="end"/>
        </w:r>
      </w:hyperlink>
    </w:p>
    <w:p w14:paraId="7D232F8A" w14:textId="0A6BBA92"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29" w:history="1">
        <w:r w:rsidR="00A26AF8" w:rsidRPr="004130F0">
          <w:rPr>
            <w:rStyle w:val="Hyperlink"/>
            <w:rFonts w:cs="Times New Roman"/>
            <w:b/>
            <w:noProof/>
          </w:rPr>
          <w:t xml:space="preserve">Table 3.2: </w:t>
        </w:r>
        <w:r w:rsidR="00A26AF8" w:rsidRPr="00496BA5">
          <w:rPr>
            <w:rStyle w:val="Hyperlink"/>
            <w:rFonts w:cs="Times New Roman"/>
            <w:noProof/>
          </w:rPr>
          <w:t>Summary of Study Variables Analyses</w:t>
        </w:r>
        <w:r w:rsidR="00A26AF8">
          <w:rPr>
            <w:noProof/>
            <w:webHidden/>
          </w:rPr>
          <w:tab/>
        </w:r>
        <w:r w:rsidR="00A26AF8">
          <w:rPr>
            <w:noProof/>
            <w:webHidden/>
          </w:rPr>
          <w:fldChar w:fldCharType="begin"/>
        </w:r>
        <w:r w:rsidR="00A26AF8">
          <w:rPr>
            <w:noProof/>
            <w:webHidden/>
          </w:rPr>
          <w:instrText xml:space="preserve"> PAGEREF _Toc224237429 \h </w:instrText>
        </w:r>
        <w:r w:rsidR="00A26AF8">
          <w:rPr>
            <w:noProof/>
            <w:webHidden/>
          </w:rPr>
        </w:r>
        <w:r w:rsidR="00A26AF8">
          <w:rPr>
            <w:noProof/>
            <w:webHidden/>
          </w:rPr>
          <w:fldChar w:fldCharType="separate"/>
        </w:r>
        <w:r w:rsidR="00B0575C">
          <w:rPr>
            <w:noProof/>
            <w:webHidden/>
          </w:rPr>
          <w:t>103</w:t>
        </w:r>
        <w:r w:rsidR="00A26AF8">
          <w:rPr>
            <w:noProof/>
            <w:webHidden/>
          </w:rPr>
          <w:fldChar w:fldCharType="end"/>
        </w:r>
      </w:hyperlink>
    </w:p>
    <w:p w14:paraId="49E3A935" w14:textId="13CC1BEF"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0" w:history="1">
        <w:r w:rsidR="00A26AF8" w:rsidRPr="004130F0">
          <w:rPr>
            <w:rStyle w:val="Hyperlink"/>
            <w:b/>
            <w:noProof/>
          </w:rPr>
          <w:t xml:space="preserve">Table 4.1: </w:t>
        </w:r>
        <w:r w:rsidR="00A26AF8" w:rsidRPr="00496BA5">
          <w:rPr>
            <w:rStyle w:val="Hyperlink"/>
            <w:noProof/>
          </w:rPr>
          <w:t>Findings for Response Rate</w:t>
        </w:r>
        <w:r w:rsidR="00A26AF8">
          <w:rPr>
            <w:noProof/>
            <w:webHidden/>
          </w:rPr>
          <w:tab/>
        </w:r>
        <w:r w:rsidR="00A26AF8">
          <w:rPr>
            <w:noProof/>
            <w:webHidden/>
          </w:rPr>
          <w:fldChar w:fldCharType="begin"/>
        </w:r>
        <w:r w:rsidR="00A26AF8">
          <w:rPr>
            <w:noProof/>
            <w:webHidden/>
          </w:rPr>
          <w:instrText xml:space="preserve"> PAGEREF _Toc224237430 \h </w:instrText>
        </w:r>
        <w:r w:rsidR="00A26AF8">
          <w:rPr>
            <w:noProof/>
            <w:webHidden/>
          </w:rPr>
        </w:r>
        <w:r w:rsidR="00A26AF8">
          <w:rPr>
            <w:noProof/>
            <w:webHidden/>
          </w:rPr>
          <w:fldChar w:fldCharType="separate"/>
        </w:r>
        <w:r w:rsidR="00B0575C">
          <w:rPr>
            <w:noProof/>
            <w:webHidden/>
          </w:rPr>
          <w:t>105</w:t>
        </w:r>
        <w:r w:rsidR="00A26AF8">
          <w:rPr>
            <w:noProof/>
            <w:webHidden/>
          </w:rPr>
          <w:fldChar w:fldCharType="end"/>
        </w:r>
      </w:hyperlink>
    </w:p>
    <w:p w14:paraId="3DDF3BA2" w14:textId="0EA8EC59"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1" w:history="1">
        <w:r w:rsidR="00A26AF8" w:rsidRPr="004130F0">
          <w:rPr>
            <w:rStyle w:val="Hyperlink"/>
            <w:b/>
            <w:noProof/>
          </w:rPr>
          <w:t xml:space="preserve">Table 4.2: </w:t>
        </w:r>
        <w:r w:rsidR="00A26AF8" w:rsidRPr="00496BA5">
          <w:rPr>
            <w:rStyle w:val="Hyperlink"/>
            <w:noProof/>
          </w:rPr>
          <w:t>Reliability Coefficients for Study Variables</w:t>
        </w:r>
        <w:r w:rsidR="00A26AF8">
          <w:rPr>
            <w:noProof/>
            <w:webHidden/>
          </w:rPr>
          <w:tab/>
        </w:r>
        <w:r w:rsidR="00A26AF8">
          <w:rPr>
            <w:noProof/>
            <w:webHidden/>
          </w:rPr>
          <w:fldChar w:fldCharType="begin"/>
        </w:r>
        <w:r w:rsidR="00A26AF8">
          <w:rPr>
            <w:noProof/>
            <w:webHidden/>
          </w:rPr>
          <w:instrText xml:space="preserve"> PAGEREF _Toc224237431 \h </w:instrText>
        </w:r>
        <w:r w:rsidR="00A26AF8">
          <w:rPr>
            <w:noProof/>
            <w:webHidden/>
          </w:rPr>
        </w:r>
        <w:r w:rsidR="00A26AF8">
          <w:rPr>
            <w:noProof/>
            <w:webHidden/>
          </w:rPr>
          <w:fldChar w:fldCharType="separate"/>
        </w:r>
        <w:r w:rsidR="00B0575C">
          <w:rPr>
            <w:noProof/>
            <w:webHidden/>
          </w:rPr>
          <w:t>106</w:t>
        </w:r>
        <w:r w:rsidR="00A26AF8">
          <w:rPr>
            <w:noProof/>
            <w:webHidden/>
          </w:rPr>
          <w:fldChar w:fldCharType="end"/>
        </w:r>
      </w:hyperlink>
    </w:p>
    <w:p w14:paraId="37FF867A" w14:textId="1E1684E6"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2" w:history="1">
        <w:r w:rsidR="00A26AF8" w:rsidRPr="004130F0">
          <w:rPr>
            <w:rStyle w:val="Hyperlink"/>
            <w:b/>
            <w:noProof/>
          </w:rPr>
          <w:t xml:space="preserve">Table 4.3: </w:t>
        </w:r>
        <w:r w:rsidR="00A26AF8" w:rsidRPr="00496BA5">
          <w:rPr>
            <w:rStyle w:val="Hyperlink"/>
            <w:noProof/>
          </w:rPr>
          <w:t>Validity and Suitability Test</w:t>
        </w:r>
        <w:r w:rsidR="00A26AF8">
          <w:rPr>
            <w:noProof/>
            <w:webHidden/>
          </w:rPr>
          <w:tab/>
        </w:r>
        <w:r w:rsidR="00A26AF8">
          <w:rPr>
            <w:noProof/>
            <w:webHidden/>
          </w:rPr>
          <w:fldChar w:fldCharType="begin"/>
        </w:r>
        <w:r w:rsidR="00A26AF8">
          <w:rPr>
            <w:noProof/>
            <w:webHidden/>
          </w:rPr>
          <w:instrText xml:space="preserve"> PAGEREF _Toc224237432 \h </w:instrText>
        </w:r>
        <w:r w:rsidR="00A26AF8">
          <w:rPr>
            <w:noProof/>
            <w:webHidden/>
          </w:rPr>
        </w:r>
        <w:r w:rsidR="00A26AF8">
          <w:rPr>
            <w:noProof/>
            <w:webHidden/>
          </w:rPr>
          <w:fldChar w:fldCharType="separate"/>
        </w:r>
        <w:r w:rsidR="00B0575C">
          <w:rPr>
            <w:noProof/>
            <w:webHidden/>
          </w:rPr>
          <w:t>107</w:t>
        </w:r>
        <w:r w:rsidR="00A26AF8">
          <w:rPr>
            <w:noProof/>
            <w:webHidden/>
          </w:rPr>
          <w:fldChar w:fldCharType="end"/>
        </w:r>
      </w:hyperlink>
    </w:p>
    <w:p w14:paraId="60D6BAE1" w14:textId="39AE10CF"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3" w:history="1">
        <w:r w:rsidR="00A26AF8" w:rsidRPr="004130F0">
          <w:rPr>
            <w:rStyle w:val="Hyperlink"/>
            <w:b/>
            <w:noProof/>
          </w:rPr>
          <w:t xml:space="preserve">Table 4.4: </w:t>
        </w:r>
        <w:r w:rsidR="00A26AF8" w:rsidRPr="00496BA5">
          <w:rPr>
            <w:rStyle w:val="Hyperlink"/>
            <w:noProof/>
          </w:rPr>
          <w:t>Findings for Name of the Hospital</w:t>
        </w:r>
        <w:r w:rsidR="00A26AF8">
          <w:rPr>
            <w:noProof/>
            <w:webHidden/>
          </w:rPr>
          <w:tab/>
        </w:r>
        <w:r w:rsidR="00A26AF8">
          <w:rPr>
            <w:noProof/>
            <w:webHidden/>
          </w:rPr>
          <w:fldChar w:fldCharType="begin"/>
        </w:r>
        <w:r w:rsidR="00A26AF8">
          <w:rPr>
            <w:noProof/>
            <w:webHidden/>
          </w:rPr>
          <w:instrText xml:space="preserve"> PAGEREF _Toc224237433 \h </w:instrText>
        </w:r>
        <w:r w:rsidR="00A26AF8">
          <w:rPr>
            <w:noProof/>
            <w:webHidden/>
          </w:rPr>
        </w:r>
        <w:r w:rsidR="00A26AF8">
          <w:rPr>
            <w:noProof/>
            <w:webHidden/>
          </w:rPr>
          <w:fldChar w:fldCharType="separate"/>
        </w:r>
        <w:r w:rsidR="00B0575C">
          <w:rPr>
            <w:noProof/>
            <w:webHidden/>
          </w:rPr>
          <w:t>108</w:t>
        </w:r>
        <w:r w:rsidR="00A26AF8">
          <w:rPr>
            <w:noProof/>
            <w:webHidden/>
          </w:rPr>
          <w:fldChar w:fldCharType="end"/>
        </w:r>
      </w:hyperlink>
    </w:p>
    <w:p w14:paraId="28CC2B4C" w14:textId="38060AA4"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4" w:history="1">
        <w:r w:rsidR="00A26AF8" w:rsidRPr="004130F0">
          <w:rPr>
            <w:rStyle w:val="Hyperlink"/>
            <w:b/>
            <w:noProof/>
          </w:rPr>
          <w:t xml:space="preserve">Table 4.5: </w:t>
        </w:r>
        <w:r w:rsidR="00A26AF8" w:rsidRPr="00496BA5">
          <w:rPr>
            <w:rStyle w:val="Hyperlink"/>
            <w:noProof/>
          </w:rPr>
          <w:t>Findings for Gender of Respondents</w:t>
        </w:r>
        <w:r w:rsidR="00A26AF8">
          <w:rPr>
            <w:noProof/>
            <w:webHidden/>
          </w:rPr>
          <w:tab/>
        </w:r>
        <w:r w:rsidR="00A26AF8">
          <w:rPr>
            <w:noProof/>
            <w:webHidden/>
          </w:rPr>
          <w:fldChar w:fldCharType="begin"/>
        </w:r>
        <w:r w:rsidR="00A26AF8">
          <w:rPr>
            <w:noProof/>
            <w:webHidden/>
          </w:rPr>
          <w:instrText xml:space="preserve"> PAGEREF _Toc224237434 \h </w:instrText>
        </w:r>
        <w:r w:rsidR="00A26AF8">
          <w:rPr>
            <w:noProof/>
            <w:webHidden/>
          </w:rPr>
        </w:r>
        <w:r w:rsidR="00A26AF8">
          <w:rPr>
            <w:noProof/>
            <w:webHidden/>
          </w:rPr>
          <w:fldChar w:fldCharType="separate"/>
        </w:r>
        <w:r w:rsidR="00B0575C">
          <w:rPr>
            <w:noProof/>
            <w:webHidden/>
          </w:rPr>
          <w:t>109</w:t>
        </w:r>
        <w:r w:rsidR="00A26AF8">
          <w:rPr>
            <w:noProof/>
            <w:webHidden/>
          </w:rPr>
          <w:fldChar w:fldCharType="end"/>
        </w:r>
      </w:hyperlink>
    </w:p>
    <w:p w14:paraId="3BA5C91E" w14:textId="6F761CDB"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5" w:history="1">
        <w:r w:rsidR="00A26AF8" w:rsidRPr="004130F0">
          <w:rPr>
            <w:rStyle w:val="Hyperlink"/>
            <w:b/>
            <w:noProof/>
          </w:rPr>
          <w:t xml:space="preserve">Table 4.6: </w:t>
        </w:r>
        <w:r w:rsidR="00A26AF8" w:rsidRPr="00496BA5">
          <w:rPr>
            <w:rStyle w:val="Hyperlink"/>
            <w:noProof/>
          </w:rPr>
          <w:t>Findings for Category of Respondents in Management</w:t>
        </w:r>
        <w:r w:rsidR="00A26AF8">
          <w:rPr>
            <w:noProof/>
            <w:webHidden/>
          </w:rPr>
          <w:tab/>
        </w:r>
        <w:r w:rsidR="00A26AF8">
          <w:rPr>
            <w:noProof/>
            <w:webHidden/>
          </w:rPr>
          <w:fldChar w:fldCharType="begin"/>
        </w:r>
        <w:r w:rsidR="00A26AF8">
          <w:rPr>
            <w:noProof/>
            <w:webHidden/>
          </w:rPr>
          <w:instrText xml:space="preserve"> PAGEREF _Toc224237435 \h </w:instrText>
        </w:r>
        <w:r w:rsidR="00A26AF8">
          <w:rPr>
            <w:noProof/>
            <w:webHidden/>
          </w:rPr>
        </w:r>
        <w:r w:rsidR="00A26AF8">
          <w:rPr>
            <w:noProof/>
            <w:webHidden/>
          </w:rPr>
          <w:fldChar w:fldCharType="separate"/>
        </w:r>
        <w:r w:rsidR="00B0575C">
          <w:rPr>
            <w:noProof/>
            <w:webHidden/>
          </w:rPr>
          <w:t>110</w:t>
        </w:r>
        <w:r w:rsidR="00A26AF8">
          <w:rPr>
            <w:noProof/>
            <w:webHidden/>
          </w:rPr>
          <w:fldChar w:fldCharType="end"/>
        </w:r>
      </w:hyperlink>
    </w:p>
    <w:p w14:paraId="62215AD0" w14:textId="62FD8AFF"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6" w:history="1">
        <w:r w:rsidR="00A26AF8" w:rsidRPr="004130F0">
          <w:rPr>
            <w:rStyle w:val="Hyperlink"/>
            <w:b/>
            <w:noProof/>
          </w:rPr>
          <w:t xml:space="preserve">Table 4.7: </w:t>
        </w:r>
        <w:r w:rsidR="00A26AF8" w:rsidRPr="00496BA5">
          <w:rPr>
            <w:rStyle w:val="Hyperlink"/>
            <w:noProof/>
          </w:rPr>
          <w:t>Findings for Age of the Respondents</w:t>
        </w:r>
        <w:r w:rsidR="00A26AF8">
          <w:rPr>
            <w:noProof/>
            <w:webHidden/>
          </w:rPr>
          <w:tab/>
        </w:r>
        <w:r w:rsidR="00A26AF8">
          <w:rPr>
            <w:noProof/>
            <w:webHidden/>
          </w:rPr>
          <w:fldChar w:fldCharType="begin"/>
        </w:r>
        <w:r w:rsidR="00A26AF8">
          <w:rPr>
            <w:noProof/>
            <w:webHidden/>
          </w:rPr>
          <w:instrText xml:space="preserve"> PAGEREF _Toc224237436 \h </w:instrText>
        </w:r>
        <w:r w:rsidR="00A26AF8">
          <w:rPr>
            <w:noProof/>
            <w:webHidden/>
          </w:rPr>
        </w:r>
        <w:r w:rsidR="00A26AF8">
          <w:rPr>
            <w:noProof/>
            <w:webHidden/>
          </w:rPr>
          <w:fldChar w:fldCharType="separate"/>
        </w:r>
        <w:r w:rsidR="00B0575C">
          <w:rPr>
            <w:noProof/>
            <w:webHidden/>
          </w:rPr>
          <w:t>111</w:t>
        </w:r>
        <w:r w:rsidR="00A26AF8">
          <w:rPr>
            <w:noProof/>
            <w:webHidden/>
          </w:rPr>
          <w:fldChar w:fldCharType="end"/>
        </w:r>
      </w:hyperlink>
    </w:p>
    <w:p w14:paraId="34A5D260" w14:textId="6FE259C6"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7" w:history="1">
        <w:r w:rsidR="00A26AF8" w:rsidRPr="004130F0">
          <w:rPr>
            <w:rStyle w:val="Hyperlink"/>
            <w:b/>
            <w:noProof/>
          </w:rPr>
          <w:t xml:space="preserve">Table 4.8: </w:t>
        </w:r>
        <w:r w:rsidR="00A26AF8" w:rsidRPr="00496BA5">
          <w:rPr>
            <w:rStyle w:val="Hyperlink"/>
            <w:noProof/>
          </w:rPr>
          <w:t>Findings for Level of Education of Respondents</w:t>
        </w:r>
        <w:r w:rsidR="00A26AF8">
          <w:rPr>
            <w:noProof/>
            <w:webHidden/>
          </w:rPr>
          <w:tab/>
        </w:r>
        <w:r w:rsidR="00A26AF8">
          <w:rPr>
            <w:noProof/>
            <w:webHidden/>
          </w:rPr>
          <w:fldChar w:fldCharType="begin"/>
        </w:r>
        <w:r w:rsidR="00A26AF8">
          <w:rPr>
            <w:noProof/>
            <w:webHidden/>
          </w:rPr>
          <w:instrText xml:space="preserve"> PAGEREF _Toc224237437 \h </w:instrText>
        </w:r>
        <w:r w:rsidR="00A26AF8">
          <w:rPr>
            <w:noProof/>
            <w:webHidden/>
          </w:rPr>
        </w:r>
        <w:r w:rsidR="00A26AF8">
          <w:rPr>
            <w:noProof/>
            <w:webHidden/>
          </w:rPr>
          <w:fldChar w:fldCharType="separate"/>
        </w:r>
        <w:r w:rsidR="00B0575C">
          <w:rPr>
            <w:noProof/>
            <w:webHidden/>
          </w:rPr>
          <w:t>112</w:t>
        </w:r>
        <w:r w:rsidR="00A26AF8">
          <w:rPr>
            <w:noProof/>
            <w:webHidden/>
          </w:rPr>
          <w:fldChar w:fldCharType="end"/>
        </w:r>
      </w:hyperlink>
    </w:p>
    <w:p w14:paraId="58848D88" w14:textId="27AA4801"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8" w:history="1">
        <w:r w:rsidR="00A26AF8" w:rsidRPr="004130F0">
          <w:rPr>
            <w:rStyle w:val="Hyperlink"/>
            <w:b/>
            <w:noProof/>
          </w:rPr>
          <w:t xml:space="preserve">Table 4.9: </w:t>
        </w:r>
        <w:r w:rsidR="00A26AF8" w:rsidRPr="00496BA5">
          <w:rPr>
            <w:rStyle w:val="Hyperlink"/>
            <w:noProof/>
          </w:rPr>
          <w:t>Findings for Length of Service of Respondents</w:t>
        </w:r>
        <w:r w:rsidR="00A26AF8">
          <w:rPr>
            <w:noProof/>
            <w:webHidden/>
          </w:rPr>
          <w:tab/>
        </w:r>
        <w:r w:rsidR="00A26AF8">
          <w:rPr>
            <w:noProof/>
            <w:webHidden/>
          </w:rPr>
          <w:fldChar w:fldCharType="begin"/>
        </w:r>
        <w:r w:rsidR="00A26AF8">
          <w:rPr>
            <w:noProof/>
            <w:webHidden/>
          </w:rPr>
          <w:instrText xml:space="preserve"> PAGEREF _Toc224237438 \h </w:instrText>
        </w:r>
        <w:r w:rsidR="00A26AF8">
          <w:rPr>
            <w:noProof/>
            <w:webHidden/>
          </w:rPr>
        </w:r>
        <w:r w:rsidR="00A26AF8">
          <w:rPr>
            <w:noProof/>
            <w:webHidden/>
          </w:rPr>
          <w:fldChar w:fldCharType="separate"/>
        </w:r>
        <w:r w:rsidR="00B0575C">
          <w:rPr>
            <w:noProof/>
            <w:webHidden/>
          </w:rPr>
          <w:t>113</w:t>
        </w:r>
        <w:r w:rsidR="00A26AF8">
          <w:rPr>
            <w:noProof/>
            <w:webHidden/>
          </w:rPr>
          <w:fldChar w:fldCharType="end"/>
        </w:r>
      </w:hyperlink>
    </w:p>
    <w:p w14:paraId="70368062" w14:textId="6D18ED8E"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39" w:history="1">
        <w:r w:rsidR="00A26AF8" w:rsidRPr="004130F0">
          <w:rPr>
            <w:rStyle w:val="Hyperlink"/>
            <w:b/>
            <w:noProof/>
          </w:rPr>
          <w:t xml:space="preserve">Table 4.10: </w:t>
        </w:r>
        <w:r w:rsidR="00A26AF8" w:rsidRPr="00496BA5">
          <w:rPr>
            <w:rStyle w:val="Hyperlink"/>
            <w:noProof/>
          </w:rPr>
          <w:t>Findings for Respondent’s Department</w:t>
        </w:r>
        <w:r w:rsidR="00A26AF8">
          <w:rPr>
            <w:noProof/>
            <w:webHidden/>
          </w:rPr>
          <w:tab/>
        </w:r>
        <w:r w:rsidR="00A26AF8">
          <w:rPr>
            <w:noProof/>
            <w:webHidden/>
          </w:rPr>
          <w:fldChar w:fldCharType="begin"/>
        </w:r>
        <w:r w:rsidR="00A26AF8">
          <w:rPr>
            <w:noProof/>
            <w:webHidden/>
          </w:rPr>
          <w:instrText xml:space="preserve"> PAGEREF _Toc224237439 \h </w:instrText>
        </w:r>
        <w:r w:rsidR="00A26AF8">
          <w:rPr>
            <w:noProof/>
            <w:webHidden/>
          </w:rPr>
        </w:r>
        <w:r w:rsidR="00A26AF8">
          <w:rPr>
            <w:noProof/>
            <w:webHidden/>
          </w:rPr>
          <w:fldChar w:fldCharType="separate"/>
        </w:r>
        <w:r w:rsidR="00B0575C">
          <w:rPr>
            <w:noProof/>
            <w:webHidden/>
          </w:rPr>
          <w:t>116</w:t>
        </w:r>
        <w:r w:rsidR="00A26AF8">
          <w:rPr>
            <w:noProof/>
            <w:webHidden/>
          </w:rPr>
          <w:fldChar w:fldCharType="end"/>
        </w:r>
      </w:hyperlink>
    </w:p>
    <w:p w14:paraId="75E8119B" w14:textId="6FF05456"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0" w:history="1">
        <w:r w:rsidR="00A26AF8" w:rsidRPr="004130F0">
          <w:rPr>
            <w:rStyle w:val="Hyperlink"/>
            <w:b/>
            <w:noProof/>
          </w:rPr>
          <w:t xml:space="preserve">Table 4.11: </w:t>
        </w:r>
        <w:r w:rsidR="00A26AF8" w:rsidRPr="00496BA5">
          <w:rPr>
            <w:rStyle w:val="Hyperlink"/>
            <w:noProof/>
          </w:rPr>
          <w:t>Findings for Kaiser-Meyer-Olkin (KMO) Test</w:t>
        </w:r>
        <w:r w:rsidR="00A26AF8">
          <w:rPr>
            <w:noProof/>
            <w:webHidden/>
          </w:rPr>
          <w:tab/>
        </w:r>
        <w:r w:rsidR="00A26AF8">
          <w:rPr>
            <w:noProof/>
            <w:webHidden/>
          </w:rPr>
          <w:fldChar w:fldCharType="begin"/>
        </w:r>
        <w:r w:rsidR="00A26AF8">
          <w:rPr>
            <w:noProof/>
            <w:webHidden/>
          </w:rPr>
          <w:instrText xml:space="preserve"> PAGEREF _Toc224237440 \h </w:instrText>
        </w:r>
        <w:r w:rsidR="00A26AF8">
          <w:rPr>
            <w:noProof/>
            <w:webHidden/>
          </w:rPr>
        </w:r>
        <w:r w:rsidR="00A26AF8">
          <w:rPr>
            <w:noProof/>
            <w:webHidden/>
          </w:rPr>
          <w:fldChar w:fldCharType="separate"/>
        </w:r>
        <w:r w:rsidR="00B0575C">
          <w:rPr>
            <w:noProof/>
            <w:webHidden/>
          </w:rPr>
          <w:t>117</w:t>
        </w:r>
        <w:r w:rsidR="00A26AF8">
          <w:rPr>
            <w:noProof/>
            <w:webHidden/>
          </w:rPr>
          <w:fldChar w:fldCharType="end"/>
        </w:r>
      </w:hyperlink>
    </w:p>
    <w:p w14:paraId="62F857A0" w14:textId="476663C0"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1" w:history="1">
        <w:r w:rsidR="00A26AF8" w:rsidRPr="004130F0">
          <w:rPr>
            <w:rStyle w:val="Hyperlink"/>
            <w:b/>
            <w:noProof/>
          </w:rPr>
          <w:t xml:space="preserve">Table 4.12: </w:t>
        </w:r>
        <w:r w:rsidR="00A26AF8" w:rsidRPr="00496BA5">
          <w:rPr>
            <w:rStyle w:val="Hyperlink"/>
            <w:noProof/>
          </w:rPr>
          <w:t>Findings for Normality Test</w:t>
        </w:r>
        <w:r w:rsidR="00A26AF8">
          <w:rPr>
            <w:noProof/>
            <w:webHidden/>
          </w:rPr>
          <w:tab/>
        </w:r>
        <w:r w:rsidR="00A26AF8">
          <w:rPr>
            <w:noProof/>
            <w:webHidden/>
          </w:rPr>
          <w:fldChar w:fldCharType="begin"/>
        </w:r>
        <w:r w:rsidR="00A26AF8">
          <w:rPr>
            <w:noProof/>
            <w:webHidden/>
          </w:rPr>
          <w:instrText xml:space="preserve"> PAGEREF _Toc224237441 \h </w:instrText>
        </w:r>
        <w:r w:rsidR="00A26AF8">
          <w:rPr>
            <w:noProof/>
            <w:webHidden/>
          </w:rPr>
        </w:r>
        <w:r w:rsidR="00A26AF8">
          <w:rPr>
            <w:noProof/>
            <w:webHidden/>
          </w:rPr>
          <w:fldChar w:fldCharType="separate"/>
        </w:r>
        <w:r w:rsidR="00B0575C">
          <w:rPr>
            <w:noProof/>
            <w:webHidden/>
          </w:rPr>
          <w:t>118</w:t>
        </w:r>
        <w:r w:rsidR="00A26AF8">
          <w:rPr>
            <w:noProof/>
            <w:webHidden/>
          </w:rPr>
          <w:fldChar w:fldCharType="end"/>
        </w:r>
      </w:hyperlink>
    </w:p>
    <w:p w14:paraId="6C4679C0" w14:textId="2914FF03"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2" w:history="1">
        <w:r w:rsidR="00A26AF8" w:rsidRPr="004130F0">
          <w:rPr>
            <w:rStyle w:val="Hyperlink"/>
            <w:b/>
            <w:noProof/>
          </w:rPr>
          <w:t xml:space="preserve">Table 4.13: </w:t>
        </w:r>
        <w:r w:rsidR="00A26AF8" w:rsidRPr="00496BA5">
          <w:rPr>
            <w:rStyle w:val="Hyperlink"/>
            <w:noProof/>
          </w:rPr>
          <w:t>Findings for Heteroscedasticity Test</w:t>
        </w:r>
        <w:r w:rsidR="00A26AF8">
          <w:rPr>
            <w:noProof/>
            <w:webHidden/>
          </w:rPr>
          <w:tab/>
        </w:r>
        <w:r w:rsidR="00A26AF8">
          <w:rPr>
            <w:noProof/>
            <w:webHidden/>
          </w:rPr>
          <w:fldChar w:fldCharType="begin"/>
        </w:r>
        <w:r w:rsidR="00A26AF8">
          <w:rPr>
            <w:noProof/>
            <w:webHidden/>
          </w:rPr>
          <w:instrText xml:space="preserve"> PAGEREF _Toc224237442 \h </w:instrText>
        </w:r>
        <w:r w:rsidR="00A26AF8">
          <w:rPr>
            <w:noProof/>
            <w:webHidden/>
          </w:rPr>
        </w:r>
        <w:r w:rsidR="00A26AF8">
          <w:rPr>
            <w:noProof/>
            <w:webHidden/>
          </w:rPr>
          <w:fldChar w:fldCharType="separate"/>
        </w:r>
        <w:r w:rsidR="00B0575C">
          <w:rPr>
            <w:noProof/>
            <w:webHidden/>
          </w:rPr>
          <w:t>120</w:t>
        </w:r>
        <w:r w:rsidR="00A26AF8">
          <w:rPr>
            <w:noProof/>
            <w:webHidden/>
          </w:rPr>
          <w:fldChar w:fldCharType="end"/>
        </w:r>
      </w:hyperlink>
    </w:p>
    <w:p w14:paraId="66B9B8C7" w14:textId="6B290DD6"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3" w:history="1">
        <w:r w:rsidR="00A26AF8" w:rsidRPr="004130F0">
          <w:rPr>
            <w:rStyle w:val="Hyperlink"/>
            <w:b/>
            <w:noProof/>
          </w:rPr>
          <w:t xml:space="preserve">Table 4.14: </w:t>
        </w:r>
        <w:r w:rsidR="00A26AF8" w:rsidRPr="00496BA5">
          <w:rPr>
            <w:rStyle w:val="Hyperlink"/>
            <w:noProof/>
          </w:rPr>
          <w:t>Findings for Multi-Collinearity Test</w:t>
        </w:r>
        <w:r w:rsidR="00A26AF8">
          <w:rPr>
            <w:noProof/>
            <w:webHidden/>
          </w:rPr>
          <w:tab/>
        </w:r>
        <w:r w:rsidR="00A26AF8">
          <w:rPr>
            <w:noProof/>
            <w:webHidden/>
          </w:rPr>
          <w:fldChar w:fldCharType="begin"/>
        </w:r>
        <w:r w:rsidR="00A26AF8">
          <w:rPr>
            <w:noProof/>
            <w:webHidden/>
          </w:rPr>
          <w:instrText xml:space="preserve"> PAGEREF _Toc224237443 \h </w:instrText>
        </w:r>
        <w:r w:rsidR="00A26AF8">
          <w:rPr>
            <w:noProof/>
            <w:webHidden/>
          </w:rPr>
        </w:r>
        <w:r w:rsidR="00A26AF8">
          <w:rPr>
            <w:noProof/>
            <w:webHidden/>
          </w:rPr>
          <w:fldChar w:fldCharType="separate"/>
        </w:r>
        <w:r w:rsidR="00B0575C">
          <w:rPr>
            <w:noProof/>
            <w:webHidden/>
          </w:rPr>
          <w:t>121</w:t>
        </w:r>
        <w:r w:rsidR="00A26AF8">
          <w:rPr>
            <w:noProof/>
            <w:webHidden/>
          </w:rPr>
          <w:fldChar w:fldCharType="end"/>
        </w:r>
      </w:hyperlink>
    </w:p>
    <w:p w14:paraId="7DF29836" w14:textId="4F6BFD5A"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4" w:history="1">
        <w:r w:rsidR="00A26AF8" w:rsidRPr="004130F0">
          <w:rPr>
            <w:rStyle w:val="Hyperlink"/>
            <w:b/>
            <w:noProof/>
          </w:rPr>
          <w:t xml:space="preserve">Table 4.15: </w:t>
        </w:r>
        <w:r w:rsidR="00A26AF8" w:rsidRPr="00496BA5">
          <w:rPr>
            <w:rStyle w:val="Hyperlink"/>
            <w:noProof/>
          </w:rPr>
          <w:t>Autocorrelation Test Findings</w:t>
        </w:r>
        <w:r w:rsidR="00A26AF8">
          <w:rPr>
            <w:noProof/>
            <w:webHidden/>
          </w:rPr>
          <w:tab/>
        </w:r>
        <w:r w:rsidR="00A26AF8">
          <w:rPr>
            <w:noProof/>
            <w:webHidden/>
          </w:rPr>
          <w:fldChar w:fldCharType="begin"/>
        </w:r>
        <w:r w:rsidR="00A26AF8">
          <w:rPr>
            <w:noProof/>
            <w:webHidden/>
          </w:rPr>
          <w:instrText xml:space="preserve"> PAGEREF _Toc224237444 \h </w:instrText>
        </w:r>
        <w:r w:rsidR="00A26AF8">
          <w:rPr>
            <w:noProof/>
            <w:webHidden/>
          </w:rPr>
        </w:r>
        <w:r w:rsidR="00A26AF8">
          <w:rPr>
            <w:noProof/>
            <w:webHidden/>
          </w:rPr>
          <w:fldChar w:fldCharType="separate"/>
        </w:r>
        <w:r w:rsidR="00B0575C">
          <w:rPr>
            <w:noProof/>
            <w:webHidden/>
          </w:rPr>
          <w:t>122</w:t>
        </w:r>
        <w:r w:rsidR="00A26AF8">
          <w:rPr>
            <w:noProof/>
            <w:webHidden/>
          </w:rPr>
          <w:fldChar w:fldCharType="end"/>
        </w:r>
      </w:hyperlink>
    </w:p>
    <w:p w14:paraId="5EC63B5D" w14:textId="3470E34C"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45" w:history="1">
        <w:r w:rsidR="00A26AF8" w:rsidRPr="004130F0">
          <w:rPr>
            <w:rStyle w:val="Hyperlink"/>
            <w:b/>
            <w:noProof/>
          </w:rPr>
          <w:t xml:space="preserve">Table 4.16: </w:t>
        </w:r>
        <w:r w:rsidR="00A26AF8" w:rsidRPr="00496BA5">
          <w:rPr>
            <w:rStyle w:val="Hyperlink"/>
            <w:noProof/>
          </w:rPr>
          <w:t>Descriptive Statistical Findings for Green Employee Resourcing</w:t>
        </w:r>
        <w:r w:rsidR="00A26AF8">
          <w:rPr>
            <w:noProof/>
            <w:webHidden/>
          </w:rPr>
          <w:tab/>
        </w:r>
        <w:r w:rsidR="00A26AF8">
          <w:rPr>
            <w:noProof/>
            <w:webHidden/>
          </w:rPr>
          <w:fldChar w:fldCharType="begin"/>
        </w:r>
        <w:r w:rsidR="00A26AF8">
          <w:rPr>
            <w:noProof/>
            <w:webHidden/>
          </w:rPr>
          <w:instrText xml:space="preserve"> PAGEREF _Toc224237445 \h </w:instrText>
        </w:r>
        <w:r w:rsidR="00A26AF8">
          <w:rPr>
            <w:noProof/>
            <w:webHidden/>
          </w:rPr>
        </w:r>
        <w:r w:rsidR="00A26AF8">
          <w:rPr>
            <w:noProof/>
            <w:webHidden/>
          </w:rPr>
          <w:fldChar w:fldCharType="separate"/>
        </w:r>
        <w:r w:rsidR="00B0575C">
          <w:rPr>
            <w:noProof/>
            <w:webHidden/>
          </w:rPr>
          <w:t>124</w:t>
        </w:r>
        <w:r w:rsidR="00A26AF8">
          <w:rPr>
            <w:noProof/>
            <w:webHidden/>
          </w:rPr>
          <w:fldChar w:fldCharType="end"/>
        </w:r>
      </w:hyperlink>
    </w:p>
    <w:p w14:paraId="75E0406A" w14:textId="6B61C666" w:rsidR="00A26AF8" w:rsidRDefault="00451AD7" w:rsidP="00080FE8">
      <w:pPr>
        <w:pStyle w:val="TableofFigures"/>
        <w:tabs>
          <w:tab w:val="right" w:leader="dot" w:pos="8544"/>
        </w:tabs>
        <w:ind w:left="1418" w:hanging="1418"/>
        <w:rPr>
          <w:rFonts w:asciiTheme="minorHAnsi" w:eastAsiaTheme="minorEastAsia" w:hAnsiTheme="minorHAnsi"/>
          <w:noProof/>
          <w:sz w:val="22"/>
          <w:szCs w:val="22"/>
          <w:lang w:val="en-US"/>
        </w:rPr>
      </w:pPr>
      <w:hyperlink w:anchor="_Toc224237446" w:history="1">
        <w:r w:rsidR="00A26AF8" w:rsidRPr="004130F0">
          <w:rPr>
            <w:rStyle w:val="Hyperlink"/>
            <w:b/>
            <w:noProof/>
          </w:rPr>
          <w:t xml:space="preserve">Table 4.17: </w:t>
        </w:r>
        <w:r w:rsidR="00A26AF8" w:rsidRPr="00496BA5">
          <w:rPr>
            <w:rStyle w:val="Hyperlink"/>
            <w:noProof/>
          </w:rPr>
          <w:t>Suggestions for Improvement of Green Employee Resourcing Practice</w:t>
        </w:r>
        <w:r w:rsidR="00A26AF8">
          <w:rPr>
            <w:noProof/>
            <w:webHidden/>
          </w:rPr>
          <w:tab/>
        </w:r>
        <w:r w:rsidR="00A26AF8">
          <w:rPr>
            <w:noProof/>
            <w:webHidden/>
          </w:rPr>
          <w:fldChar w:fldCharType="begin"/>
        </w:r>
        <w:r w:rsidR="00A26AF8">
          <w:rPr>
            <w:noProof/>
            <w:webHidden/>
          </w:rPr>
          <w:instrText xml:space="preserve"> PAGEREF _Toc224237446 \h </w:instrText>
        </w:r>
        <w:r w:rsidR="00A26AF8">
          <w:rPr>
            <w:noProof/>
            <w:webHidden/>
          </w:rPr>
        </w:r>
        <w:r w:rsidR="00A26AF8">
          <w:rPr>
            <w:noProof/>
            <w:webHidden/>
          </w:rPr>
          <w:fldChar w:fldCharType="separate"/>
        </w:r>
        <w:r w:rsidR="00B0575C">
          <w:rPr>
            <w:noProof/>
            <w:webHidden/>
          </w:rPr>
          <w:t>128</w:t>
        </w:r>
        <w:r w:rsidR="00A26AF8">
          <w:rPr>
            <w:noProof/>
            <w:webHidden/>
          </w:rPr>
          <w:fldChar w:fldCharType="end"/>
        </w:r>
      </w:hyperlink>
    </w:p>
    <w:p w14:paraId="37141659" w14:textId="5CA4D912" w:rsidR="00A26AF8" w:rsidRDefault="00451AD7" w:rsidP="00080FE8">
      <w:pPr>
        <w:pStyle w:val="TableofFigures"/>
        <w:tabs>
          <w:tab w:val="right" w:leader="dot" w:pos="8544"/>
        </w:tabs>
        <w:ind w:left="1418" w:hanging="1418"/>
        <w:rPr>
          <w:rFonts w:asciiTheme="minorHAnsi" w:eastAsiaTheme="minorEastAsia" w:hAnsiTheme="minorHAnsi"/>
          <w:noProof/>
          <w:sz w:val="22"/>
          <w:szCs w:val="22"/>
          <w:lang w:val="en-US"/>
        </w:rPr>
      </w:pPr>
      <w:hyperlink w:anchor="_Toc224237447" w:history="1">
        <w:r w:rsidR="00A26AF8" w:rsidRPr="004130F0">
          <w:rPr>
            <w:rStyle w:val="Hyperlink"/>
            <w:b/>
            <w:noProof/>
          </w:rPr>
          <w:t xml:space="preserve">Table 4.18: </w:t>
        </w:r>
        <w:r w:rsidR="00A26AF8" w:rsidRPr="00496BA5">
          <w:rPr>
            <w:rStyle w:val="Hyperlink"/>
            <w:noProof/>
          </w:rPr>
          <w:t>Correlation Findings for Green Employee Resourcing and Performance</w:t>
        </w:r>
        <w:r w:rsidR="00A26AF8">
          <w:rPr>
            <w:noProof/>
            <w:webHidden/>
          </w:rPr>
          <w:tab/>
        </w:r>
        <w:r w:rsidR="00A26AF8">
          <w:rPr>
            <w:noProof/>
            <w:webHidden/>
          </w:rPr>
          <w:fldChar w:fldCharType="begin"/>
        </w:r>
        <w:r w:rsidR="00A26AF8">
          <w:rPr>
            <w:noProof/>
            <w:webHidden/>
          </w:rPr>
          <w:instrText xml:space="preserve"> PAGEREF _Toc224237447 \h </w:instrText>
        </w:r>
        <w:r w:rsidR="00A26AF8">
          <w:rPr>
            <w:noProof/>
            <w:webHidden/>
          </w:rPr>
        </w:r>
        <w:r w:rsidR="00A26AF8">
          <w:rPr>
            <w:noProof/>
            <w:webHidden/>
          </w:rPr>
          <w:fldChar w:fldCharType="separate"/>
        </w:r>
        <w:r w:rsidR="00B0575C">
          <w:rPr>
            <w:noProof/>
            <w:webHidden/>
          </w:rPr>
          <w:t>131</w:t>
        </w:r>
        <w:r w:rsidR="00A26AF8">
          <w:rPr>
            <w:noProof/>
            <w:webHidden/>
          </w:rPr>
          <w:fldChar w:fldCharType="end"/>
        </w:r>
      </w:hyperlink>
    </w:p>
    <w:p w14:paraId="18AA2748" w14:textId="1B1D8A85" w:rsidR="00A26AF8" w:rsidRDefault="00451AD7" w:rsidP="00687269">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48" w:history="1">
        <w:r w:rsidR="00A26AF8" w:rsidRPr="004130F0">
          <w:rPr>
            <w:rStyle w:val="Hyperlink"/>
            <w:b/>
            <w:noProof/>
          </w:rPr>
          <w:t xml:space="preserve">Table 4.19: </w:t>
        </w:r>
        <w:r w:rsidR="00A26AF8" w:rsidRPr="00496BA5">
          <w:rPr>
            <w:rStyle w:val="Hyperlink"/>
            <w:noProof/>
          </w:rPr>
          <w:t>Simple Linear Regression Findings for Green Employee Resourcing and Performance</w:t>
        </w:r>
        <w:r w:rsidR="00A26AF8">
          <w:rPr>
            <w:noProof/>
            <w:webHidden/>
          </w:rPr>
          <w:tab/>
        </w:r>
        <w:r w:rsidR="00A26AF8">
          <w:rPr>
            <w:noProof/>
            <w:webHidden/>
          </w:rPr>
          <w:fldChar w:fldCharType="begin"/>
        </w:r>
        <w:r w:rsidR="00A26AF8">
          <w:rPr>
            <w:noProof/>
            <w:webHidden/>
          </w:rPr>
          <w:instrText xml:space="preserve"> PAGEREF _Toc224237448 \h </w:instrText>
        </w:r>
        <w:r w:rsidR="00A26AF8">
          <w:rPr>
            <w:noProof/>
            <w:webHidden/>
          </w:rPr>
        </w:r>
        <w:r w:rsidR="00A26AF8">
          <w:rPr>
            <w:noProof/>
            <w:webHidden/>
          </w:rPr>
          <w:fldChar w:fldCharType="separate"/>
        </w:r>
        <w:r w:rsidR="00B0575C">
          <w:rPr>
            <w:noProof/>
            <w:webHidden/>
          </w:rPr>
          <w:t>132</w:t>
        </w:r>
        <w:r w:rsidR="00A26AF8">
          <w:rPr>
            <w:noProof/>
            <w:webHidden/>
          </w:rPr>
          <w:fldChar w:fldCharType="end"/>
        </w:r>
      </w:hyperlink>
    </w:p>
    <w:p w14:paraId="52B1AB8E" w14:textId="5E9FE1AA" w:rsidR="00A26AF8" w:rsidRDefault="00451AD7" w:rsidP="00687269">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49" w:history="1">
        <w:r w:rsidR="00A26AF8" w:rsidRPr="004130F0">
          <w:rPr>
            <w:rStyle w:val="Hyperlink"/>
            <w:b/>
            <w:noProof/>
          </w:rPr>
          <w:t xml:space="preserve">Table 4.20: </w:t>
        </w:r>
        <w:r w:rsidR="00A26AF8" w:rsidRPr="00496BA5">
          <w:rPr>
            <w:rStyle w:val="Hyperlink"/>
            <w:noProof/>
          </w:rPr>
          <w:t>Regression Coefficients for Green Employee Resourcing and Performance</w:t>
        </w:r>
        <w:r w:rsidR="00A26AF8">
          <w:rPr>
            <w:noProof/>
            <w:webHidden/>
          </w:rPr>
          <w:tab/>
        </w:r>
        <w:r w:rsidR="00A26AF8">
          <w:rPr>
            <w:noProof/>
            <w:webHidden/>
          </w:rPr>
          <w:fldChar w:fldCharType="begin"/>
        </w:r>
        <w:r w:rsidR="00A26AF8">
          <w:rPr>
            <w:noProof/>
            <w:webHidden/>
          </w:rPr>
          <w:instrText xml:space="preserve"> PAGEREF _Toc224237449 \h </w:instrText>
        </w:r>
        <w:r w:rsidR="00A26AF8">
          <w:rPr>
            <w:noProof/>
            <w:webHidden/>
          </w:rPr>
        </w:r>
        <w:r w:rsidR="00A26AF8">
          <w:rPr>
            <w:noProof/>
            <w:webHidden/>
          </w:rPr>
          <w:fldChar w:fldCharType="separate"/>
        </w:r>
        <w:r w:rsidR="00B0575C">
          <w:rPr>
            <w:noProof/>
            <w:webHidden/>
          </w:rPr>
          <w:t>133</w:t>
        </w:r>
        <w:r w:rsidR="00A26AF8">
          <w:rPr>
            <w:noProof/>
            <w:webHidden/>
          </w:rPr>
          <w:fldChar w:fldCharType="end"/>
        </w:r>
      </w:hyperlink>
    </w:p>
    <w:p w14:paraId="050F3B7C" w14:textId="5E6513F7"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0" w:history="1">
        <w:r w:rsidR="00A26AF8" w:rsidRPr="004130F0">
          <w:rPr>
            <w:rStyle w:val="Hyperlink"/>
            <w:b/>
            <w:noProof/>
          </w:rPr>
          <w:t xml:space="preserve">Table 4.21: </w:t>
        </w:r>
        <w:r w:rsidR="00A26AF8" w:rsidRPr="00496BA5">
          <w:rPr>
            <w:rStyle w:val="Hyperlink"/>
            <w:noProof/>
          </w:rPr>
          <w:t>One-Way ANOVA for Green Employee Resourcing</w:t>
        </w:r>
        <w:r w:rsidR="00A26AF8">
          <w:rPr>
            <w:noProof/>
            <w:webHidden/>
          </w:rPr>
          <w:tab/>
        </w:r>
        <w:r w:rsidR="00A26AF8">
          <w:rPr>
            <w:noProof/>
            <w:webHidden/>
          </w:rPr>
          <w:fldChar w:fldCharType="begin"/>
        </w:r>
        <w:r w:rsidR="00A26AF8">
          <w:rPr>
            <w:noProof/>
            <w:webHidden/>
          </w:rPr>
          <w:instrText xml:space="preserve"> PAGEREF _Toc224237450 \h </w:instrText>
        </w:r>
        <w:r w:rsidR="00A26AF8">
          <w:rPr>
            <w:noProof/>
            <w:webHidden/>
          </w:rPr>
        </w:r>
        <w:r w:rsidR="00A26AF8">
          <w:rPr>
            <w:noProof/>
            <w:webHidden/>
          </w:rPr>
          <w:fldChar w:fldCharType="separate"/>
        </w:r>
        <w:r w:rsidR="00B0575C">
          <w:rPr>
            <w:noProof/>
            <w:webHidden/>
          </w:rPr>
          <w:t>133</w:t>
        </w:r>
        <w:r w:rsidR="00A26AF8">
          <w:rPr>
            <w:noProof/>
            <w:webHidden/>
          </w:rPr>
          <w:fldChar w:fldCharType="end"/>
        </w:r>
      </w:hyperlink>
    </w:p>
    <w:p w14:paraId="3469AFCE" w14:textId="4E4B315F"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1" w:history="1">
        <w:r w:rsidR="00A26AF8" w:rsidRPr="004130F0">
          <w:rPr>
            <w:rStyle w:val="Hyperlink"/>
            <w:b/>
            <w:noProof/>
          </w:rPr>
          <w:t xml:space="preserve">Table 4.22: </w:t>
        </w:r>
        <w:r w:rsidR="00A26AF8" w:rsidRPr="00496BA5">
          <w:rPr>
            <w:rStyle w:val="Hyperlink"/>
            <w:noProof/>
          </w:rPr>
          <w:t>Descriptive Statistical Findings for Green Training</w:t>
        </w:r>
        <w:r w:rsidR="00A26AF8">
          <w:rPr>
            <w:noProof/>
            <w:webHidden/>
          </w:rPr>
          <w:tab/>
        </w:r>
        <w:r w:rsidR="00A26AF8">
          <w:rPr>
            <w:noProof/>
            <w:webHidden/>
          </w:rPr>
          <w:fldChar w:fldCharType="begin"/>
        </w:r>
        <w:r w:rsidR="00A26AF8">
          <w:rPr>
            <w:noProof/>
            <w:webHidden/>
          </w:rPr>
          <w:instrText xml:space="preserve"> PAGEREF _Toc224237451 \h </w:instrText>
        </w:r>
        <w:r w:rsidR="00A26AF8">
          <w:rPr>
            <w:noProof/>
            <w:webHidden/>
          </w:rPr>
        </w:r>
        <w:r w:rsidR="00A26AF8">
          <w:rPr>
            <w:noProof/>
            <w:webHidden/>
          </w:rPr>
          <w:fldChar w:fldCharType="separate"/>
        </w:r>
        <w:r w:rsidR="00B0575C">
          <w:rPr>
            <w:noProof/>
            <w:webHidden/>
          </w:rPr>
          <w:t>135</w:t>
        </w:r>
        <w:r w:rsidR="00A26AF8">
          <w:rPr>
            <w:noProof/>
            <w:webHidden/>
          </w:rPr>
          <w:fldChar w:fldCharType="end"/>
        </w:r>
      </w:hyperlink>
    </w:p>
    <w:p w14:paraId="558A4EAC" w14:textId="05EFD3E9"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2" w:history="1">
        <w:r w:rsidR="00A26AF8" w:rsidRPr="004130F0">
          <w:rPr>
            <w:rStyle w:val="Hyperlink"/>
            <w:b/>
            <w:noProof/>
          </w:rPr>
          <w:t xml:space="preserve">Table 4.23: </w:t>
        </w:r>
        <w:r w:rsidR="00A26AF8" w:rsidRPr="00496BA5">
          <w:rPr>
            <w:rStyle w:val="Hyperlink"/>
            <w:noProof/>
          </w:rPr>
          <w:t>Suggestions for Improvement of Green Training Practice</w:t>
        </w:r>
        <w:r w:rsidR="00A26AF8">
          <w:rPr>
            <w:noProof/>
            <w:webHidden/>
          </w:rPr>
          <w:tab/>
        </w:r>
        <w:r w:rsidR="00A26AF8">
          <w:rPr>
            <w:noProof/>
            <w:webHidden/>
          </w:rPr>
          <w:fldChar w:fldCharType="begin"/>
        </w:r>
        <w:r w:rsidR="00A26AF8">
          <w:rPr>
            <w:noProof/>
            <w:webHidden/>
          </w:rPr>
          <w:instrText xml:space="preserve"> PAGEREF _Toc224237452 \h </w:instrText>
        </w:r>
        <w:r w:rsidR="00A26AF8">
          <w:rPr>
            <w:noProof/>
            <w:webHidden/>
          </w:rPr>
        </w:r>
        <w:r w:rsidR="00A26AF8">
          <w:rPr>
            <w:noProof/>
            <w:webHidden/>
          </w:rPr>
          <w:fldChar w:fldCharType="separate"/>
        </w:r>
        <w:r w:rsidR="00B0575C">
          <w:rPr>
            <w:noProof/>
            <w:webHidden/>
          </w:rPr>
          <w:t>141</w:t>
        </w:r>
        <w:r w:rsidR="00A26AF8">
          <w:rPr>
            <w:noProof/>
            <w:webHidden/>
          </w:rPr>
          <w:fldChar w:fldCharType="end"/>
        </w:r>
      </w:hyperlink>
    </w:p>
    <w:p w14:paraId="35F8F859" w14:textId="34B147BC"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3" w:history="1">
        <w:r w:rsidR="00A26AF8" w:rsidRPr="004130F0">
          <w:rPr>
            <w:rStyle w:val="Hyperlink"/>
            <w:b/>
            <w:noProof/>
          </w:rPr>
          <w:t xml:space="preserve">Table 4.24: </w:t>
        </w:r>
        <w:r w:rsidR="00A26AF8" w:rsidRPr="00496BA5">
          <w:rPr>
            <w:rStyle w:val="Hyperlink"/>
            <w:noProof/>
          </w:rPr>
          <w:t>Correlation for Green Training and Performance</w:t>
        </w:r>
        <w:r w:rsidR="00A26AF8">
          <w:rPr>
            <w:noProof/>
            <w:webHidden/>
          </w:rPr>
          <w:tab/>
        </w:r>
        <w:r w:rsidR="00A26AF8">
          <w:rPr>
            <w:noProof/>
            <w:webHidden/>
          </w:rPr>
          <w:fldChar w:fldCharType="begin"/>
        </w:r>
        <w:r w:rsidR="00A26AF8">
          <w:rPr>
            <w:noProof/>
            <w:webHidden/>
          </w:rPr>
          <w:instrText xml:space="preserve"> PAGEREF _Toc224237453 \h </w:instrText>
        </w:r>
        <w:r w:rsidR="00A26AF8">
          <w:rPr>
            <w:noProof/>
            <w:webHidden/>
          </w:rPr>
        </w:r>
        <w:r w:rsidR="00A26AF8">
          <w:rPr>
            <w:noProof/>
            <w:webHidden/>
          </w:rPr>
          <w:fldChar w:fldCharType="separate"/>
        </w:r>
        <w:r w:rsidR="00B0575C">
          <w:rPr>
            <w:noProof/>
            <w:webHidden/>
          </w:rPr>
          <w:t>144</w:t>
        </w:r>
        <w:r w:rsidR="00A26AF8">
          <w:rPr>
            <w:noProof/>
            <w:webHidden/>
          </w:rPr>
          <w:fldChar w:fldCharType="end"/>
        </w:r>
      </w:hyperlink>
    </w:p>
    <w:p w14:paraId="2B5C3C55" w14:textId="451ACFB2" w:rsidR="00A26AF8" w:rsidRDefault="00451AD7" w:rsidP="00080FE8">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54" w:history="1">
        <w:r w:rsidR="00A26AF8" w:rsidRPr="004130F0">
          <w:rPr>
            <w:rStyle w:val="Hyperlink"/>
            <w:b/>
            <w:noProof/>
          </w:rPr>
          <w:t xml:space="preserve">Table 4.25: </w:t>
        </w:r>
        <w:r w:rsidR="00A26AF8" w:rsidRPr="00496BA5">
          <w:rPr>
            <w:rStyle w:val="Hyperlink"/>
            <w:noProof/>
          </w:rPr>
          <w:t>Simple Linear Regression Findings for Green Training and Performance</w:t>
        </w:r>
        <w:r w:rsidR="00A26AF8">
          <w:rPr>
            <w:noProof/>
            <w:webHidden/>
          </w:rPr>
          <w:tab/>
        </w:r>
        <w:r w:rsidR="00A26AF8">
          <w:rPr>
            <w:noProof/>
            <w:webHidden/>
          </w:rPr>
          <w:fldChar w:fldCharType="begin"/>
        </w:r>
        <w:r w:rsidR="00A26AF8">
          <w:rPr>
            <w:noProof/>
            <w:webHidden/>
          </w:rPr>
          <w:instrText xml:space="preserve"> PAGEREF _Toc224237454 \h </w:instrText>
        </w:r>
        <w:r w:rsidR="00A26AF8">
          <w:rPr>
            <w:noProof/>
            <w:webHidden/>
          </w:rPr>
        </w:r>
        <w:r w:rsidR="00A26AF8">
          <w:rPr>
            <w:noProof/>
            <w:webHidden/>
          </w:rPr>
          <w:fldChar w:fldCharType="separate"/>
        </w:r>
        <w:r w:rsidR="00B0575C">
          <w:rPr>
            <w:noProof/>
            <w:webHidden/>
          </w:rPr>
          <w:t>145</w:t>
        </w:r>
        <w:r w:rsidR="00A26AF8">
          <w:rPr>
            <w:noProof/>
            <w:webHidden/>
          </w:rPr>
          <w:fldChar w:fldCharType="end"/>
        </w:r>
      </w:hyperlink>
    </w:p>
    <w:p w14:paraId="0C836618" w14:textId="52F4CA68"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5" w:history="1">
        <w:r w:rsidR="00A26AF8" w:rsidRPr="004130F0">
          <w:rPr>
            <w:rStyle w:val="Hyperlink"/>
            <w:b/>
            <w:noProof/>
          </w:rPr>
          <w:t>Table 4.26:</w:t>
        </w:r>
        <w:r w:rsidR="00A26AF8" w:rsidRPr="00496BA5">
          <w:rPr>
            <w:rStyle w:val="Hyperlink"/>
            <w:noProof/>
          </w:rPr>
          <w:t xml:space="preserve"> Regression Coefficients for Green Training and Performance</w:t>
        </w:r>
        <w:r w:rsidR="00A26AF8">
          <w:rPr>
            <w:noProof/>
            <w:webHidden/>
          </w:rPr>
          <w:tab/>
        </w:r>
        <w:r w:rsidR="00A26AF8">
          <w:rPr>
            <w:noProof/>
            <w:webHidden/>
          </w:rPr>
          <w:fldChar w:fldCharType="begin"/>
        </w:r>
        <w:r w:rsidR="00A26AF8">
          <w:rPr>
            <w:noProof/>
            <w:webHidden/>
          </w:rPr>
          <w:instrText xml:space="preserve"> PAGEREF _Toc224237455 \h </w:instrText>
        </w:r>
        <w:r w:rsidR="00A26AF8">
          <w:rPr>
            <w:noProof/>
            <w:webHidden/>
          </w:rPr>
        </w:r>
        <w:r w:rsidR="00A26AF8">
          <w:rPr>
            <w:noProof/>
            <w:webHidden/>
          </w:rPr>
          <w:fldChar w:fldCharType="separate"/>
        </w:r>
        <w:r w:rsidR="00B0575C">
          <w:rPr>
            <w:noProof/>
            <w:webHidden/>
          </w:rPr>
          <w:t>146</w:t>
        </w:r>
        <w:r w:rsidR="00A26AF8">
          <w:rPr>
            <w:noProof/>
            <w:webHidden/>
          </w:rPr>
          <w:fldChar w:fldCharType="end"/>
        </w:r>
      </w:hyperlink>
    </w:p>
    <w:p w14:paraId="27F058B3" w14:textId="403E9BCD"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6" w:history="1">
        <w:r w:rsidR="00A26AF8" w:rsidRPr="004130F0">
          <w:rPr>
            <w:rStyle w:val="Hyperlink"/>
            <w:b/>
            <w:noProof/>
          </w:rPr>
          <w:t xml:space="preserve">Table 4.27: </w:t>
        </w:r>
        <w:r w:rsidR="00A26AF8" w:rsidRPr="00496BA5">
          <w:rPr>
            <w:rStyle w:val="Hyperlink"/>
            <w:noProof/>
          </w:rPr>
          <w:t>One-Way ANOVA for Green Training</w:t>
        </w:r>
        <w:r w:rsidR="00A26AF8">
          <w:rPr>
            <w:noProof/>
            <w:webHidden/>
          </w:rPr>
          <w:tab/>
        </w:r>
        <w:r w:rsidR="00A26AF8">
          <w:rPr>
            <w:noProof/>
            <w:webHidden/>
          </w:rPr>
          <w:fldChar w:fldCharType="begin"/>
        </w:r>
        <w:r w:rsidR="00A26AF8">
          <w:rPr>
            <w:noProof/>
            <w:webHidden/>
          </w:rPr>
          <w:instrText xml:space="preserve"> PAGEREF _Toc224237456 \h </w:instrText>
        </w:r>
        <w:r w:rsidR="00A26AF8">
          <w:rPr>
            <w:noProof/>
            <w:webHidden/>
          </w:rPr>
        </w:r>
        <w:r w:rsidR="00A26AF8">
          <w:rPr>
            <w:noProof/>
            <w:webHidden/>
          </w:rPr>
          <w:fldChar w:fldCharType="separate"/>
        </w:r>
        <w:r w:rsidR="00B0575C">
          <w:rPr>
            <w:noProof/>
            <w:webHidden/>
          </w:rPr>
          <w:t>147</w:t>
        </w:r>
        <w:r w:rsidR="00A26AF8">
          <w:rPr>
            <w:noProof/>
            <w:webHidden/>
          </w:rPr>
          <w:fldChar w:fldCharType="end"/>
        </w:r>
      </w:hyperlink>
    </w:p>
    <w:p w14:paraId="4A87846C" w14:textId="41465F31" w:rsidR="00A26AF8" w:rsidRDefault="00451AD7" w:rsidP="000275F0">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57" w:history="1">
        <w:r w:rsidR="00A26AF8" w:rsidRPr="004130F0">
          <w:rPr>
            <w:rStyle w:val="Hyperlink"/>
            <w:rFonts w:eastAsia="Calibri"/>
            <w:b/>
            <w:noProof/>
          </w:rPr>
          <w:t xml:space="preserve">Table 4.28: </w:t>
        </w:r>
        <w:r w:rsidR="00A26AF8" w:rsidRPr="00496BA5">
          <w:rPr>
            <w:rStyle w:val="Hyperlink"/>
            <w:rFonts w:eastAsia="Calibri"/>
            <w:noProof/>
          </w:rPr>
          <w:t>Descriptive Statistical Findings for Green Occupational Safety and Health</w:t>
        </w:r>
        <w:r w:rsidR="00A26AF8">
          <w:rPr>
            <w:noProof/>
            <w:webHidden/>
          </w:rPr>
          <w:tab/>
        </w:r>
        <w:r w:rsidR="00A26AF8">
          <w:rPr>
            <w:noProof/>
            <w:webHidden/>
          </w:rPr>
          <w:fldChar w:fldCharType="begin"/>
        </w:r>
        <w:r w:rsidR="00A26AF8">
          <w:rPr>
            <w:noProof/>
            <w:webHidden/>
          </w:rPr>
          <w:instrText xml:space="preserve"> PAGEREF _Toc224237457 \h </w:instrText>
        </w:r>
        <w:r w:rsidR="00A26AF8">
          <w:rPr>
            <w:noProof/>
            <w:webHidden/>
          </w:rPr>
        </w:r>
        <w:r w:rsidR="00A26AF8">
          <w:rPr>
            <w:noProof/>
            <w:webHidden/>
          </w:rPr>
          <w:fldChar w:fldCharType="separate"/>
        </w:r>
        <w:r w:rsidR="00B0575C">
          <w:rPr>
            <w:noProof/>
            <w:webHidden/>
          </w:rPr>
          <w:t>148</w:t>
        </w:r>
        <w:r w:rsidR="00A26AF8">
          <w:rPr>
            <w:noProof/>
            <w:webHidden/>
          </w:rPr>
          <w:fldChar w:fldCharType="end"/>
        </w:r>
      </w:hyperlink>
    </w:p>
    <w:p w14:paraId="4BF00251" w14:textId="03A985D6" w:rsidR="00A26AF8" w:rsidRDefault="00451AD7" w:rsidP="000275F0">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58" w:history="1">
        <w:r w:rsidR="00A26AF8" w:rsidRPr="004130F0">
          <w:rPr>
            <w:rStyle w:val="Hyperlink"/>
            <w:b/>
            <w:noProof/>
          </w:rPr>
          <w:t xml:space="preserve">Table 4.29: </w:t>
        </w:r>
        <w:r w:rsidR="00A26AF8" w:rsidRPr="00496BA5">
          <w:rPr>
            <w:rStyle w:val="Hyperlink"/>
            <w:noProof/>
          </w:rPr>
          <w:t>Suggestions for Improvement of Green Occupational Safety and Health Practice</w:t>
        </w:r>
        <w:r w:rsidR="00A26AF8">
          <w:rPr>
            <w:noProof/>
            <w:webHidden/>
          </w:rPr>
          <w:tab/>
        </w:r>
        <w:r w:rsidR="00A26AF8">
          <w:rPr>
            <w:noProof/>
            <w:webHidden/>
          </w:rPr>
          <w:fldChar w:fldCharType="begin"/>
        </w:r>
        <w:r w:rsidR="00A26AF8">
          <w:rPr>
            <w:noProof/>
            <w:webHidden/>
          </w:rPr>
          <w:instrText xml:space="preserve"> PAGEREF _Toc224237458 \h </w:instrText>
        </w:r>
        <w:r w:rsidR="00A26AF8">
          <w:rPr>
            <w:noProof/>
            <w:webHidden/>
          </w:rPr>
        </w:r>
        <w:r w:rsidR="00A26AF8">
          <w:rPr>
            <w:noProof/>
            <w:webHidden/>
          </w:rPr>
          <w:fldChar w:fldCharType="separate"/>
        </w:r>
        <w:r w:rsidR="00B0575C">
          <w:rPr>
            <w:noProof/>
            <w:webHidden/>
          </w:rPr>
          <w:t>152</w:t>
        </w:r>
        <w:r w:rsidR="00A26AF8">
          <w:rPr>
            <w:noProof/>
            <w:webHidden/>
          </w:rPr>
          <w:fldChar w:fldCharType="end"/>
        </w:r>
      </w:hyperlink>
    </w:p>
    <w:p w14:paraId="5195CA85" w14:textId="6051A5FE"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59" w:history="1">
        <w:r w:rsidR="00A26AF8" w:rsidRPr="004130F0">
          <w:rPr>
            <w:rStyle w:val="Hyperlink"/>
            <w:b/>
            <w:noProof/>
          </w:rPr>
          <w:t xml:space="preserve">Table 4.30: </w:t>
        </w:r>
        <w:r w:rsidR="00A26AF8" w:rsidRPr="00496BA5">
          <w:rPr>
            <w:rStyle w:val="Hyperlink"/>
            <w:noProof/>
          </w:rPr>
          <w:t>Correlation for Green Occupational Safety, Health, and Performance</w:t>
        </w:r>
        <w:r w:rsidR="00A26AF8">
          <w:rPr>
            <w:noProof/>
            <w:webHidden/>
          </w:rPr>
          <w:tab/>
        </w:r>
        <w:r w:rsidR="00A26AF8">
          <w:rPr>
            <w:noProof/>
            <w:webHidden/>
          </w:rPr>
          <w:fldChar w:fldCharType="begin"/>
        </w:r>
        <w:r w:rsidR="00A26AF8">
          <w:rPr>
            <w:noProof/>
            <w:webHidden/>
          </w:rPr>
          <w:instrText xml:space="preserve"> PAGEREF _Toc224237459 \h </w:instrText>
        </w:r>
        <w:r w:rsidR="00A26AF8">
          <w:rPr>
            <w:noProof/>
            <w:webHidden/>
          </w:rPr>
        </w:r>
        <w:r w:rsidR="00A26AF8">
          <w:rPr>
            <w:noProof/>
            <w:webHidden/>
          </w:rPr>
          <w:fldChar w:fldCharType="separate"/>
        </w:r>
        <w:r w:rsidR="00B0575C">
          <w:rPr>
            <w:noProof/>
            <w:webHidden/>
          </w:rPr>
          <w:t>157</w:t>
        </w:r>
        <w:r w:rsidR="00A26AF8">
          <w:rPr>
            <w:noProof/>
            <w:webHidden/>
          </w:rPr>
          <w:fldChar w:fldCharType="end"/>
        </w:r>
      </w:hyperlink>
    </w:p>
    <w:p w14:paraId="7A873C23" w14:textId="0CC1DE83"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0" w:history="1">
        <w:r w:rsidR="00A26AF8" w:rsidRPr="004130F0">
          <w:rPr>
            <w:rStyle w:val="Hyperlink"/>
            <w:b/>
            <w:noProof/>
          </w:rPr>
          <w:t xml:space="preserve">Table 4.31: </w:t>
        </w:r>
        <w:r w:rsidR="00A26AF8" w:rsidRPr="00496BA5">
          <w:rPr>
            <w:rStyle w:val="Hyperlink"/>
            <w:noProof/>
          </w:rPr>
          <w:t>Simple Linear Regression Findings for GOSH and Performance</w:t>
        </w:r>
        <w:r w:rsidR="00A26AF8">
          <w:rPr>
            <w:noProof/>
            <w:webHidden/>
          </w:rPr>
          <w:tab/>
        </w:r>
        <w:r w:rsidR="00A26AF8">
          <w:rPr>
            <w:noProof/>
            <w:webHidden/>
          </w:rPr>
          <w:fldChar w:fldCharType="begin"/>
        </w:r>
        <w:r w:rsidR="00A26AF8">
          <w:rPr>
            <w:noProof/>
            <w:webHidden/>
          </w:rPr>
          <w:instrText xml:space="preserve"> PAGEREF _Toc224237460 \h </w:instrText>
        </w:r>
        <w:r w:rsidR="00A26AF8">
          <w:rPr>
            <w:noProof/>
            <w:webHidden/>
          </w:rPr>
        </w:r>
        <w:r w:rsidR="00A26AF8">
          <w:rPr>
            <w:noProof/>
            <w:webHidden/>
          </w:rPr>
          <w:fldChar w:fldCharType="separate"/>
        </w:r>
        <w:r w:rsidR="00B0575C">
          <w:rPr>
            <w:noProof/>
            <w:webHidden/>
          </w:rPr>
          <w:t>158</w:t>
        </w:r>
        <w:r w:rsidR="00A26AF8">
          <w:rPr>
            <w:noProof/>
            <w:webHidden/>
          </w:rPr>
          <w:fldChar w:fldCharType="end"/>
        </w:r>
      </w:hyperlink>
    </w:p>
    <w:p w14:paraId="311AF32B" w14:textId="0BCB52DB"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1" w:history="1">
        <w:r w:rsidR="00A26AF8" w:rsidRPr="004130F0">
          <w:rPr>
            <w:rStyle w:val="Hyperlink"/>
            <w:b/>
            <w:noProof/>
          </w:rPr>
          <w:t xml:space="preserve">Table 4.32: </w:t>
        </w:r>
        <w:r w:rsidR="00A26AF8" w:rsidRPr="00496BA5">
          <w:rPr>
            <w:rStyle w:val="Hyperlink"/>
            <w:noProof/>
          </w:rPr>
          <w:t>Regression Coefficients for GOSH and Performance</w:t>
        </w:r>
        <w:r w:rsidR="00A26AF8">
          <w:rPr>
            <w:noProof/>
            <w:webHidden/>
          </w:rPr>
          <w:tab/>
        </w:r>
        <w:r w:rsidR="00A26AF8">
          <w:rPr>
            <w:noProof/>
            <w:webHidden/>
          </w:rPr>
          <w:fldChar w:fldCharType="begin"/>
        </w:r>
        <w:r w:rsidR="00A26AF8">
          <w:rPr>
            <w:noProof/>
            <w:webHidden/>
          </w:rPr>
          <w:instrText xml:space="preserve"> PAGEREF _Toc224237461 \h </w:instrText>
        </w:r>
        <w:r w:rsidR="00A26AF8">
          <w:rPr>
            <w:noProof/>
            <w:webHidden/>
          </w:rPr>
        </w:r>
        <w:r w:rsidR="00A26AF8">
          <w:rPr>
            <w:noProof/>
            <w:webHidden/>
          </w:rPr>
          <w:fldChar w:fldCharType="separate"/>
        </w:r>
        <w:r w:rsidR="00B0575C">
          <w:rPr>
            <w:noProof/>
            <w:webHidden/>
          </w:rPr>
          <w:t>159</w:t>
        </w:r>
        <w:r w:rsidR="00A26AF8">
          <w:rPr>
            <w:noProof/>
            <w:webHidden/>
          </w:rPr>
          <w:fldChar w:fldCharType="end"/>
        </w:r>
      </w:hyperlink>
    </w:p>
    <w:p w14:paraId="71EF7430" w14:textId="4ACA63B0"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2" w:history="1">
        <w:r w:rsidR="00A26AF8" w:rsidRPr="004130F0">
          <w:rPr>
            <w:rStyle w:val="Hyperlink"/>
            <w:b/>
            <w:noProof/>
          </w:rPr>
          <w:t xml:space="preserve">Table 4.33: </w:t>
        </w:r>
        <w:r w:rsidR="00A26AF8" w:rsidRPr="00496BA5">
          <w:rPr>
            <w:rStyle w:val="Hyperlink"/>
            <w:noProof/>
          </w:rPr>
          <w:t>One-Way ANOVA for GOSH</w:t>
        </w:r>
        <w:r w:rsidR="00A26AF8">
          <w:rPr>
            <w:noProof/>
            <w:webHidden/>
          </w:rPr>
          <w:tab/>
        </w:r>
        <w:r w:rsidR="00A26AF8">
          <w:rPr>
            <w:noProof/>
            <w:webHidden/>
          </w:rPr>
          <w:fldChar w:fldCharType="begin"/>
        </w:r>
        <w:r w:rsidR="00A26AF8">
          <w:rPr>
            <w:noProof/>
            <w:webHidden/>
          </w:rPr>
          <w:instrText xml:space="preserve"> PAGEREF _Toc224237462 \h </w:instrText>
        </w:r>
        <w:r w:rsidR="00A26AF8">
          <w:rPr>
            <w:noProof/>
            <w:webHidden/>
          </w:rPr>
        </w:r>
        <w:r w:rsidR="00A26AF8">
          <w:rPr>
            <w:noProof/>
            <w:webHidden/>
          </w:rPr>
          <w:fldChar w:fldCharType="separate"/>
        </w:r>
        <w:r w:rsidR="00B0575C">
          <w:rPr>
            <w:noProof/>
            <w:webHidden/>
          </w:rPr>
          <w:t>160</w:t>
        </w:r>
        <w:r w:rsidR="00A26AF8">
          <w:rPr>
            <w:noProof/>
            <w:webHidden/>
          </w:rPr>
          <w:fldChar w:fldCharType="end"/>
        </w:r>
      </w:hyperlink>
    </w:p>
    <w:p w14:paraId="0A493ECA" w14:textId="4CEA67F0"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3" w:history="1">
        <w:r w:rsidR="0051366D">
          <w:rPr>
            <w:rStyle w:val="Hyperlink"/>
            <w:b/>
            <w:noProof/>
          </w:rPr>
          <w:t>Table 4.34</w:t>
        </w:r>
        <w:r w:rsidR="00A26AF8" w:rsidRPr="004130F0">
          <w:rPr>
            <w:rStyle w:val="Hyperlink"/>
            <w:b/>
            <w:noProof/>
          </w:rPr>
          <w:t xml:space="preserve">: </w:t>
        </w:r>
        <w:r w:rsidR="00A26AF8" w:rsidRPr="00496BA5">
          <w:rPr>
            <w:rStyle w:val="Hyperlink"/>
            <w:noProof/>
          </w:rPr>
          <w:t>Descriptive Statistical Findings for Green Performance Evaluation</w:t>
        </w:r>
        <w:r w:rsidR="00A26AF8">
          <w:rPr>
            <w:noProof/>
            <w:webHidden/>
          </w:rPr>
          <w:tab/>
        </w:r>
        <w:r w:rsidR="00A26AF8">
          <w:rPr>
            <w:noProof/>
            <w:webHidden/>
          </w:rPr>
          <w:fldChar w:fldCharType="begin"/>
        </w:r>
        <w:r w:rsidR="00A26AF8">
          <w:rPr>
            <w:noProof/>
            <w:webHidden/>
          </w:rPr>
          <w:instrText xml:space="preserve"> PAGEREF _Toc224237463 \h </w:instrText>
        </w:r>
        <w:r w:rsidR="00A26AF8">
          <w:rPr>
            <w:noProof/>
            <w:webHidden/>
          </w:rPr>
        </w:r>
        <w:r w:rsidR="00A26AF8">
          <w:rPr>
            <w:noProof/>
            <w:webHidden/>
          </w:rPr>
          <w:fldChar w:fldCharType="separate"/>
        </w:r>
        <w:r w:rsidR="00B0575C">
          <w:rPr>
            <w:noProof/>
            <w:webHidden/>
          </w:rPr>
          <w:t>161</w:t>
        </w:r>
        <w:r w:rsidR="00A26AF8">
          <w:rPr>
            <w:noProof/>
            <w:webHidden/>
          </w:rPr>
          <w:fldChar w:fldCharType="end"/>
        </w:r>
      </w:hyperlink>
    </w:p>
    <w:p w14:paraId="36FA8DD8" w14:textId="05E2CA59" w:rsidR="00A26AF8" w:rsidRDefault="00451AD7" w:rsidP="00080FE8">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64" w:history="1">
        <w:r w:rsidR="0051366D">
          <w:rPr>
            <w:rStyle w:val="Hyperlink"/>
            <w:b/>
            <w:noProof/>
          </w:rPr>
          <w:t>Table 4.35</w:t>
        </w:r>
        <w:r w:rsidR="00A26AF8" w:rsidRPr="004130F0">
          <w:rPr>
            <w:rStyle w:val="Hyperlink"/>
            <w:b/>
            <w:noProof/>
          </w:rPr>
          <w:t xml:space="preserve">: </w:t>
        </w:r>
        <w:r w:rsidR="00A26AF8" w:rsidRPr="00496BA5">
          <w:rPr>
            <w:rStyle w:val="Hyperlink"/>
            <w:noProof/>
          </w:rPr>
          <w:t xml:space="preserve">Suggestions for Improvement of Green Performance Evaluation </w:t>
        </w:r>
        <w:bookmarkStart w:id="13" w:name="_GoBack"/>
        <w:bookmarkEnd w:id="13"/>
        <w:r w:rsidR="00A26AF8" w:rsidRPr="00496BA5">
          <w:rPr>
            <w:rStyle w:val="Hyperlink"/>
            <w:noProof/>
          </w:rPr>
          <w:t>Practice</w:t>
        </w:r>
        <w:r w:rsidR="00A26AF8">
          <w:rPr>
            <w:noProof/>
            <w:webHidden/>
          </w:rPr>
          <w:tab/>
        </w:r>
        <w:r w:rsidR="00A26AF8">
          <w:rPr>
            <w:noProof/>
            <w:webHidden/>
          </w:rPr>
          <w:fldChar w:fldCharType="begin"/>
        </w:r>
        <w:r w:rsidR="00A26AF8">
          <w:rPr>
            <w:noProof/>
            <w:webHidden/>
          </w:rPr>
          <w:instrText xml:space="preserve"> PAGEREF _Toc224237464 \h </w:instrText>
        </w:r>
        <w:r w:rsidR="00A26AF8">
          <w:rPr>
            <w:noProof/>
            <w:webHidden/>
          </w:rPr>
        </w:r>
        <w:r w:rsidR="00A26AF8">
          <w:rPr>
            <w:noProof/>
            <w:webHidden/>
          </w:rPr>
          <w:fldChar w:fldCharType="separate"/>
        </w:r>
        <w:r w:rsidR="00B0575C">
          <w:rPr>
            <w:noProof/>
            <w:webHidden/>
          </w:rPr>
          <w:t>166</w:t>
        </w:r>
        <w:r w:rsidR="00A26AF8">
          <w:rPr>
            <w:noProof/>
            <w:webHidden/>
          </w:rPr>
          <w:fldChar w:fldCharType="end"/>
        </w:r>
      </w:hyperlink>
    </w:p>
    <w:p w14:paraId="452075BB" w14:textId="15B68F89"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5" w:history="1">
        <w:r w:rsidR="0051366D">
          <w:rPr>
            <w:rStyle w:val="Hyperlink"/>
            <w:b/>
            <w:noProof/>
          </w:rPr>
          <w:t>Table 4.36</w:t>
        </w:r>
        <w:r w:rsidR="00A26AF8" w:rsidRPr="004130F0">
          <w:rPr>
            <w:rStyle w:val="Hyperlink"/>
            <w:b/>
            <w:noProof/>
          </w:rPr>
          <w:t xml:space="preserve">: </w:t>
        </w:r>
        <w:r w:rsidR="00A26AF8" w:rsidRPr="00496BA5">
          <w:rPr>
            <w:rStyle w:val="Hyperlink"/>
            <w:noProof/>
          </w:rPr>
          <w:t>Correlation Analysis Findings for GPE and Performance</w:t>
        </w:r>
        <w:r w:rsidR="00A26AF8">
          <w:rPr>
            <w:noProof/>
            <w:webHidden/>
          </w:rPr>
          <w:tab/>
        </w:r>
        <w:r w:rsidR="00A26AF8">
          <w:rPr>
            <w:noProof/>
            <w:webHidden/>
          </w:rPr>
          <w:fldChar w:fldCharType="begin"/>
        </w:r>
        <w:r w:rsidR="00A26AF8">
          <w:rPr>
            <w:noProof/>
            <w:webHidden/>
          </w:rPr>
          <w:instrText xml:space="preserve"> PAGEREF _Toc224237465 \h </w:instrText>
        </w:r>
        <w:r w:rsidR="00A26AF8">
          <w:rPr>
            <w:noProof/>
            <w:webHidden/>
          </w:rPr>
        </w:r>
        <w:r w:rsidR="00A26AF8">
          <w:rPr>
            <w:noProof/>
            <w:webHidden/>
          </w:rPr>
          <w:fldChar w:fldCharType="separate"/>
        </w:r>
        <w:r w:rsidR="00B0575C">
          <w:rPr>
            <w:noProof/>
            <w:webHidden/>
          </w:rPr>
          <w:t>168</w:t>
        </w:r>
        <w:r w:rsidR="00A26AF8">
          <w:rPr>
            <w:noProof/>
            <w:webHidden/>
          </w:rPr>
          <w:fldChar w:fldCharType="end"/>
        </w:r>
      </w:hyperlink>
    </w:p>
    <w:p w14:paraId="09514DBF" w14:textId="6DFE6894"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6" w:history="1">
        <w:r w:rsidR="0051366D">
          <w:rPr>
            <w:rStyle w:val="Hyperlink"/>
            <w:b/>
            <w:noProof/>
          </w:rPr>
          <w:t>Table 4.37</w:t>
        </w:r>
        <w:r w:rsidR="00A26AF8" w:rsidRPr="004130F0">
          <w:rPr>
            <w:rStyle w:val="Hyperlink"/>
            <w:b/>
            <w:noProof/>
          </w:rPr>
          <w:t xml:space="preserve">: </w:t>
        </w:r>
        <w:r w:rsidR="00A26AF8" w:rsidRPr="00496BA5">
          <w:rPr>
            <w:rStyle w:val="Hyperlink"/>
            <w:noProof/>
          </w:rPr>
          <w:t>Simple Linear Regression Findings for GPE and Performance</w:t>
        </w:r>
        <w:r w:rsidR="00A26AF8">
          <w:rPr>
            <w:noProof/>
            <w:webHidden/>
          </w:rPr>
          <w:tab/>
        </w:r>
        <w:r w:rsidR="00A26AF8">
          <w:rPr>
            <w:noProof/>
            <w:webHidden/>
          </w:rPr>
          <w:fldChar w:fldCharType="begin"/>
        </w:r>
        <w:r w:rsidR="00A26AF8">
          <w:rPr>
            <w:noProof/>
            <w:webHidden/>
          </w:rPr>
          <w:instrText xml:space="preserve"> PAGEREF _Toc224237466 \h </w:instrText>
        </w:r>
        <w:r w:rsidR="00A26AF8">
          <w:rPr>
            <w:noProof/>
            <w:webHidden/>
          </w:rPr>
        </w:r>
        <w:r w:rsidR="00A26AF8">
          <w:rPr>
            <w:noProof/>
            <w:webHidden/>
          </w:rPr>
          <w:fldChar w:fldCharType="separate"/>
        </w:r>
        <w:r w:rsidR="00B0575C">
          <w:rPr>
            <w:noProof/>
            <w:webHidden/>
          </w:rPr>
          <w:t>169</w:t>
        </w:r>
        <w:r w:rsidR="00A26AF8">
          <w:rPr>
            <w:noProof/>
            <w:webHidden/>
          </w:rPr>
          <w:fldChar w:fldCharType="end"/>
        </w:r>
      </w:hyperlink>
    </w:p>
    <w:p w14:paraId="0F203E74" w14:textId="7235960E"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7" w:history="1">
        <w:r w:rsidR="0051366D">
          <w:rPr>
            <w:rStyle w:val="Hyperlink"/>
            <w:b/>
            <w:noProof/>
          </w:rPr>
          <w:t>Table 4.38</w:t>
        </w:r>
        <w:r w:rsidR="00A26AF8" w:rsidRPr="004130F0">
          <w:rPr>
            <w:rStyle w:val="Hyperlink"/>
            <w:b/>
            <w:noProof/>
          </w:rPr>
          <w:t xml:space="preserve">: </w:t>
        </w:r>
        <w:r w:rsidR="00A26AF8" w:rsidRPr="00496BA5">
          <w:rPr>
            <w:rStyle w:val="Hyperlink"/>
            <w:noProof/>
          </w:rPr>
          <w:t>Regression Coefficients for GPE and Performance</w:t>
        </w:r>
        <w:r w:rsidR="00A26AF8">
          <w:rPr>
            <w:noProof/>
            <w:webHidden/>
          </w:rPr>
          <w:tab/>
        </w:r>
        <w:r w:rsidR="00A26AF8">
          <w:rPr>
            <w:noProof/>
            <w:webHidden/>
          </w:rPr>
          <w:fldChar w:fldCharType="begin"/>
        </w:r>
        <w:r w:rsidR="00A26AF8">
          <w:rPr>
            <w:noProof/>
            <w:webHidden/>
          </w:rPr>
          <w:instrText xml:space="preserve"> PAGEREF _Toc224237467 \h </w:instrText>
        </w:r>
        <w:r w:rsidR="00A26AF8">
          <w:rPr>
            <w:noProof/>
            <w:webHidden/>
          </w:rPr>
        </w:r>
        <w:r w:rsidR="00A26AF8">
          <w:rPr>
            <w:noProof/>
            <w:webHidden/>
          </w:rPr>
          <w:fldChar w:fldCharType="separate"/>
        </w:r>
        <w:r w:rsidR="00B0575C">
          <w:rPr>
            <w:noProof/>
            <w:webHidden/>
          </w:rPr>
          <w:t>169</w:t>
        </w:r>
        <w:r w:rsidR="00A26AF8">
          <w:rPr>
            <w:noProof/>
            <w:webHidden/>
          </w:rPr>
          <w:fldChar w:fldCharType="end"/>
        </w:r>
      </w:hyperlink>
    </w:p>
    <w:p w14:paraId="6308A61B" w14:textId="50AAFFC4"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8" w:history="1">
        <w:r w:rsidR="0051366D">
          <w:rPr>
            <w:rStyle w:val="Hyperlink"/>
            <w:b/>
            <w:noProof/>
          </w:rPr>
          <w:t>Table 4.39</w:t>
        </w:r>
        <w:r w:rsidR="00A26AF8" w:rsidRPr="004130F0">
          <w:rPr>
            <w:rStyle w:val="Hyperlink"/>
            <w:b/>
            <w:noProof/>
          </w:rPr>
          <w:t xml:space="preserve">: </w:t>
        </w:r>
        <w:r w:rsidR="00A26AF8" w:rsidRPr="00496BA5">
          <w:rPr>
            <w:rStyle w:val="Hyperlink"/>
            <w:noProof/>
          </w:rPr>
          <w:t>One Way ANOVA for Green Performance Evaluation</w:t>
        </w:r>
        <w:r w:rsidR="00A26AF8">
          <w:rPr>
            <w:noProof/>
            <w:webHidden/>
          </w:rPr>
          <w:tab/>
        </w:r>
        <w:r w:rsidR="00A26AF8">
          <w:rPr>
            <w:noProof/>
            <w:webHidden/>
          </w:rPr>
          <w:fldChar w:fldCharType="begin"/>
        </w:r>
        <w:r w:rsidR="00A26AF8">
          <w:rPr>
            <w:noProof/>
            <w:webHidden/>
          </w:rPr>
          <w:instrText xml:space="preserve"> PAGEREF _Toc224237468 \h </w:instrText>
        </w:r>
        <w:r w:rsidR="00A26AF8">
          <w:rPr>
            <w:noProof/>
            <w:webHidden/>
          </w:rPr>
        </w:r>
        <w:r w:rsidR="00A26AF8">
          <w:rPr>
            <w:noProof/>
            <w:webHidden/>
          </w:rPr>
          <w:fldChar w:fldCharType="separate"/>
        </w:r>
        <w:r w:rsidR="00B0575C">
          <w:rPr>
            <w:noProof/>
            <w:webHidden/>
          </w:rPr>
          <w:t>170</w:t>
        </w:r>
        <w:r w:rsidR="00A26AF8">
          <w:rPr>
            <w:noProof/>
            <w:webHidden/>
          </w:rPr>
          <w:fldChar w:fldCharType="end"/>
        </w:r>
      </w:hyperlink>
    </w:p>
    <w:p w14:paraId="5DD93BF7" w14:textId="172ED7D4"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69" w:history="1">
        <w:r w:rsidR="0051366D">
          <w:rPr>
            <w:rStyle w:val="Hyperlink"/>
            <w:b/>
            <w:noProof/>
          </w:rPr>
          <w:t>Table 4.40</w:t>
        </w:r>
        <w:r w:rsidR="00A26AF8" w:rsidRPr="004130F0">
          <w:rPr>
            <w:rStyle w:val="Hyperlink"/>
            <w:b/>
            <w:noProof/>
          </w:rPr>
          <w:t xml:space="preserve">: </w:t>
        </w:r>
        <w:r w:rsidR="00A26AF8" w:rsidRPr="00496BA5">
          <w:rPr>
            <w:rStyle w:val="Hyperlink"/>
            <w:noProof/>
          </w:rPr>
          <w:t>Model Summary without Moderating Variable</w:t>
        </w:r>
        <w:r w:rsidR="00A26AF8">
          <w:rPr>
            <w:noProof/>
            <w:webHidden/>
          </w:rPr>
          <w:tab/>
        </w:r>
        <w:r w:rsidR="00A26AF8">
          <w:rPr>
            <w:noProof/>
            <w:webHidden/>
          </w:rPr>
          <w:fldChar w:fldCharType="begin"/>
        </w:r>
        <w:r w:rsidR="00A26AF8">
          <w:rPr>
            <w:noProof/>
            <w:webHidden/>
          </w:rPr>
          <w:instrText xml:space="preserve"> PAGEREF _Toc224237469 \h </w:instrText>
        </w:r>
        <w:r w:rsidR="00A26AF8">
          <w:rPr>
            <w:noProof/>
            <w:webHidden/>
          </w:rPr>
        </w:r>
        <w:r w:rsidR="00A26AF8">
          <w:rPr>
            <w:noProof/>
            <w:webHidden/>
          </w:rPr>
          <w:fldChar w:fldCharType="separate"/>
        </w:r>
        <w:r w:rsidR="00B0575C">
          <w:rPr>
            <w:noProof/>
            <w:webHidden/>
          </w:rPr>
          <w:t>171</w:t>
        </w:r>
        <w:r w:rsidR="00A26AF8">
          <w:rPr>
            <w:noProof/>
            <w:webHidden/>
          </w:rPr>
          <w:fldChar w:fldCharType="end"/>
        </w:r>
      </w:hyperlink>
    </w:p>
    <w:p w14:paraId="71DE4A9E" w14:textId="48E3548D" w:rsidR="00A26AF8" w:rsidRDefault="00451AD7" w:rsidP="00080FE8">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70" w:history="1">
        <w:r w:rsidR="0051366D">
          <w:rPr>
            <w:rStyle w:val="Hyperlink"/>
            <w:b/>
            <w:noProof/>
          </w:rPr>
          <w:t>Table 4.41</w:t>
        </w:r>
        <w:r w:rsidR="00A26AF8" w:rsidRPr="004130F0">
          <w:rPr>
            <w:rStyle w:val="Hyperlink"/>
            <w:b/>
            <w:noProof/>
          </w:rPr>
          <w:t xml:space="preserve">: </w:t>
        </w:r>
        <w:r w:rsidR="00A26AF8" w:rsidRPr="00496BA5">
          <w:rPr>
            <w:rStyle w:val="Hyperlink"/>
            <w:noProof/>
          </w:rPr>
          <w:t>Multiple Regression Coefficients of GHRM Practices and Performance</w:t>
        </w:r>
        <w:r w:rsidR="00A26AF8">
          <w:rPr>
            <w:noProof/>
            <w:webHidden/>
          </w:rPr>
          <w:tab/>
        </w:r>
        <w:r w:rsidR="00A26AF8">
          <w:rPr>
            <w:noProof/>
            <w:webHidden/>
          </w:rPr>
          <w:fldChar w:fldCharType="begin"/>
        </w:r>
        <w:r w:rsidR="00A26AF8">
          <w:rPr>
            <w:noProof/>
            <w:webHidden/>
          </w:rPr>
          <w:instrText xml:space="preserve"> PAGEREF _Toc224237470 \h </w:instrText>
        </w:r>
        <w:r w:rsidR="00A26AF8">
          <w:rPr>
            <w:noProof/>
            <w:webHidden/>
          </w:rPr>
        </w:r>
        <w:r w:rsidR="00A26AF8">
          <w:rPr>
            <w:noProof/>
            <w:webHidden/>
          </w:rPr>
          <w:fldChar w:fldCharType="separate"/>
        </w:r>
        <w:r w:rsidR="00B0575C">
          <w:rPr>
            <w:noProof/>
            <w:webHidden/>
          </w:rPr>
          <w:t>172</w:t>
        </w:r>
        <w:r w:rsidR="00A26AF8">
          <w:rPr>
            <w:noProof/>
            <w:webHidden/>
          </w:rPr>
          <w:fldChar w:fldCharType="end"/>
        </w:r>
      </w:hyperlink>
    </w:p>
    <w:p w14:paraId="77E19212" w14:textId="40213858"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1" w:history="1">
        <w:r w:rsidR="0051366D">
          <w:rPr>
            <w:rStyle w:val="Hyperlink"/>
            <w:b/>
            <w:noProof/>
          </w:rPr>
          <w:t>Table 4.42</w:t>
        </w:r>
        <w:r w:rsidR="00A26AF8" w:rsidRPr="004130F0">
          <w:rPr>
            <w:rStyle w:val="Hyperlink"/>
            <w:b/>
            <w:noProof/>
          </w:rPr>
          <w:t xml:space="preserve">: </w:t>
        </w:r>
        <w:r w:rsidR="00A26AF8" w:rsidRPr="00496BA5">
          <w:rPr>
            <w:rStyle w:val="Hyperlink"/>
            <w:noProof/>
          </w:rPr>
          <w:t>ANOVA</w:t>
        </w:r>
        <w:r w:rsidR="00A26AF8" w:rsidRPr="00496BA5">
          <w:rPr>
            <w:rStyle w:val="Hyperlink"/>
            <w:noProof/>
            <w:vertAlign w:val="superscript"/>
          </w:rPr>
          <w:t xml:space="preserve">a </w:t>
        </w:r>
        <w:r w:rsidR="00A26AF8" w:rsidRPr="00496BA5">
          <w:rPr>
            <w:rStyle w:val="Hyperlink"/>
            <w:noProof/>
          </w:rPr>
          <w:t>Model Summary</w:t>
        </w:r>
        <w:r w:rsidR="00A26AF8">
          <w:rPr>
            <w:noProof/>
            <w:webHidden/>
          </w:rPr>
          <w:tab/>
        </w:r>
        <w:r w:rsidR="00A26AF8">
          <w:rPr>
            <w:noProof/>
            <w:webHidden/>
          </w:rPr>
          <w:fldChar w:fldCharType="begin"/>
        </w:r>
        <w:r w:rsidR="00A26AF8">
          <w:rPr>
            <w:noProof/>
            <w:webHidden/>
          </w:rPr>
          <w:instrText xml:space="preserve"> PAGEREF _Toc224237471 \h </w:instrText>
        </w:r>
        <w:r w:rsidR="00A26AF8">
          <w:rPr>
            <w:noProof/>
            <w:webHidden/>
          </w:rPr>
        </w:r>
        <w:r w:rsidR="00A26AF8">
          <w:rPr>
            <w:noProof/>
            <w:webHidden/>
          </w:rPr>
          <w:fldChar w:fldCharType="separate"/>
        </w:r>
        <w:r w:rsidR="00B0575C">
          <w:rPr>
            <w:noProof/>
            <w:webHidden/>
          </w:rPr>
          <w:t>173</w:t>
        </w:r>
        <w:r w:rsidR="00A26AF8">
          <w:rPr>
            <w:noProof/>
            <w:webHidden/>
          </w:rPr>
          <w:fldChar w:fldCharType="end"/>
        </w:r>
      </w:hyperlink>
    </w:p>
    <w:p w14:paraId="23ADB45A" w14:textId="7741EC71"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2" w:history="1">
        <w:r w:rsidR="0051366D">
          <w:rPr>
            <w:rStyle w:val="Hyperlink"/>
            <w:b/>
            <w:noProof/>
          </w:rPr>
          <w:t>Table 4.43</w:t>
        </w:r>
        <w:r w:rsidR="00A26AF8" w:rsidRPr="004130F0">
          <w:rPr>
            <w:rStyle w:val="Hyperlink"/>
            <w:b/>
            <w:noProof/>
          </w:rPr>
          <w:t xml:space="preserve">: </w:t>
        </w:r>
        <w:r w:rsidR="00A26AF8" w:rsidRPr="00496BA5">
          <w:rPr>
            <w:rStyle w:val="Hyperlink"/>
            <w:noProof/>
          </w:rPr>
          <w:t>Descriptive Statistical Findings for Management Style</w:t>
        </w:r>
        <w:r w:rsidR="00A26AF8">
          <w:rPr>
            <w:noProof/>
            <w:webHidden/>
          </w:rPr>
          <w:tab/>
        </w:r>
        <w:r w:rsidR="00A26AF8">
          <w:rPr>
            <w:noProof/>
            <w:webHidden/>
          </w:rPr>
          <w:fldChar w:fldCharType="begin"/>
        </w:r>
        <w:r w:rsidR="00A26AF8">
          <w:rPr>
            <w:noProof/>
            <w:webHidden/>
          </w:rPr>
          <w:instrText xml:space="preserve"> PAGEREF _Toc224237472 \h </w:instrText>
        </w:r>
        <w:r w:rsidR="00A26AF8">
          <w:rPr>
            <w:noProof/>
            <w:webHidden/>
          </w:rPr>
        </w:r>
        <w:r w:rsidR="00A26AF8">
          <w:rPr>
            <w:noProof/>
            <w:webHidden/>
          </w:rPr>
          <w:fldChar w:fldCharType="separate"/>
        </w:r>
        <w:r w:rsidR="00B0575C">
          <w:rPr>
            <w:noProof/>
            <w:webHidden/>
          </w:rPr>
          <w:t>174</w:t>
        </w:r>
        <w:r w:rsidR="00A26AF8">
          <w:rPr>
            <w:noProof/>
            <w:webHidden/>
          </w:rPr>
          <w:fldChar w:fldCharType="end"/>
        </w:r>
      </w:hyperlink>
    </w:p>
    <w:p w14:paraId="59ECA541" w14:textId="44F95631" w:rsidR="00A26AF8" w:rsidRDefault="00451AD7" w:rsidP="005B4B6F">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73" w:history="1">
        <w:r w:rsidR="0051366D">
          <w:rPr>
            <w:rStyle w:val="Hyperlink"/>
            <w:b/>
            <w:noProof/>
          </w:rPr>
          <w:t>Table 4.44</w:t>
        </w:r>
        <w:r w:rsidR="00A26AF8" w:rsidRPr="004130F0">
          <w:rPr>
            <w:rStyle w:val="Hyperlink"/>
            <w:b/>
            <w:noProof/>
          </w:rPr>
          <w:t xml:space="preserve">: </w:t>
        </w:r>
        <w:r w:rsidR="00A26AF8" w:rsidRPr="00496BA5">
          <w:rPr>
            <w:rStyle w:val="Hyperlink"/>
            <w:noProof/>
          </w:rPr>
          <w:t>Suggestions for Improvement of Management Style (Moderating Variable)</w:t>
        </w:r>
        <w:r w:rsidR="00A26AF8">
          <w:rPr>
            <w:noProof/>
            <w:webHidden/>
          </w:rPr>
          <w:tab/>
        </w:r>
        <w:r w:rsidR="00A26AF8">
          <w:rPr>
            <w:noProof/>
            <w:webHidden/>
          </w:rPr>
          <w:fldChar w:fldCharType="begin"/>
        </w:r>
        <w:r w:rsidR="00A26AF8">
          <w:rPr>
            <w:noProof/>
            <w:webHidden/>
          </w:rPr>
          <w:instrText xml:space="preserve"> PAGEREF _Toc224237473 \h </w:instrText>
        </w:r>
        <w:r w:rsidR="00A26AF8">
          <w:rPr>
            <w:noProof/>
            <w:webHidden/>
          </w:rPr>
        </w:r>
        <w:r w:rsidR="00A26AF8">
          <w:rPr>
            <w:noProof/>
            <w:webHidden/>
          </w:rPr>
          <w:fldChar w:fldCharType="separate"/>
        </w:r>
        <w:r w:rsidR="00B0575C">
          <w:rPr>
            <w:noProof/>
            <w:webHidden/>
          </w:rPr>
          <w:t>178</w:t>
        </w:r>
        <w:r w:rsidR="00A26AF8">
          <w:rPr>
            <w:noProof/>
            <w:webHidden/>
          </w:rPr>
          <w:fldChar w:fldCharType="end"/>
        </w:r>
      </w:hyperlink>
    </w:p>
    <w:p w14:paraId="668C902B" w14:textId="587C474F"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4" w:history="1">
        <w:r w:rsidR="0051366D">
          <w:rPr>
            <w:rStyle w:val="Hyperlink"/>
            <w:b/>
            <w:noProof/>
          </w:rPr>
          <w:t>Table 4.45</w:t>
        </w:r>
        <w:r w:rsidR="00A26AF8" w:rsidRPr="004130F0">
          <w:rPr>
            <w:rStyle w:val="Hyperlink"/>
            <w:b/>
            <w:noProof/>
          </w:rPr>
          <w:t xml:space="preserve">: </w:t>
        </w:r>
        <w:r w:rsidR="00A26AF8" w:rsidRPr="00496BA5">
          <w:rPr>
            <w:rStyle w:val="Hyperlink"/>
            <w:noProof/>
          </w:rPr>
          <w:t>Model Summary with Moderating Variable- Management Style</w:t>
        </w:r>
        <w:r w:rsidR="00A26AF8">
          <w:rPr>
            <w:noProof/>
            <w:webHidden/>
          </w:rPr>
          <w:tab/>
        </w:r>
        <w:r w:rsidR="00A26AF8">
          <w:rPr>
            <w:noProof/>
            <w:webHidden/>
          </w:rPr>
          <w:fldChar w:fldCharType="begin"/>
        </w:r>
        <w:r w:rsidR="00A26AF8">
          <w:rPr>
            <w:noProof/>
            <w:webHidden/>
          </w:rPr>
          <w:instrText xml:space="preserve"> PAGEREF _Toc224237474 \h </w:instrText>
        </w:r>
        <w:r w:rsidR="00A26AF8">
          <w:rPr>
            <w:noProof/>
            <w:webHidden/>
          </w:rPr>
        </w:r>
        <w:r w:rsidR="00A26AF8">
          <w:rPr>
            <w:noProof/>
            <w:webHidden/>
          </w:rPr>
          <w:fldChar w:fldCharType="separate"/>
        </w:r>
        <w:r w:rsidR="00B0575C">
          <w:rPr>
            <w:noProof/>
            <w:webHidden/>
          </w:rPr>
          <w:t>181</w:t>
        </w:r>
        <w:r w:rsidR="00A26AF8">
          <w:rPr>
            <w:noProof/>
            <w:webHidden/>
          </w:rPr>
          <w:fldChar w:fldCharType="end"/>
        </w:r>
      </w:hyperlink>
    </w:p>
    <w:p w14:paraId="3983AE7E" w14:textId="4FBC945D"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5" w:history="1">
        <w:r w:rsidR="0051366D">
          <w:rPr>
            <w:rStyle w:val="Hyperlink"/>
            <w:b/>
            <w:noProof/>
          </w:rPr>
          <w:t>Table 4.46</w:t>
        </w:r>
        <w:r w:rsidR="00A26AF8" w:rsidRPr="004130F0">
          <w:rPr>
            <w:rStyle w:val="Hyperlink"/>
            <w:b/>
            <w:noProof/>
          </w:rPr>
          <w:t xml:space="preserve">: </w:t>
        </w:r>
        <w:r w:rsidR="00A26AF8" w:rsidRPr="00496BA5">
          <w:rPr>
            <w:rStyle w:val="Hyperlink"/>
            <w:noProof/>
          </w:rPr>
          <w:t>Multiple Regression Coefficient Results (Combined Effect)</w:t>
        </w:r>
        <w:r w:rsidR="00A26AF8">
          <w:rPr>
            <w:noProof/>
            <w:webHidden/>
          </w:rPr>
          <w:tab/>
        </w:r>
        <w:r w:rsidR="00A26AF8">
          <w:rPr>
            <w:noProof/>
            <w:webHidden/>
          </w:rPr>
          <w:fldChar w:fldCharType="begin"/>
        </w:r>
        <w:r w:rsidR="00A26AF8">
          <w:rPr>
            <w:noProof/>
            <w:webHidden/>
          </w:rPr>
          <w:instrText xml:space="preserve"> PAGEREF _Toc224237475 \h </w:instrText>
        </w:r>
        <w:r w:rsidR="00A26AF8">
          <w:rPr>
            <w:noProof/>
            <w:webHidden/>
          </w:rPr>
        </w:r>
        <w:r w:rsidR="00A26AF8">
          <w:rPr>
            <w:noProof/>
            <w:webHidden/>
          </w:rPr>
          <w:fldChar w:fldCharType="separate"/>
        </w:r>
        <w:r w:rsidR="00B0575C">
          <w:rPr>
            <w:noProof/>
            <w:webHidden/>
          </w:rPr>
          <w:t>182</w:t>
        </w:r>
        <w:r w:rsidR="00A26AF8">
          <w:rPr>
            <w:noProof/>
            <w:webHidden/>
          </w:rPr>
          <w:fldChar w:fldCharType="end"/>
        </w:r>
      </w:hyperlink>
    </w:p>
    <w:p w14:paraId="0BC9EEB2" w14:textId="3187FC94"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6" w:history="1">
        <w:r w:rsidR="0051366D">
          <w:rPr>
            <w:rStyle w:val="Hyperlink"/>
            <w:b/>
            <w:noProof/>
          </w:rPr>
          <w:t>Table 4.47</w:t>
        </w:r>
        <w:r w:rsidR="00A26AF8" w:rsidRPr="004130F0">
          <w:rPr>
            <w:rStyle w:val="Hyperlink"/>
            <w:b/>
            <w:noProof/>
          </w:rPr>
          <w:t xml:space="preserve">: </w:t>
        </w:r>
        <w:r w:rsidR="00A26AF8" w:rsidRPr="00496BA5">
          <w:rPr>
            <w:rStyle w:val="Hyperlink"/>
            <w:noProof/>
          </w:rPr>
          <w:t>ANOVA</w:t>
        </w:r>
        <w:r w:rsidR="00A26AF8" w:rsidRPr="00496BA5">
          <w:rPr>
            <w:rStyle w:val="Hyperlink"/>
            <w:noProof/>
            <w:vertAlign w:val="superscript"/>
          </w:rPr>
          <w:t>a</w:t>
        </w:r>
        <w:r w:rsidR="00A26AF8" w:rsidRPr="00496BA5">
          <w:rPr>
            <w:rStyle w:val="Hyperlink"/>
            <w:noProof/>
          </w:rPr>
          <w:t xml:space="preserve"> Model Summary after Moderation</w:t>
        </w:r>
        <w:r w:rsidR="00A26AF8">
          <w:rPr>
            <w:noProof/>
            <w:webHidden/>
          </w:rPr>
          <w:tab/>
        </w:r>
        <w:r w:rsidR="00A26AF8">
          <w:rPr>
            <w:noProof/>
            <w:webHidden/>
          </w:rPr>
          <w:fldChar w:fldCharType="begin"/>
        </w:r>
        <w:r w:rsidR="00A26AF8">
          <w:rPr>
            <w:noProof/>
            <w:webHidden/>
          </w:rPr>
          <w:instrText xml:space="preserve"> PAGEREF _Toc224237476 \h </w:instrText>
        </w:r>
        <w:r w:rsidR="00A26AF8">
          <w:rPr>
            <w:noProof/>
            <w:webHidden/>
          </w:rPr>
        </w:r>
        <w:r w:rsidR="00A26AF8">
          <w:rPr>
            <w:noProof/>
            <w:webHidden/>
          </w:rPr>
          <w:fldChar w:fldCharType="separate"/>
        </w:r>
        <w:r w:rsidR="00B0575C">
          <w:rPr>
            <w:noProof/>
            <w:webHidden/>
          </w:rPr>
          <w:t>184</w:t>
        </w:r>
        <w:r w:rsidR="00A26AF8">
          <w:rPr>
            <w:noProof/>
            <w:webHidden/>
          </w:rPr>
          <w:fldChar w:fldCharType="end"/>
        </w:r>
      </w:hyperlink>
    </w:p>
    <w:p w14:paraId="5CD6CAC0" w14:textId="744E6EC8"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7" w:history="1">
        <w:r w:rsidR="0051366D">
          <w:rPr>
            <w:rStyle w:val="Hyperlink"/>
            <w:b/>
            <w:noProof/>
          </w:rPr>
          <w:t>Table 4.48</w:t>
        </w:r>
        <w:r w:rsidR="00A26AF8" w:rsidRPr="004130F0">
          <w:rPr>
            <w:rStyle w:val="Hyperlink"/>
            <w:b/>
            <w:noProof/>
          </w:rPr>
          <w:t xml:space="preserve">: </w:t>
        </w:r>
        <w:r w:rsidR="00A26AF8" w:rsidRPr="00496BA5">
          <w:rPr>
            <w:rStyle w:val="Hyperlink"/>
            <w:noProof/>
          </w:rPr>
          <w:t>Model Summary Moderated by Bureaucratic Management Style</w:t>
        </w:r>
        <w:r w:rsidR="00A26AF8">
          <w:rPr>
            <w:noProof/>
            <w:webHidden/>
          </w:rPr>
          <w:tab/>
        </w:r>
        <w:r w:rsidR="00A26AF8">
          <w:rPr>
            <w:noProof/>
            <w:webHidden/>
          </w:rPr>
          <w:fldChar w:fldCharType="begin"/>
        </w:r>
        <w:r w:rsidR="00A26AF8">
          <w:rPr>
            <w:noProof/>
            <w:webHidden/>
          </w:rPr>
          <w:instrText xml:space="preserve"> PAGEREF _Toc224237477 \h </w:instrText>
        </w:r>
        <w:r w:rsidR="00A26AF8">
          <w:rPr>
            <w:noProof/>
            <w:webHidden/>
          </w:rPr>
        </w:r>
        <w:r w:rsidR="00A26AF8">
          <w:rPr>
            <w:noProof/>
            <w:webHidden/>
          </w:rPr>
          <w:fldChar w:fldCharType="separate"/>
        </w:r>
        <w:r w:rsidR="00B0575C">
          <w:rPr>
            <w:noProof/>
            <w:webHidden/>
          </w:rPr>
          <w:t>185</w:t>
        </w:r>
        <w:r w:rsidR="00A26AF8">
          <w:rPr>
            <w:noProof/>
            <w:webHidden/>
          </w:rPr>
          <w:fldChar w:fldCharType="end"/>
        </w:r>
      </w:hyperlink>
    </w:p>
    <w:p w14:paraId="372D0869" w14:textId="25DFDA2F" w:rsidR="00A26AF8" w:rsidRDefault="00451AD7" w:rsidP="00904B5C">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78" w:history="1">
        <w:r w:rsidR="00F25209">
          <w:rPr>
            <w:rStyle w:val="Hyperlink"/>
            <w:b/>
            <w:noProof/>
            <w:lang w:val="en-US"/>
          </w:rPr>
          <w:t>Table 4.49</w:t>
        </w:r>
        <w:r w:rsidR="00A26AF8" w:rsidRPr="004130F0">
          <w:rPr>
            <w:rStyle w:val="Hyperlink"/>
            <w:b/>
            <w:noProof/>
            <w:lang w:val="en-US"/>
          </w:rPr>
          <w:t xml:space="preserve">: </w:t>
        </w:r>
        <w:r w:rsidR="00A26AF8" w:rsidRPr="00496BA5">
          <w:rPr>
            <w:rStyle w:val="Hyperlink"/>
            <w:noProof/>
            <w:lang w:val="en-US"/>
          </w:rPr>
          <w:t>Regression Coefficient Results Moderated by Bureaucratic Management Style</w:t>
        </w:r>
        <w:r w:rsidR="00A26AF8">
          <w:rPr>
            <w:noProof/>
            <w:webHidden/>
          </w:rPr>
          <w:tab/>
        </w:r>
        <w:r w:rsidR="00A26AF8">
          <w:rPr>
            <w:noProof/>
            <w:webHidden/>
          </w:rPr>
          <w:fldChar w:fldCharType="begin"/>
        </w:r>
        <w:r w:rsidR="00A26AF8">
          <w:rPr>
            <w:noProof/>
            <w:webHidden/>
          </w:rPr>
          <w:instrText xml:space="preserve"> PAGEREF _Toc224237478 \h </w:instrText>
        </w:r>
        <w:r w:rsidR="00A26AF8">
          <w:rPr>
            <w:noProof/>
            <w:webHidden/>
          </w:rPr>
        </w:r>
        <w:r w:rsidR="00A26AF8">
          <w:rPr>
            <w:noProof/>
            <w:webHidden/>
          </w:rPr>
          <w:fldChar w:fldCharType="separate"/>
        </w:r>
        <w:r w:rsidR="00B0575C">
          <w:rPr>
            <w:noProof/>
            <w:webHidden/>
          </w:rPr>
          <w:t>186</w:t>
        </w:r>
        <w:r w:rsidR="00A26AF8">
          <w:rPr>
            <w:noProof/>
            <w:webHidden/>
          </w:rPr>
          <w:fldChar w:fldCharType="end"/>
        </w:r>
      </w:hyperlink>
    </w:p>
    <w:p w14:paraId="55A863C2" w14:textId="0A6EF246"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79" w:history="1">
        <w:r w:rsidR="00F25209">
          <w:rPr>
            <w:rStyle w:val="Hyperlink"/>
            <w:b/>
            <w:noProof/>
          </w:rPr>
          <w:t>Table 4.50</w:t>
        </w:r>
        <w:r w:rsidR="00A26AF8" w:rsidRPr="004130F0">
          <w:rPr>
            <w:rStyle w:val="Hyperlink"/>
            <w:b/>
            <w:noProof/>
          </w:rPr>
          <w:t xml:space="preserve">: </w:t>
        </w:r>
        <w:r w:rsidR="00A26AF8" w:rsidRPr="00496BA5">
          <w:rPr>
            <w:rStyle w:val="Hyperlink"/>
            <w:noProof/>
          </w:rPr>
          <w:t>Model Summary Moderated by Participative Management Style</w:t>
        </w:r>
        <w:r w:rsidR="00A26AF8">
          <w:rPr>
            <w:noProof/>
            <w:webHidden/>
          </w:rPr>
          <w:tab/>
        </w:r>
        <w:r w:rsidR="00A26AF8">
          <w:rPr>
            <w:noProof/>
            <w:webHidden/>
          </w:rPr>
          <w:fldChar w:fldCharType="begin"/>
        </w:r>
        <w:r w:rsidR="00A26AF8">
          <w:rPr>
            <w:noProof/>
            <w:webHidden/>
          </w:rPr>
          <w:instrText xml:space="preserve"> PAGEREF _Toc224237479 \h </w:instrText>
        </w:r>
        <w:r w:rsidR="00A26AF8">
          <w:rPr>
            <w:noProof/>
            <w:webHidden/>
          </w:rPr>
        </w:r>
        <w:r w:rsidR="00A26AF8">
          <w:rPr>
            <w:noProof/>
            <w:webHidden/>
          </w:rPr>
          <w:fldChar w:fldCharType="separate"/>
        </w:r>
        <w:r w:rsidR="00B0575C">
          <w:rPr>
            <w:noProof/>
            <w:webHidden/>
          </w:rPr>
          <w:t>187</w:t>
        </w:r>
        <w:r w:rsidR="00A26AF8">
          <w:rPr>
            <w:noProof/>
            <w:webHidden/>
          </w:rPr>
          <w:fldChar w:fldCharType="end"/>
        </w:r>
      </w:hyperlink>
    </w:p>
    <w:p w14:paraId="3807EB7C" w14:textId="0931E299" w:rsidR="00A26AF8" w:rsidRDefault="00451AD7" w:rsidP="00904B5C">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80" w:history="1">
        <w:r w:rsidR="00F25209">
          <w:rPr>
            <w:rStyle w:val="Hyperlink"/>
            <w:b/>
            <w:noProof/>
          </w:rPr>
          <w:t>Table 4.51</w:t>
        </w:r>
        <w:r w:rsidR="00A26AF8" w:rsidRPr="004130F0">
          <w:rPr>
            <w:rStyle w:val="Hyperlink"/>
            <w:b/>
            <w:noProof/>
          </w:rPr>
          <w:t xml:space="preserve">: </w:t>
        </w:r>
        <w:r w:rsidR="00A26AF8" w:rsidRPr="00496BA5">
          <w:rPr>
            <w:rStyle w:val="Hyperlink"/>
            <w:noProof/>
          </w:rPr>
          <w:t>Regression Coefficient Findings Moderated by Participative Management Style</w:t>
        </w:r>
        <w:r w:rsidR="00A26AF8">
          <w:rPr>
            <w:noProof/>
            <w:webHidden/>
          </w:rPr>
          <w:tab/>
        </w:r>
        <w:r w:rsidR="00A26AF8">
          <w:rPr>
            <w:noProof/>
            <w:webHidden/>
          </w:rPr>
          <w:fldChar w:fldCharType="begin"/>
        </w:r>
        <w:r w:rsidR="00A26AF8">
          <w:rPr>
            <w:noProof/>
            <w:webHidden/>
          </w:rPr>
          <w:instrText xml:space="preserve"> PAGEREF _Toc224237480 \h </w:instrText>
        </w:r>
        <w:r w:rsidR="00A26AF8">
          <w:rPr>
            <w:noProof/>
            <w:webHidden/>
          </w:rPr>
        </w:r>
        <w:r w:rsidR="00A26AF8">
          <w:rPr>
            <w:noProof/>
            <w:webHidden/>
          </w:rPr>
          <w:fldChar w:fldCharType="separate"/>
        </w:r>
        <w:r w:rsidR="00B0575C">
          <w:rPr>
            <w:noProof/>
            <w:webHidden/>
          </w:rPr>
          <w:t>187</w:t>
        </w:r>
        <w:r w:rsidR="00A26AF8">
          <w:rPr>
            <w:noProof/>
            <w:webHidden/>
          </w:rPr>
          <w:fldChar w:fldCharType="end"/>
        </w:r>
      </w:hyperlink>
    </w:p>
    <w:p w14:paraId="22E1BE01" w14:textId="6B97785C"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81" w:history="1">
        <w:r w:rsidR="00F25209">
          <w:rPr>
            <w:rStyle w:val="Hyperlink"/>
            <w:b/>
            <w:noProof/>
          </w:rPr>
          <w:t>Table 4.52</w:t>
        </w:r>
        <w:r w:rsidR="00A26AF8" w:rsidRPr="004130F0">
          <w:rPr>
            <w:rStyle w:val="Hyperlink"/>
            <w:b/>
            <w:noProof/>
          </w:rPr>
          <w:t xml:space="preserve">: </w:t>
        </w:r>
        <w:r w:rsidR="00A26AF8" w:rsidRPr="00496BA5">
          <w:rPr>
            <w:rStyle w:val="Hyperlink"/>
            <w:noProof/>
          </w:rPr>
          <w:t>Model Summary Moderated by Contingency Management Style</w:t>
        </w:r>
        <w:r w:rsidR="00A26AF8">
          <w:rPr>
            <w:noProof/>
            <w:webHidden/>
          </w:rPr>
          <w:tab/>
        </w:r>
        <w:r w:rsidR="00A26AF8">
          <w:rPr>
            <w:noProof/>
            <w:webHidden/>
          </w:rPr>
          <w:fldChar w:fldCharType="begin"/>
        </w:r>
        <w:r w:rsidR="00A26AF8">
          <w:rPr>
            <w:noProof/>
            <w:webHidden/>
          </w:rPr>
          <w:instrText xml:space="preserve"> PAGEREF _Toc224237481 \h </w:instrText>
        </w:r>
        <w:r w:rsidR="00A26AF8">
          <w:rPr>
            <w:noProof/>
            <w:webHidden/>
          </w:rPr>
        </w:r>
        <w:r w:rsidR="00A26AF8">
          <w:rPr>
            <w:noProof/>
            <w:webHidden/>
          </w:rPr>
          <w:fldChar w:fldCharType="separate"/>
        </w:r>
        <w:r w:rsidR="00B0575C">
          <w:rPr>
            <w:noProof/>
            <w:webHidden/>
          </w:rPr>
          <w:t>188</w:t>
        </w:r>
        <w:r w:rsidR="00A26AF8">
          <w:rPr>
            <w:noProof/>
            <w:webHidden/>
          </w:rPr>
          <w:fldChar w:fldCharType="end"/>
        </w:r>
      </w:hyperlink>
    </w:p>
    <w:p w14:paraId="4942EA8E" w14:textId="409A6722" w:rsidR="00A26AF8" w:rsidRDefault="00451AD7" w:rsidP="00904B5C">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82" w:history="1">
        <w:r w:rsidR="00F25209">
          <w:rPr>
            <w:rStyle w:val="Hyperlink"/>
            <w:b/>
            <w:noProof/>
          </w:rPr>
          <w:t>Table 4.53</w:t>
        </w:r>
        <w:r w:rsidR="00A26AF8" w:rsidRPr="004130F0">
          <w:rPr>
            <w:rStyle w:val="Hyperlink"/>
            <w:b/>
            <w:noProof/>
          </w:rPr>
          <w:t>:</w:t>
        </w:r>
        <w:r w:rsidR="00A26AF8" w:rsidRPr="00496BA5">
          <w:rPr>
            <w:rStyle w:val="Hyperlink"/>
            <w:noProof/>
          </w:rPr>
          <w:t xml:space="preserve"> Regression Coefficient Results Moderated by Contingency Management Style</w:t>
        </w:r>
        <w:r w:rsidR="00A26AF8">
          <w:rPr>
            <w:noProof/>
            <w:webHidden/>
          </w:rPr>
          <w:tab/>
        </w:r>
        <w:r w:rsidR="00A26AF8">
          <w:rPr>
            <w:noProof/>
            <w:webHidden/>
          </w:rPr>
          <w:fldChar w:fldCharType="begin"/>
        </w:r>
        <w:r w:rsidR="00A26AF8">
          <w:rPr>
            <w:noProof/>
            <w:webHidden/>
          </w:rPr>
          <w:instrText xml:space="preserve"> PAGEREF _Toc224237482 \h </w:instrText>
        </w:r>
        <w:r w:rsidR="00A26AF8">
          <w:rPr>
            <w:noProof/>
            <w:webHidden/>
          </w:rPr>
        </w:r>
        <w:r w:rsidR="00A26AF8">
          <w:rPr>
            <w:noProof/>
            <w:webHidden/>
          </w:rPr>
          <w:fldChar w:fldCharType="separate"/>
        </w:r>
        <w:r w:rsidR="00B0575C">
          <w:rPr>
            <w:noProof/>
            <w:webHidden/>
          </w:rPr>
          <w:t>189</w:t>
        </w:r>
        <w:r w:rsidR="00A26AF8">
          <w:rPr>
            <w:noProof/>
            <w:webHidden/>
          </w:rPr>
          <w:fldChar w:fldCharType="end"/>
        </w:r>
      </w:hyperlink>
    </w:p>
    <w:p w14:paraId="272D1A49" w14:textId="2C8E3E2C"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83" w:history="1">
        <w:r w:rsidR="00F25209">
          <w:rPr>
            <w:rStyle w:val="Hyperlink"/>
            <w:b/>
            <w:noProof/>
          </w:rPr>
          <w:t>Table 4.54</w:t>
        </w:r>
        <w:r w:rsidR="00A26AF8" w:rsidRPr="004130F0">
          <w:rPr>
            <w:rStyle w:val="Hyperlink"/>
            <w:b/>
            <w:noProof/>
          </w:rPr>
          <w:t xml:space="preserve">: </w:t>
        </w:r>
        <w:r w:rsidR="00A26AF8" w:rsidRPr="00496BA5">
          <w:rPr>
            <w:rStyle w:val="Hyperlink"/>
            <w:noProof/>
          </w:rPr>
          <w:t>Performance of Devolved Healthcare Services</w:t>
        </w:r>
        <w:r w:rsidR="00A26AF8">
          <w:rPr>
            <w:noProof/>
            <w:webHidden/>
          </w:rPr>
          <w:tab/>
        </w:r>
        <w:r w:rsidR="00A26AF8">
          <w:rPr>
            <w:noProof/>
            <w:webHidden/>
          </w:rPr>
          <w:fldChar w:fldCharType="begin"/>
        </w:r>
        <w:r w:rsidR="00A26AF8">
          <w:rPr>
            <w:noProof/>
            <w:webHidden/>
          </w:rPr>
          <w:instrText xml:space="preserve"> PAGEREF _Toc224237483 \h </w:instrText>
        </w:r>
        <w:r w:rsidR="00A26AF8">
          <w:rPr>
            <w:noProof/>
            <w:webHidden/>
          </w:rPr>
        </w:r>
        <w:r w:rsidR="00A26AF8">
          <w:rPr>
            <w:noProof/>
            <w:webHidden/>
          </w:rPr>
          <w:fldChar w:fldCharType="separate"/>
        </w:r>
        <w:r w:rsidR="00B0575C">
          <w:rPr>
            <w:noProof/>
            <w:webHidden/>
          </w:rPr>
          <w:t>190</w:t>
        </w:r>
        <w:r w:rsidR="00A26AF8">
          <w:rPr>
            <w:noProof/>
            <w:webHidden/>
          </w:rPr>
          <w:fldChar w:fldCharType="end"/>
        </w:r>
      </w:hyperlink>
    </w:p>
    <w:p w14:paraId="08562E0D" w14:textId="106F6544" w:rsidR="00A26AF8" w:rsidRDefault="00451AD7" w:rsidP="00B502B4">
      <w:pPr>
        <w:pStyle w:val="TableofFigures"/>
        <w:tabs>
          <w:tab w:val="right" w:leader="dot" w:pos="8544"/>
        </w:tabs>
        <w:ind w:left="1276" w:hanging="1276"/>
        <w:rPr>
          <w:rFonts w:asciiTheme="minorHAnsi" w:eastAsiaTheme="minorEastAsia" w:hAnsiTheme="minorHAnsi"/>
          <w:noProof/>
          <w:sz w:val="22"/>
          <w:szCs w:val="22"/>
          <w:lang w:val="en-US"/>
        </w:rPr>
      </w:pPr>
      <w:hyperlink w:anchor="_Toc224237484" w:history="1">
        <w:r w:rsidR="00F25209">
          <w:rPr>
            <w:rStyle w:val="Hyperlink"/>
            <w:b/>
            <w:noProof/>
          </w:rPr>
          <w:t>Table 4.55</w:t>
        </w:r>
        <w:r w:rsidR="00A26AF8" w:rsidRPr="004130F0">
          <w:rPr>
            <w:rStyle w:val="Hyperlink"/>
            <w:b/>
            <w:noProof/>
          </w:rPr>
          <w:t xml:space="preserve">: </w:t>
        </w:r>
        <w:r w:rsidR="00A26AF8" w:rsidRPr="00496BA5">
          <w:rPr>
            <w:rStyle w:val="Hyperlink"/>
            <w:noProof/>
          </w:rPr>
          <w:t>Suggestions for Improvement of Performance of Devolved Healthcare Services</w:t>
        </w:r>
        <w:r w:rsidR="00A26AF8">
          <w:rPr>
            <w:noProof/>
            <w:webHidden/>
          </w:rPr>
          <w:tab/>
        </w:r>
        <w:r w:rsidR="00A26AF8">
          <w:rPr>
            <w:noProof/>
            <w:webHidden/>
          </w:rPr>
          <w:fldChar w:fldCharType="begin"/>
        </w:r>
        <w:r w:rsidR="00A26AF8">
          <w:rPr>
            <w:noProof/>
            <w:webHidden/>
          </w:rPr>
          <w:instrText xml:space="preserve"> PAGEREF _Toc224237484 \h </w:instrText>
        </w:r>
        <w:r w:rsidR="00A26AF8">
          <w:rPr>
            <w:noProof/>
            <w:webHidden/>
          </w:rPr>
        </w:r>
        <w:r w:rsidR="00A26AF8">
          <w:rPr>
            <w:noProof/>
            <w:webHidden/>
          </w:rPr>
          <w:fldChar w:fldCharType="separate"/>
        </w:r>
        <w:r w:rsidR="00B0575C">
          <w:rPr>
            <w:noProof/>
            <w:webHidden/>
          </w:rPr>
          <w:t>194</w:t>
        </w:r>
        <w:r w:rsidR="00A26AF8">
          <w:rPr>
            <w:noProof/>
            <w:webHidden/>
          </w:rPr>
          <w:fldChar w:fldCharType="end"/>
        </w:r>
      </w:hyperlink>
    </w:p>
    <w:p w14:paraId="6D315FCB" w14:textId="58EA8FE1"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85" w:history="1">
        <w:r w:rsidR="00F25209">
          <w:rPr>
            <w:rStyle w:val="Hyperlink"/>
            <w:b/>
            <w:noProof/>
          </w:rPr>
          <w:t>Table 4.56</w:t>
        </w:r>
        <w:r w:rsidR="00A26AF8" w:rsidRPr="004130F0">
          <w:rPr>
            <w:rStyle w:val="Hyperlink"/>
            <w:b/>
            <w:noProof/>
          </w:rPr>
          <w:t xml:space="preserve">: </w:t>
        </w:r>
        <w:r w:rsidR="00A26AF8" w:rsidRPr="00496BA5">
          <w:rPr>
            <w:rStyle w:val="Hyperlink"/>
            <w:noProof/>
          </w:rPr>
          <w:t>Number of Patients Attended (2014-2019)</w:t>
        </w:r>
        <w:r w:rsidR="00A26AF8">
          <w:rPr>
            <w:noProof/>
            <w:webHidden/>
          </w:rPr>
          <w:tab/>
        </w:r>
        <w:r w:rsidR="00A26AF8">
          <w:rPr>
            <w:noProof/>
            <w:webHidden/>
          </w:rPr>
          <w:fldChar w:fldCharType="begin"/>
        </w:r>
        <w:r w:rsidR="00A26AF8">
          <w:rPr>
            <w:noProof/>
            <w:webHidden/>
          </w:rPr>
          <w:instrText xml:space="preserve"> PAGEREF _Toc224237485 \h </w:instrText>
        </w:r>
        <w:r w:rsidR="00A26AF8">
          <w:rPr>
            <w:noProof/>
            <w:webHidden/>
          </w:rPr>
        </w:r>
        <w:r w:rsidR="00A26AF8">
          <w:rPr>
            <w:noProof/>
            <w:webHidden/>
          </w:rPr>
          <w:fldChar w:fldCharType="separate"/>
        </w:r>
        <w:r w:rsidR="00B0575C">
          <w:rPr>
            <w:noProof/>
            <w:webHidden/>
          </w:rPr>
          <w:t>195</w:t>
        </w:r>
        <w:r w:rsidR="00A26AF8">
          <w:rPr>
            <w:noProof/>
            <w:webHidden/>
          </w:rPr>
          <w:fldChar w:fldCharType="end"/>
        </w:r>
      </w:hyperlink>
    </w:p>
    <w:p w14:paraId="1A34DBFF" w14:textId="15AC4143"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86" w:history="1">
        <w:r w:rsidR="00F25209">
          <w:rPr>
            <w:rStyle w:val="Hyperlink"/>
            <w:b/>
            <w:noProof/>
          </w:rPr>
          <w:t>Table 4.57</w:t>
        </w:r>
        <w:r w:rsidR="00A26AF8" w:rsidRPr="004130F0">
          <w:rPr>
            <w:rStyle w:val="Hyperlink"/>
            <w:b/>
            <w:noProof/>
          </w:rPr>
          <w:t xml:space="preserve">: </w:t>
        </w:r>
        <w:r w:rsidR="00A26AF8" w:rsidRPr="00496BA5">
          <w:rPr>
            <w:rStyle w:val="Hyperlink"/>
            <w:noProof/>
          </w:rPr>
          <w:t>Revenue Collected (2014-2019)</w:t>
        </w:r>
        <w:r w:rsidR="00A26AF8">
          <w:rPr>
            <w:noProof/>
            <w:webHidden/>
          </w:rPr>
          <w:tab/>
        </w:r>
        <w:r w:rsidR="00A26AF8">
          <w:rPr>
            <w:noProof/>
            <w:webHidden/>
          </w:rPr>
          <w:fldChar w:fldCharType="begin"/>
        </w:r>
        <w:r w:rsidR="00A26AF8">
          <w:rPr>
            <w:noProof/>
            <w:webHidden/>
          </w:rPr>
          <w:instrText xml:space="preserve"> PAGEREF _Toc224237486 \h </w:instrText>
        </w:r>
        <w:r w:rsidR="00A26AF8">
          <w:rPr>
            <w:noProof/>
            <w:webHidden/>
          </w:rPr>
        </w:r>
        <w:r w:rsidR="00A26AF8">
          <w:rPr>
            <w:noProof/>
            <w:webHidden/>
          </w:rPr>
          <w:fldChar w:fldCharType="separate"/>
        </w:r>
        <w:r w:rsidR="00B0575C">
          <w:rPr>
            <w:noProof/>
            <w:webHidden/>
          </w:rPr>
          <w:t>197</w:t>
        </w:r>
        <w:r w:rsidR="00A26AF8">
          <w:rPr>
            <w:noProof/>
            <w:webHidden/>
          </w:rPr>
          <w:fldChar w:fldCharType="end"/>
        </w:r>
      </w:hyperlink>
    </w:p>
    <w:p w14:paraId="78E872D1" w14:textId="037F012B" w:rsidR="00A26AF8" w:rsidRDefault="00451AD7">
      <w:pPr>
        <w:pStyle w:val="TableofFigures"/>
        <w:tabs>
          <w:tab w:val="right" w:leader="dot" w:pos="8544"/>
        </w:tabs>
        <w:rPr>
          <w:rFonts w:asciiTheme="minorHAnsi" w:eastAsiaTheme="minorEastAsia" w:hAnsiTheme="minorHAnsi"/>
          <w:noProof/>
          <w:sz w:val="22"/>
          <w:szCs w:val="22"/>
          <w:lang w:val="en-US"/>
        </w:rPr>
      </w:pPr>
      <w:hyperlink w:anchor="_Toc224237487" w:history="1">
        <w:r w:rsidR="00F25209">
          <w:rPr>
            <w:rStyle w:val="Hyperlink"/>
            <w:b/>
            <w:noProof/>
          </w:rPr>
          <w:t>Table 4.58</w:t>
        </w:r>
        <w:r w:rsidR="00A26AF8" w:rsidRPr="004130F0">
          <w:rPr>
            <w:rStyle w:val="Hyperlink"/>
            <w:b/>
            <w:noProof/>
          </w:rPr>
          <w:t xml:space="preserve">: </w:t>
        </w:r>
        <w:r w:rsidR="00A26AF8" w:rsidRPr="00496BA5">
          <w:rPr>
            <w:rStyle w:val="Hyperlink"/>
            <w:noProof/>
          </w:rPr>
          <w:t>Hypotheses Testing Results Summary</w:t>
        </w:r>
        <w:r w:rsidR="00A26AF8">
          <w:rPr>
            <w:noProof/>
            <w:webHidden/>
          </w:rPr>
          <w:tab/>
        </w:r>
        <w:r w:rsidR="00A26AF8">
          <w:rPr>
            <w:noProof/>
            <w:webHidden/>
          </w:rPr>
          <w:fldChar w:fldCharType="begin"/>
        </w:r>
        <w:r w:rsidR="00A26AF8">
          <w:rPr>
            <w:noProof/>
            <w:webHidden/>
          </w:rPr>
          <w:instrText xml:space="preserve"> PAGEREF _Toc224237487 \h </w:instrText>
        </w:r>
        <w:r w:rsidR="00A26AF8">
          <w:rPr>
            <w:noProof/>
            <w:webHidden/>
          </w:rPr>
        </w:r>
        <w:r w:rsidR="00A26AF8">
          <w:rPr>
            <w:noProof/>
            <w:webHidden/>
          </w:rPr>
          <w:fldChar w:fldCharType="separate"/>
        </w:r>
        <w:r w:rsidR="00B0575C">
          <w:rPr>
            <w:noProof/>
            <w:webHidden/>
          </w:rPr>
          <w:t>199</w:t>
        </w:r>
        <w:r w:rsidR="00A26AF8">
          <w:rPr>
            <w:noProof/>
            <w:webHidden/>
          </w:rPr>
          <w:fldChar w:fldCharType="end"/>
        </w:r>
      </w:hyperlink>
    </w:p>
    <w:p w14:paraId="0889AA13" w14:textId="77777777" w:rsidR="009F33CD" w:rsidRDefault="00E40740" w:rsidP="000067B1">
      <w:pPr>
        <w:pStyle w:val="TOC3"/>
      </w:pPr>
      <w:r>
        <w:fldChar w:fldCharType="end"/>
      </w:r>
      <w:r>
        <w:br w:type="page"/>
      </w:r>
    </w:p>
    <w:p w14:paraId="244E4EFB" w14:textId="77777777" w:rsidR="009F33CD" w:rsidRDefault="00E40740">
      <w:pPr>
        <w:pStyle w:val="Heading1"/>
      </w:pPr>
      <w:bookmarkStart w:id="14" w:name="_Toc33440951"/>
      <w:bookmarkStart w:id="15" w:name="_Toc224237643"/>
      <w:r>
        <w:lastRenderedPageBreak/>
        <w:t>LIST OF FIGURES</w:t>
      </w:r>
      <w:bookmarkEnd w:id="10"/>
      <w:bookmarkEnd w:id="14"/>
      <w:bookmarkEnd w:id="15"/>
    </w:p>
    <w:p w14:paraId="6B38AFE0" w14:textId="5DBAD966" w:rsidR="009F33CD" w:rsidRDefault="00E40740">
      <w:pPr>
        <w:pStyle w:val="TableofFigures"/>
        <w:tabs>
          <w:tab w:val="right" w:leader="dot" w:pos="8544"/>
        </w:tabs>
        <w:rPr>
          <w:rFonts w:asciiTheme="minorHAnsi" w:eastAsiaTheme="minorEastAsia" w:hAnsiTheme="minorHAnsi"/>
          <w:noProof/>
          <w:sz w:val="22"/>
          <w:szCs w:val="22"/>
          <w:lang w:eastAsia="en-GB"/>
        </w:rPr>
      </w:pPr>
      <w:r>
        <w:fldChar w:fldCharType="begin"/>
      </w:r>
      <w:r>
        <w:instrText xml:space="preserve"> TOC \h \z \t "Heading 5" \c </w:instrText>
      </w:r>
      <w:r>
        <w:fldChar w:fldCharType="separate"/>
      </w:r>
      <w:hyperlink w:anchor="_Toc187996267" w:history="1">
        <w:r w:rsidR="009F33CD">
          <w:rPr>
            <w:rStyle w:val="Hyperlink"/>
            <w:b/>
            <w:noProof/>
          </w:rPr>
          <w:t xml:space="preserve">Figure 2.1: </w:t>
        </w:r>
        <w:r w:rsidR="009F33CD">
          <w:rPr>
            <w:rStyle w:val="Hyperlink"/>
            <w:noProof/>
          </w:rPr>
          <w:t>Conceptual Framework</w:t>
        </w:r>
        <w:r w:rsidR="009F33CD">
          <w:rPr>
            <w:noProof/>
          </w:rPr>
          <w:tab/>
        </w:r>
        <w:r w:rsidR="009F33CD">
          <w:rPr>
            <w:noProof/>
          </w:rPr>
          <w:fldChar w:fldCharType="begin"/>
        </w:r>
        <w:r w:rsidR="009F33CD">
          <w:rPr>
            <w:noProof/>
          </w:rPr>
          <w:instrText xml:space="preserve"> PAGEREF _Toc187996267 \h </w:instrText>
        </w:r>
        <w:r w:rsidR="009F33CD">
          <w:rPr>
            <w:noProof/>
          </w:rPr>
        </w:r>
        <w:r w:rsidR="009F33CD">
          <w:rPr>
            <w:noProof/>
          </w:rPr>
          <w:fldChar w:fldCharType="separate"/>
        </w:r>
        <w:r w:rsidR="00B0575C">
          <w:rPr>
            <w:noProof/>
          </w:rPr>
          <w:t>32</w:t>
        </w:r>
        <w:r w:rsidR="009F33CD">
          <w:rPr>
            <w:noProof/>
          </w:rPr>
          <w:fldChar w:fldCharType="end"/>
        </w:r>
      </w:hyperlink>
    </w:p>
    <w:p w14:paraId="78C00328" w14:textId="15A9F7D8"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7996268" w:history="1">
        <w:r w:rsidR="009F33CD">
          <w:rPr>
            <w:rStyle w:val="Hyperlink"/>
            <w:b/>
            <w:noProof/>
          </w:rPr>
          <w:t xml:space="preserve">Figure 4.1: </w:t>
        </w:r>
        <w:r w:rsidR="009F33CD">
          <w:rPr>
            <w:rStyle w:val="Hyperlink"/>
            <w:noProof/>
          </w:rPr>
          <w:t>Findings for Age of Respondents</w:t>
        </w:r>
        <w:r w:rsidR="009F33CD">
          <w:rPr>
            <w:noProof/>
          </w:rPr>
          <w:tab/>
        </w:r>
        <w:r w:rsidR="009F33CD">
          <w:rPr>
            <w:noProof/>
          </w:rPr>
          <w:fldChar w:fldCharType="begin"/>
        </w:r>
        <w:r w:rsidR="009F33CD">
          <w:rPr>
            <w:noProof/>
          </w:rPr>
          <w:instrText xml:space="preserve"> PAGEREF _Toc187996268 \h </w:instrText>
        </w:r>
        <w:r w:rsidR="009F33CD">
          <w:rPr>
            <w:noProof/>
          </w:rPr>
        </w:r>
        <w:r w:rsidR="009F33CD">
          <w:rPr>
            <w:noProof/>
          </w:rPr>
          <w:fldChar w:fldCharType="separate"/>
        </w:r>
        <w:r w:rsidR="00B0575C">
          <w:rPr>
            <w:noProof/>
          </w:rPr>
          <w:t>112</w:t>
        </w:r>
        <w:r w:rsidR="009F33CD">
          <w:rPr>
            <w:noProof/>
          </w:rPr>
          <w:fldChar w:fldCharType="end"/>
        </w:r>
      </w:hyperlink>
    </w:p>
    <w:p w14:paraId="79460D30" w14:textId="743A16AF"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7996269" w:history="1">
        <w:r w:rsidR="009F33CD">
          <w:rPr>
            <w:rStyle w:val="Hyperlink"/>
            <w:b/>
            <w:noProof/>
          </w:rPr>
          <w:t xml:space="preserve">Figure 4.2: </w:t>
        </w:r>
        <w:r w:rsidR="009F33CD">
          <w:rPr>
            <w:rStyle w:val="Hyperlink"/>
            <w:noProof/>
          </w:rPr>
          <w:t>Findings for Length of Service of Respondents</w:t>
        </w:r>
        <w:r w:rsidR="009F33CD">
          <w:rPr>
            <w:noProof/>
          </w:rPr>
          <w:tab/>
        </w:r>
        <w:r w:rsidR="009F33CD">
          <w:rPr>
            <w:noProof/>
          </w:rPr>
          <w:fldChar w:fldCharType="begin"/>
        </w:r>
        <w:r w:rsidR="009F33CD">
          <w:rPr>
            <w:noProof/>
          </w:rPr>
          <w:instrText xml:space="preserve"> PAGEREF _Toc187996269 \h </w:instrText>
        </w:r>
        <w:r w:rsidR="009F33CD">
          <w:rPr>
            <w:noProof/>
          </w:rPr>
        </w:r>
        <w:r w:rsidR="009F33CD">
          <w:rPr>
            <w:noProof/>
          </w:rPr>
          <w:fldChar w:fldCharType="separate"/>
        </w:r>
        <w:r w:rsidR="00B0575C">
          <w:rPr>
            <w:noProof/>
          </w:rPr>
          <w:t>115</w:t>
        </w:r>
        <w:r w:rsidR="009F33CD">
          <w:rPr>
            <w:noProof/>
          </w:rPr>
          <w:fldChar w:fldCharType="end"/>
        </w:r>
      </w:hyperlink>
    </w:p>
    <w:p w14:paraId="0F74EDCA" w14:textId="56AE7693"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7996270" w:history="1">
        <w:r w:rsidR="009F33CD">
          <w:rPr>
            <w:rStyle w:val="Hyperlink"/>
            <w:b/>
            <w:noProof/>
          </w:rPr>
          <w:t xml:space="preserve">Figure 4.3: </w:t>
        </w:r>
        <w:r w:rsidR="009F33CD">
          <w:rPr>
            <w:rStyle w:val="Hyperlink"/>
            <w:noProof/>
          </w:rPr>
          <w:t>Histogram of Dependent Variable</w:t>
        </w:r>
        <w:r w:rsidR="009F33CD">
          <w:rPr>
            <w:noProof/>
          </w:rPr>
          <w:tab/>
        </w:r>
        <w:r w:rsidR="009F33CD">
          <w:rPr>
            <w:noProof/>
          </w:rPr>
          <w:fldChar w:fldCharType="begin"/>
        </w:r>
        <w:r w:rsidR="009F33CD">
          <w:rPr>
            <w:noProof/>
          </w:rPr>
          <w:instrText xml:space="preserve"> PAGEREF _Toc187996270 \h </w:instrText>
        </w:r>
        <w:r w:rsidR="009F33CD">
          <w:rPr>
            <w:noProof/>
          </w:rPr>
        </w:r>
        <w:r w:rsidR="009F33CD">
          <w:rPr>
            <w:noProof/>
          </w:rPr>
          <w:fldChar w:fldCharType="separate"/>
        </w:r>
        <w:r w:rsidR="00B0575C">
          <w:rPr>
            <w:noProof/>
          </w:rPr>
          <w:t>119</w:t>
        </w:r>
        <w:r w:rsidR="009F33CD">
          <w:rPr>
            <w:noProof/>
          </w:rPr>
          <w:fldChar w:fldCharType="end"/>
        </w:r>
      </w:hyperlink>
    </w:p>
    <w:p w14:paraId="13D321E5" w14:textId="0E680F59"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7996271" w:history="1">
        <w:r w:rsidR="009F33CD">
          <w:rPr>
            <w:rStyle w:val="Hyperlink"/>
            <w:b/>
            <w:noProof/>
          </w:rPr>
          <w:t xml:space="preserve">Figure 4.4: </w:t>
        </w:r>
        <w:r w:rsidR="009F33CD">
          <w:rPr>
            <w:rStyle w:val="Hyperlink"/>
            <w:noProof/>
          </w:rPr>
          <w:t>Number of Patients Attended (2014-2019)</w:t>
        </w:r>
        <w:r w:rsidR="009F33CD">
          <w:rPr>
            <w:noProof/>
          </w:rPr>
          <w:tab/>
        </w:r>
        <w:r w:rsidR="009F33CD">
          <w:rPr>
            <w:noProof/>
          </w:rPr>
          <w:fldChar w:fldCharType="begin"/>
        </w:r>
        <w:r w:rsidR="009F33CD">
          <w:rPr>
            <w:noProof/>
          </w:rPr>
          <w:instrText xml:space="preserve"> PAGEREF _Toc187996271 \h </w:instrText>
        </w:r>
        <w:r w:rsidR="009F33CD">
          <w:rPr>
            <w:noProof/>
          </w:rPr>
        </w:r>
        <w:r w:rsidR="009F33CD">
          <w:rPr>
            <w:noProof/>
          </w:rPr>
          <w:fldChar w:fldCharType="separate"/>
        </w:r>
        <w:r w:rsidR="00B0575C">
          <w:rPr>
            <w:noProof/>
          </w:rPr>
          <w:t>196</w:t>
        </w:r>
        <w:r w:rsidR="009F33CD">
          <w:rPr>
            <w:noProof/>
          </w:rPr>
          <w:fldChar w:fldCharType="end"/>
        </w:r>
      </w:hyperlink>
    </w:p>
    <w:p w14:paraId="25C81AEB" w14:textId="262252D6"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7996272" w:history="1">
        <w:r w:rsidR="009F33CD">
          <w:rPr>
            <w:rStyle w:val="Hyperlink"/>
            <w:b/>
            <w:noProof/>
          </w:rPr>
          <w:t xml:space="preserve">Figure 4.5: </w:t>
        </w:r>
        <w:r w:rsidR="009F33CD">
          <w:rPr>
            <w:rStyle w:val="Hyperlink"/>
            <w:noProof/>
          </w:rPr>
          <w:t>Revenue Collected (2014-2019)</w:t>
        </w:r>
        <w:r w:rsidR="009F33CD">
          <w:rPr>
            <w:noProof/>
          </w:rPr>
          <w:tab/>
        </w:r>
        <w:r w:rsidR="009F33CD">
          <w:rPr>
            <w:noProof/>
          </w:rPr>
          <w:fldChar w:fldCharType="begin"/>
        </w:r>
        <w:r w:rsidR="009F33CD">
          <w:rPr>
            <w:noProof/>
          </w:rPr>
          <w:instrText xml:space="preserve"> PAGEREF _Toc187996272 \h </w:instrText>
        </w:r>
        <w:r w:rsidR="009F33CD">
          <w:rPr>
            <w:noProof/>
          </w:rPr>
        </w:r>
        <w:r w:rsidR="009F33CD">
          <w:rPr>
            <w:noProof/>
          </w:rPr>
          <w:fldChar w:fldCharType="separate"/>
        </w:r>
        <w:r w:rsidR="00B0575C">
          <w:rPr>
            <w:noProof/>
          </w:rPr>
          <w:t>198</w:t>
        </w:r>
        <w:r w:rsidR="009F33CD">
          <w:rPr>
            <w:noProof/>
          </w:rPr>
          <w:fldChar w:fldCharType="end"/>
        </w:r>
      </w:hyperlink>
    </w:p>
    <w:p w14:paraId="08BD8337" w14:textId="77777777" w:rsidR="009F33CD" w:rsidRDefault="00E40740" w:rsidP="000067B1">
      <w:pPr>
        <w:pStyle w:val="TOC3"/>
        <w:rPr>
          <w:kern w:val="32"/>
        </w:rPr>
      </w:pPr>
      <w:r>
        <w:fldChar w:fldCharType="end"/>
      </w:r>
      <w:r>
        <w:br w:type="page"/>
      </w:r>
    </w:p>
    <w:p w14:paraId="695F8049" w14:textId="77777777" w:rsidR="009F33CD" w:rsidRDefault="00E40740">
      <w:pPr>
        <w:pStyle w:val="Heading1"/>
      </w:pPr>
      <w:bookmarkStart w:id="16" w:name="_Toc224237644"/>
      <w:r>
        <w:lastRenderedPageBreak/>
        <w:t>LIST OF APPENDICES</w:t>
      </w:r>
      <w:bookmarkEnd w:id="16"/>
    </w:p>
    <w:p w14:paraId="0FC97047" w14:textId="18EA3CCA" w:rsidR="009F33CD" w:rsidRDefault="00E40740">
      <w:pPr>
        <w:pStyle w:val="TableofFigures"/>
        <w:tabs>
          <w:tab w:val="right" w:leader="dot" w:pos="8544"/>
        </w:tabs>
        <w:rPr>
          <w:rFonts w:asciiTheme="minorHAnsi" w:eastAsiaTheme="minorEastAsia" w:hAnsiTheme="minorHAnsi"/>
          <w:noProof/>
          <w:sz w:val="22"/>
          <w:szCs w:val="22"/>
          <w:lang w:eastAsia="en-GB"/>
        </w:rPr>
      </w:pPr>
      <w:r>
        <w:fldChar w:fldCharType="begin"/>
      </w:r>
      <w:r>
        <w:instrText xml:space="preserve"> TOC \h \z \t "Heading 7" \c </w:instrText>
      </w:r>
      <w:r>
        <w:fldChar w:fldCharType="separate"/>
      </w:r>
      <w:hyperlink w:anchor="_Toc188071384" w:history="1">
        <w:r w:rsidR="009F33CD">
          <w:rPr>
            <w:rStyle w:val="Hyperlink"/>
            <w:b/>
            <w:noProof/>
          </w:rPr>
          <w:t xml:space="preserve">Appendix I: </w:t>
        </w:r>
        <w:r w:rsidR="009F33CD">
          <w:rPr>
            <w:rStyle w:val="Hyperlink"/>
            <w:noProof/>
          </w:rPr>
          <w:t>Data Collection Request Letter</w:t>
        </w:r>
        <w:r w:rsidR="009F33CD">
          <w:rPr>
            <w:noProof/>
          </w:rPr>
          <w:tab/>
        </w:r>
        <w:r w:rsidR="009F33CD">
          <w:rPr>
            <w:noProof/>
          </w:rPr>
          <w:fldChar w:fldCharType="begin"/>
        </w:r>
        <w:r w:rsidR="009F33CD">
          <w:rPr>
            <w:noProof/>
          </w:rPr>
          <w:instrText xml:space="preserve"> PAGEREF _Toc188071384 \h </w:instrText>
        </w:r>
        <w:r w:rsidR="009F33CD">
          <w:rPr>
            <w:noProof/>
          </w:rPr>
        </w:r>
        <w:r w:rsidR="009F33CD">
          <w:rPr>
            <w:noProof/>
          </w:rPr>
          <w:fldChar w:fldCharType="separate"/>
        </w:r>
        <w:r w:rsidR="00B0575C">
          <w:rPr>
            <w:noProof/>
          </w:rPr>
          <w:t>237</w:t>
        </w:r>
        <w:r w:rsidR="009F33CD">
          <w:rPr>
            <w:noProof/>
          </w:rPr>
          <w:fldChar w:fldCharType="end"/>
        </w:r>
      </w:hyperlink>
    </w:p>
    <w:p w14:paraId="3DE4FBA8" w14:textId="1E3EED0B"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85" w:history="1">
        <w:r w:rsidR="009F33CD">
          <w:rPr>
            <w:rStyle w:val="Hyperlink"/>
            <w:b/>
            <w:noProof/>
          </w:rPr>
          <w:t xml:space="preserve">Appendix II: </w:t>
        </w:r>
        <w:r w:rsidR="009F33CD">
          <w:rPr>
            <w:rStyle w:val="Hyperlink"/>
            <w:noProof/>
          </w:rPr>
          <w:t>Informed Consent Form</w:t>
        </w:r>
        <w:r w:rsidR="009F33CD">
          <w:rPr>
            <w:noProof/>
          </w:rPr>
          <w:tab/>
        </w:r>
        <w:r w:rsidR="009F33CD">
          <w:rPr>
            <w:noProof/>
          </w:rPr>
          <w:fldChar w:fldCharType="begin"/>
        </w:r>
        <w:r w:rsidR="009F33CD">
          <w:rPr>
            <w:noProof/>
          </w:rPr>
          <w:instrText xml:space="preserve"> PAGEREF _Toc188071385 \h </w:instrText>
        </w:r>
        <w:r w:rsidR="009F33CD">
          <w:rPr>
            <w:noProof/>
          </w:rPr>
        </w:r>
        <w:r w:rsidR="009F33CD">
          <w:rPr>
            <w:noProof/>
          </w:rPr>
          <w:fldChar w:fldCharType="separate"/>
        </w:r>
        <w:r w:rsidR="00B0575C">
          <w:rPr>
            <w:noProof/>
          </w:rPr>
          <w:t>238</w:t>
        </w:r>
        <w:r w:rsidR="009F33CD">
          <w:rPr>
            <w:noProof/>
          </w:rPr>
          <w:fldChar w:fldCharType="end"/>
        </w:r>
      </w:hyperlink>
    </w:p>
    <w:p w14:paraId="149727C9" w14:textId="1950CD98"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86" w:history="1">
        <w:r w:rsidR="009F33CD">
          <w:rPr>
            <w:rStyle w:val="Hyperlink"/>
            <w:b/>
            <w:noProof/>
          </w:rPr>
          <w:t xml:space="preserve">Appendix III: </w:t>
        </w:r>
        <w:r w:rsidR="009F33CD">
          <w:rPr>
            <w:rStyle w:val="Hyperlink"/>
            <w:noProof/>
          </w:rPr>
          <w:t>Questionnaire</w:t>
        </w:r>
        <w:r w:rsidR="009F33CD">
          <w:rPr>
            <w:noProof/>
          </w:rPr>
          <w:tab/>
        </w:r>
        <w:r w:rsidR="009F33CD">
          <w:rPr>
            <w:noProof/>
          </w:rPr>
          <w:fldChar w:fldCharType="begin"/>
        </w:r>
        <w:r w:rsidR="009F33CD">
          <w:rPr>
            <w:noProof/>
          </w:rPr>
          <w:instrText xml:space="preserve"> PAGEREF _Toc188071386 \h </w:instrText>
        </w:r>
        <w:r w:rsidR="009F33CD">
          <w:rPr>
            <w:noProof/>
          </w:rPr>
        </w:r>
        <w:r w:rsidR="009F33CD">
          <w:rPr>
            <w:noProof/>
          </w:rPr>
          <w:fldChar w:fldCharType="separate"/>
        </w:r>
        <w:r w:rsidR="00B0575C">
          <w:rPr>
            <w:noProof/>
          </w:rPr>
          <w:t>240</w:t>
        </w:r>
        <w:r w:rsidR="009F33CD">
          <w:rPr>
            <w:noProof/>
          </w:rPr>
          <w:fldChar w:fldCharType="end"/>
        </w:r>
      </w:hyperlink>
    </w:p>
    <w:p w14:paraId="05DE1600" w14:textId="39CD98D9"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87" w:history="1">
        <w:r w:rsidR="009F33CD">
          <w:rPr>
            <w:rStyle w:val="Hyperlink"/>
            <w:b/>
            <w:noProof/>
          </w:rPr>
          <w:t xml:space="preserve">Appendix IV: </w:t>
        </w:r>
        <w:r w:rsidR="009F33CD">
          <w:rPr>
            <w:rStyle w:val="Hyperlink"/>
            <w:noProof/>
          </w:rPr>
          <w:t>Document analysis Guide</w:t>
        </w:r>
        <w:r w:rsidR="009F33CD">
          <w:rPr>
            <w:noProof/>
          </w:rPr>
          <w:tab/>
        </w:r>
        <w:r w:rsidR="009F33CD">
          <w:rPr>
            <w:noProof/>
          </w:rPr>
          <w:fldChar w:fldCharType="begin"/>
        </w:r>
        <w:r w:rsidR="009F33CD">
          <w:rPr>
            <w:noProof/>
          </w:rPr>
          <w:instrText xml:space="preserve"> PAGEREF _Toc188071387 \h </w:instrText>
        </w:r>
        <w:r w:rsidR="009F33CD">
          <w:rPr>
            <w:noProof/>
          </w:rPr>
        </w:r>
        <w:r w:rsidR="009F33CD">
          <w:rPr>
            <w:noProof/>
          </w:rPr>
          <w:fldChar w:fldCharType="separate"/>
        </w:r>
        <w:r w:rsidR="00B0575C">
          <w:rPr>
            <w:noProof/>
          </w:rPr>
          <w:t>247</w:t>
        </w:r>
        <w:r w:rsidR="009F33CD">
          <w:rPr>
            <w:noProof/>
          </w:rPr>
          <w:fldChar w:fldCharType="end"/>
        </w:r>
      </w:hyperlink>
    </w:p>
    <w:p w14:paraId="33FEB885" w14:textId="4A6DD3D4"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88" w:history="1">
        <w:r w:rsidR="009F33CD">
          <w:rPr>
            <w:rStyle w:val="Hyperlink"/>
            <w:b/>
            <w:noProof/>
          </w:rPr>
          <w:t xml:space="preserve">Appendix V: </w:t>
        </w:r>
        <w:r w:rsidR="009F33CD">
          <w:rPr>
            <w:rStyle w:val="Hyperlink"/>
            <w:noProof/>
          </w:rPr>
          <w:t>Interview Guide</w:t>
        </w:r>
        <w:r w:rsidR="009F33CD">
          <w:rPr>
            <w:noProof/>
          </w:rPr>
          <w:tab/>
        </w:r>
        <w:r w:rsidR="009F33CD">
          <w:rPr>
            <w:noProof/>
          </w:rPr>
          <w:fldChar w:fldCharType="begin"/>
        </w:r>
        <w:r w:rsidR="009F33CD">
          <w:rPr>
            <w:noProof/>
          </w:rPr>
          <w:instrText xml:space="preserve"> PAGEREF _Toc188071388 \h </w:instrText>
        </w:r>
        <w:r w:rsidR="009F33CD">
          <w:rPr>
            <w:noProof/>
          </w:rPr>
        </w:r>
        <w:r w:rsidR="009F33CD">
          <w:rPr>
            <w:noProof/>
          </w:rPr>
          <w:fldChar w:fldCharType="separate"/>
        </w:r>
        <w:r w:rsidR="00B0575C">
          <w:rPr>
            <w:noProof/>
          </w:rPr>
          <w:t>250</w:t>
        </w:r>
        <w:r w:rsidR="009F33CD">
          <w:rPr>
            <w:noProof/>
          </w:rPr>
          <w:fldChar w:fldCharType="end"/>
        </w:r>
      </w:hyperlink>
    </w:p>
    <w:p w14:paraId="4DF99AD6" w14:textId="0C29309D"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89" w:history="1">
        <w:r w:rsidR="009F33CD">
          <w:rPr>
            <w:rStyle w:val="Hyperlink"/>
            <w:b/>
            <w:noProof/>
          </w:rPr>
          <w:t xml:space="preserve">Appendix VI: </w:t>
        </w:r>
        <w:r w:rsidR="009F33CD">
          <w:rPr>
            <w:rStyle w:val="Hyperlink"/>
            <w:noProof/>
          </w:rPr>
          <w:t>List of Level Five Hospitals</w:t>
        </w:r>
        <w:r w:rsidR="009F33CD">
          <w:rPr>
            <w:noProof/>
          </w:rPr>
          <w:tab/>
        </w:r>
        <w:r w:rsidR="009F33CD">
          <w:rPr>
            <w:noProof/>
          </w:rPr>
          <w:fldChar w:fldCharType="begin"/>
        </w:r>
        <w:r w:rsidR="009F33CD">
          <w:rPr>
            <w:noProof/>
          </w:rPr>
          <w:instrText xml:space="preserve"> PAGEREF _Toc188071389 \h </w:instrText>
        </w:r>
        <w:r w:rsidR="009F33CD">
          <w:rPr>
            <w:noProof/>
          </w:rPr>
        </w:r>
        <w:r w:rsidR="009F33CD">
          <w:rPr>
            <w:noProof/>
          </w:rPr>
          <w:fldChar w:fldCharType="separate"/>
        </w:r>
        <w:r w:rsidR="00B0575C">
          <w:rPr>
            <w:noProof/>
          </w:rPr>
          <w:t>251</w:t>
        </w:r>
        <w:r w:rsidR="009F33CD">
          <w:rPr>
            <w:noProof/>
          </w:rPr>
          <w:fldChar w:fldCharType="end"/>
        </w:r>
      </w:hyperlink>
    </w:p>
    <w:p w14:paraId="7BB5D962" w14:textId="1C95364C"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90" w:history="1">
        <w:r w:rsidR="009F33CD">
          <w:rPr>
            <w:rStyle w:val="Hyperlink"/>
            <w:b/>
            <w:noProof/>
          </w:rPr>
          <w:t xml:space="preserve">Appendix VII: </w:t>
        </w:r>
        <w:r w:rsidR="009F33CD">
          <w:rPr>
            <w:rStyle w:val="Hyperlink"/>
            <w:noProof/>
          </w:rPr>
          <w:t>List of Departments and Sections</w:t>
        </w:r>
        <w:r w:rsidR="009F33CD">
          <w:rPr>
            <w:noProof/>
          </w:rPr>
          <w:tab/>
        </w:r>
        <w:r w:rsidR="009F33CD">
          <w:rPr>
            <w:noProof/>
          </w:rPr>
          <w:fldChar w:fldCharType="begin"/>
        </w:r>
        <w:r w:rsidR="009F33CD">
          <w:rPr>
            <w:noProof/>
          </w:rPr>
          <w:instrText xml:space="preserve"> PAGEREF _Toc188071390 \h </w:instrText>
        </w:r>
        <w:r w:rsidR="009F33CD">
          <w:rPr>
            <w:noProof/>
          </w:rPr>
        </w:r>
        <w:r w:rsidR="009F33CD">
          <w:rPr>
            <w:noProof/>
          </w:rPr>
          <w:fldChar w:fldCharType="separate"/>
        </w:r>
        <w:r w:rsidR="00B0575C">
          <w:rPr>
            <w:noProof/>
          </w:rPr>
          <w:t>252</w:t>
        </w:r>
        <w:r w:rsidR="009F33CD">
          <w:rPr>
            <w:noProof/>
          </w:rPr>
          <w:fldChar w:fldCharType="end"/>
        </w:r>
      </w:hyperlink>
    </w:p>
    <w:p w14:paraId="0A61760C" w14:textId="6F1F6689"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91" w:history="1">
        <w:r w:rsidR="009F33CD">
          <w:rPr>
            <w:rStyle w:val="Hyperlink"/>
            <w:b/>
            <w:noProof/>
          </w:rPr>
          <w:t xml:space="preserve">Appendix VIII: </w:t>
        </w:r>
        <w:r w:rsidR="009F33CD">
          <w:rPr>
            <w:rStyle w:val="Hyperlink"/>
            <w:noProof/>
          </w:rPr>
          <w:t>Letter from University Department to Collect Data</w:t>
        </w:r>
        <w:r w:rsidR="009F33CD">
          <w:rPr>
            <w:noProof/>
          </w:rPr>
          <w:tab/>
        </w:r>
        <w:r w:rsidR="009F33CD">
          <w:rPr>
            <w:noProof/>
          </w:rPr>
          <w:fldChar w:fldCharType="begin"/>
        </w:r>
        <w:r w:rsidR="009F33CD">
          <w:rPr>
            <w:noProof/>
          </w:rPr>
          <w:instrText xml:space="preserve"> PAGEREF _Toc188071391 \h </w:instrText>
        </w:r>
        <w:r w:rsidR="009F33CD">
          <w:rPr>
            <w:noProof/>
          </w:rPr>
        </w:r>
        <w:r w:rsidR="009F33CD">
          <w:rPr>
            <w:noProof/>
          </w:rPr>
          <w:fldChar w:fldCharType="separate"/>
        </w:r>
        <w:r w:rsidR="00B0575C">
          <w:rPr>
            <w:noProof/>
          </w:rPr>
          <w:t>253</w:t>
        </w:r>
        <w:r w:rsidR="009F33CD">
          <w:rPr>
            <w:noProof/>
          </w:rPr>
          <w:fldChar w:fldCharType="end"/>
        </w:r>
      </w:hyperlink>
    </w:p>
    <w:p w14:paraId="57FA5E22" w14:textId="74BBED1A"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92" w:history="1">
        <w:r w:rsidR="009F33CD">
          <w:rPr>
            <w:rStyle w:val="Hyperlink"/>
            <w:b/>
            <w:noProof/>
          </w:rPr>
          <w:t xml:space="preserve">Appendix IX: </w:t>
        </w:r>
        <w:r w:rsidR="009F33CD">
          <w:rPr>
            <w:rStyle w:val="Hyperlink"/>
            <w:noProof/>
          </w:rPr>
          <w:t>Ethics Review Approval Permit</w:t>
        </w:r>
        <w:r w:rsidR="009F33CD">
          <w:rPr>
            <w:noProof/>
          </w:rPr>
          <w:tab/>
        </w:r>
        <w:r w:rsidR="009F33CD">
          <w:rPr>
            <w:noProof/>
          </w:rPr>
          <w:fldChar w:fldCharType="begin"/>
        </w:r>
        <w:r w:rsidR="009F33CD">
          <w:rPr>
            <w:noProof/>
          </w:rPr>
          <w:instrText xml:space="preserve"> PAGEREF _Toc188071392 \h </w:instrText>
        </w:r>
        <w:r w:rsidR="009F33CD">
          <w:rPr>
            <w:noProof/>
          </w:rPr>
        </w:r>
        <w:r w:rsidR="009F33CD">
          <w:rPr>
            <w:noProof/>
          </w:rPr>
          <w:fldChar w:fldCharType="separate"/>
        </w:r>
        <w:r w:rsidR="00B0575C">
          <w:rPr>
            <w:noProof/>
          </w:rPr>
          <w:t>254</w:t>
        </w:r>
        <w:r w:rsidR="009F33CD">
          <w:rPr>
            <w:noProof/>
          </w:rPr>
          <w:fldChar w:fldCharType="end"/>
        </w:r>
      </w:hyperlink>
    </w:p>
    <w:p w14:paraId="3AFA2BE6" w14:textId="2AA799CF" w:rsidR="009F33CD" w:rsidRDefault="00451AD7">
      <w:pPr>
        <w:pStyle w:val="TableofFigures"/>
        <w:tabs>
          <w:tab w:val="right" w:leader="dot" w:pos="8544"/>
        </w:tabs>
        <w:rPr>
          <w:rFonts w:asciiTheme="minorHAnsi" w:eastAsiaTheme="minorEastAsia" w:hAnsiTheme="minorHAnsi"/>
          <w:noProof/>
          <w:sz w:val="22"/>
          <w:szCs w:val="22"/>
          <w:lang w:eastAsia="en-GB"/>
        </w:rPr>
      </w:pPr>
      <w:hyperlink w:anchor="_Toc188071393" w:history="1">
        <w:r w:rsidR="009F33CD">
          <w:rPr>
            <w:rStyle w:val="Hyperlink"/>
            <w:b/>
            <w:noProof/>
          </w:rPr>
          <w:t xml:space="preserve">Appendix X: </w:t>
        </w:r>
        <w:r w:rsidR="009F33CD">
          <w:rPr>
            <w:rStyle w:val="Hyperlink"/>
            <w:noProof/>
          </w:rPr>
          <w:t>Research Permit from NACOST</w:t>
        </w:r>
        <w:r w:rsidR="009F33CD">
          <w:rPr>
            <w:noProof/>
          </w:rPr>
          <w:tab/>
        </w:r>
        <w:r w:rsidR="009F33CD">
          <w:rPr>
            <w:noProof/>
          </w:rPr>
          <w:fldChar w:fldCharType="begin"/>
        </w:r>
        <w:r w:rsidR="009F33CD">
          <w:rPr>
            <w:noProof/>
          </w:rPr>
          <w:instrText xml:space="preserve"> PAGEREF _Toc188071393 \h </w:instrText>
        </w:r>
        <w:r w:rsidR="009F33CD">
          <w:rPr>
            <w:noProof/>
          </w:rPr>
        </w:r>
        <w:r w:rsidR="009F33CD">
          <w:rPr>
            <w:noProof/>
          </w:rPr>
          <w:fldChar w:fldCharType="separate"/>
        </w:r>
        <w:r w:rsidR="00B0575C">
          <w:rPr>
            <w:noProof/>
          </w:rPr>
          <w:t>255</w:t>
        </w:r>
        <w:r w:rsidR="009F33CD">
          <w:rPr>
            <w:noProof/>
          </w:rPr>
          <w:fldChar w:fldCharType="end"/>
        </w:r>
      </w:hyperlink>
    </w:p>
    <w:p w14:paraId="2A72DF76" w14:textId="77777777" w:rsidR="009F33CD" w:rsidRDefault="00E40740" w:rsidP="00A26AF8">
      <w:pPr>
        <w:pStyle w:val="TOC2"/>
      </w:pPr>
      <w:r>
        <w:fldChar w:fldCharType="end"/>
      </w:r>
      <w:r>
        <w:br w:type="page"/>
      </w:r>
    </w:p>
    <w:p w14:paraId="13F38198" w14:textId="77777777" w:rsidR="009F33CD" w:rsidRDefault="00E40740" w:rsidP="00FE200A">
      <w:pPr>
        <w:pStyle w:val="Heading1"/>
      </w:pPr>
      <w:bookmarkStart w:id="17" w:name="_Toc224237645"/>
      <w:r>
        <w:lastRenderedPageBreak/>
        <w:t>ACRONYMS AND ABBREVIATIONS</w:t>
      </w:r>
      <w:bookmarkEnd w:id="17"/>
    </w:p>
    <w:p w14:paraId="7FBF61E2" w14:textId="77777777" w:rsidR="009F33CD" w:rsidRDefault="00E40740">
      <w:pPr>
        <w:spacing w:before="0" w:beforeAutospacing="0" w:after="0" w:afterAutospacing="0"/>
        <w:rPr>
          <w:rFonts w:cs="Times New Roman"/>
          <w:szCs w:val="24"/>
        </w:rPr>
      </w:pPr>
      <w:r>
        <w:rPr>
          <w:rFonts w:cs="Times New Roman"/>
          <w:b/>
          <w:szCs w:val="24"/>
        </w:rPr>
        <w:t>AMO</w:t>
      </w:r>
      <w:r>
        <w:rPr>
          <w:rFonts w:cs="Times New Roman"/>
          <w:bCs/>
          <w:szCs w:val="24"/>
        </w:rPr>
        <w:tab/>
      </w:r>
      <w:r>
        <w:rPr>
          <w:rFonts w:cs="Times New Roman"/>
          <w:bCs/>
          <w:szCs w:val="24"/>
        </w:rPr>
        <w:tab/>
      </w:r>
      <w:r>
        <w:rPr>
          <w:rFonts w:cs="Times New Roman"/>
          <w:bCs/>
          <w:szCs w:val="24"/>
        </w:rPr>
        <w:tab/>
        <w:t>Abilities, Motivation, and Opportunities</w:t>
      </w:r>
    </w:p>
    <w:p w14:paraId="6C1B07BF" w14:textId="77777777" w:rsidR="009F33CD" w:rsidRDefault="00E40740">
      <w:pPr>
        <w:spacing w:before="0" w:beforeAutospacing="0" w:after="0" w:afterAutospacing="0"/>
        <w:rPr>
          <w:rFonts w:cs="Times New Roman"/>
          <w:szCs w:val="24"/>
        </w:rPr>
      </w:pPr>
      <w:r>
        <w:rPr>
          <w:rFonts w:cs="Times New Roman"/>
          <w:b/>
          <w:szCs w:val="24"/>
        </w:rPr>
        <w:t>CPSB</w:t>
      </w:r>
      <w:r>
        <w:rPr>
          <w:rFonts w:cs="Times New Roman"/>
          <w:szCs w:val="24"/>
        </w:rPr>
        <w:tab/>
      </w:r>
      <w:r>
        <w:rPr>
          <w:rFonts w:cs="Times New Roman"/>
          <w:szCs w:val="24"/>
        </w:rPr>
        <w:tab/>
      </w:r>
      <w:r>
        <w:rPr>
          <w:rFonts w:cs="Times New Roman"/>
          <w:szCs w:val="24"/>
        </w:rPr>
        <w:tab/>
        <w:t>County Public Service Board</w:t>
      </w:r>
    </w:p>
    <w:p w14:paraId="640512E9" w14:textId="77777777" w:rsidR="009F33CD" w:rsidRDefault="00E40740">
      <w:pPr>
        <w:spacing w:before="0" w:beforeAutospacing="0" w:after="0" w:afterAutospacing="0"/>
        <w:rPr>
          <w:rFonts w:cs="Times New Roman"/>
          <w:bCs/>
          <w:szCs w:val="24"/>
        </w:rPr>
      </w:pPr>
      <w:r>
        <w:rPr>
          <w:rFonts w:cs="Times New Roman"/>
          <w:b/>
          <w:bCs/>
          <w:szCs w:val="24"/>
        </w:rPr>
        <w:t>EM</w:t>
      </w:r>
      <w:r>
        <w:rPr>
          <w:rFonts w:cs="Times New Roman"/>
          <w:bCs/>
          <w:szCs w:val="24"/>
        </w:rPr>
        <w:tab/>
      </w:r>
      <w:r>
        <w:rPr>
          <w:rFonts w:cs="Times New Roman"/>
          <w:bCs/>
          <w:szCs w:val="24"/>
        </w:rPr>
        <w:tab/>
      </w:r>
      <w:r>
        <w:rPr>
          <w:rFonts w:cs="Times New Roman"/>
          <w:bCs/>
          <w:szCs w:val="24"/>
        </w:rPr>
        <w:tab/>
        <w:t>Environmental Management</w:t>
      </w:r>
    </w:p>
    <w:p w14:paraId="31B35D78" w14:textId="77777777" w:rsidR="009F33CD" w:rsidRDefault="00E40740">
      <w:pPr>
        <w:spacing w:before="0" w:beforeAutospacing="0" w:after="0" w:afterAutospacing="0"/>
        <w:rPr>
          <w:rFonts w:cs="Times New Roman"/>
          <w:bCs/>
          <w:szCs w:val="24"/>
        </w:rPr>
      </w:pPr>
      <w:r>
        <w:rPr>
          <w:rFonts w:cs="Times New Roman"/>
          <w:b/>
          <w:bCs/>
          <w:szCs w:val="24"/>
        </w:rPr>
        <w:t>EMS</w:t>
      </w:r>
      <w:r>
        <w:rPr>
          <w:rFonts w:cs="Times New Roman"/>
          <w:bCs/>
          <w:szCs w:val="24"/>
        </w:rPr>
        <w:tab/>
      </w:r>
      <w:r>
        <w:rPr>
          <w:rFonts w:cs="Times New Roman"/>
          <w:bCs/>
          <w:szCs w:val="24"/>
        </w:rPr>
        <w:tab/>
      </w:r>
      <w:r>
        <w:rPr>
          <w:rFonts w:cs="Times New Roman"/>
          <w:bCs/>
          <w:szCs w:val="24"/>
        </w:rPr>
        <w:tab/>
        <w:t>Environmental Management System</w:t>
      </w:r>
    </w:p>
    <w:p w14:paraId="4915A2DA" w14:textId="77777777" w:rsidR="009F33CD" w:rsidRDefault="00E40740">
      <w:pPr>
        <w:spacing w:before="0" w:beforeAutospacing="0" w:after="0" w:afterAutospacing="0"/>
        <w:rPr>
          <w:rFonts w:cs="Times New Roman"/>
          <w:bCs/>
          <w:szCs w:val="24"/>
        </w:rPr>
      </w:pPr>
      <w:r>
        <w:rPr>
          <w:rFonts w:cs="Times New Roman"/>
          <w:b/>
          <w:bCs/>
          <w:szCs w:val="24"/>
        </w:rPr>
        <w:t>FBO</w:t>
      </w:r>
      <w:r>
        <w:rPr>
          <w:rFonts w:cs="Times New Roman"/>
          <w:bCs/>
          <w:szCs w:val="24"/>
        </w:rPr>
        <w:tab/>
      </w:r>
      <w:r>
        <w:rPr>
          <w:rFonts w:cs="Times New Roman"/>
          <w:bCs/>
          <w:szCs w:val="24"/>
        </w:rPr>
        <w:tab/>
      </w:r>
      <w:r>
        <w:rPr>
          <w:rFonts w:cs="Times New Roman"/>
          <w:bCs/>
          <w:szCs w:val="24"/>
        </w:rPr>
        <w:tab/>
        <w:t>Faith based Organization in Health Sector</w:t>
      </w:r>
    </w:p>
    <w:p w14:paraId="5E15725D"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GHRM</w:t>
      </w:r>
      <w:r>
        <w:rPr>
          <w:rFonts w:eastAsia="Arial Unicode MS" w:cs="Times New Roman"/>
          <w:szCs w:val="24"/>
        </w:rPr>
        <w:tab/>
      </w:r>
      <w:r>
        <w:rPr>
          <w:rFonts w:eastAsia="Arial Unicode MS" w:cs="Times New Roman"/>
          <w:szCs w:val="24"/>
        </w:rPr>
        <w:tab/>
        <w:t>Green Human Resource Management</w:t>
      </w:r>
    </w:p>
    <w:p w14:paraId="77D14C92"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GPE</w:t>
      </w:r>
      <w:r>
        <w:rPr>
          <w:rFonts w:eastAsia="Arial Unicode MS" w:cs="Times New Roman"/>
          <w:szCs w:val="24"/>
        </w:rPr>
        <w:tab/>
      </w:r>
      <w:r>
        <w:rPr>
          <w:rFonts w:eastAsia="Arial Unicode MS" w:cs="Times New Roman"/>
          <w:szCs w:val="24"/>
        </w:rPr>
        <w:tab/>
      </w:r>
      <w:r>
        <w:rPr>
          <w:rFonts w:eastAsia="Arial Unicode MS" w:cs="Times New Roman"/>
          <w:szCs w:val="24"/>
        </w:rPr>
        <w:tab/>
        <w:t>Green performance Evaluation</w:t>
      </w:r>
    </w:p>
    <w:p w14:paraId="337387BC"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GER</w:t>
      </w:r>
      <w:r>
        <w:rPr>
          <w:rFonts w:eastAsia="Arial Unicode MS" w:cs="Times New Roman"/>
          <w:szCs w:val="24"/>
        </w:rPr>
        <w:tab/>
      </w:r>
      <w:r>
        <w:rPr>
          <w:rFonts w:eastAsia="Arial Unicode MS" w:cs="Times New Roman"/>
          <w:szCs w:val="24"/>
        </w:rPr>
        <w:tab/>
      </w:r>
      <w:r>
        <w:rPr>
          <w:rFonts w:eastAsia="Arial Unicode MS" w:cs="Times New Roman"/>
          <w:szCs w:val="24"/>
        </w:rPr>
        <w:tab/>
        <w:t>Green Employee Resourcing</w:t>
      </w:r>
    </w:p>
    <w:p w14:paraId="722AF329"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GOSH</w:t>
      </w:r>
      <w:r>
        <w:rPr>
          <w:rFonts w:eastAsia="Arial Unicode MS" w:cs="Times New Roman"/>
          <w:b/>
          <w:szCs w:val="24"/>
        </w:rPr>
        <w:tab/>
      </w:r>
      <w:r>
        <w:rPr>
          <w:rFonts w:eastAsia="Arial Unicode MS" w:cs="Times New Roman"/>
          <w:szCs w:val="24"/>
        </w:rPr>
        <w:tab/>
      </w:r>
      <w:r>
        <w:rPr>
          <w:rFonts w:eastAsia="Arial Unicode MS" w:cs="Times New Roman"/>
          <w:szCs w:val="24"/>
        </w:rPr>
        <w:tab/>
        <w:t>Green occupational Safety and Health</w:t>
      </w:r>
    </w:p>
    <w:p w14:paraId="74BF711D" w14:textId="77777777" w:rsidR="009F33CD" w:rsidRDefault="00E40740">
      <w:pPr>
        <w:spacing w:before="0" w:beforeAutospacing="0" w:after="0" w:afterAutospacing="0"/>
        <w:rPr>
          <w:rFonts w:cs="Times New Roman"/>
          <w:szCs w:val="24"/>
        </w:rPr>
      </w:pPr>
      <w:r>
        <w:rPr>
          <w:rFonts w:cs="Times New Roman"/>
          <w:b/>
          <w:szCs w:val="24"/>
        </w:rPr>
        <w:t>GT</w:t>
      </w:r>
      <w:r>
        <w:rPr>
          <w:rFonts w:cs="Times New Roman"/>
          <w:szCs w:val="24"/>
        </w:rPr>
        <w:tab/>
      </w:r>
      <w:r>
        <w:rPr>
          <w:rFonts w:cs="Times New Roman"/>
          <w:szCs w:val="24"/>
        </w:rPr>
        <w:tab/>
      </w:r>
      <w:r>
        <w:rPr>
          <w:rFonts w:cs="Times New Roman"/>
          <w:szCs w:val="24"/>
        </w:rPr>
        <w:tab/>
        <w:t>Green training</w:t>
      </w:r>
    </w:p>
    <w:p w14:paraId="6F63643D"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HR</w:t>
      </w:r>
      <w:r>
        <w:rPr>
          <w:rFonts w:eastAsia="Arial Unicode MS" w:cs="Times New Roman"/>
          <w:szCs w:val="24"/>
        </w:rPr>
        <w:tab/>
      </w:r>
      <w:r>
        <w:rPr>
          <w:rFonts w:eastAsia="Arial Unicode MS" w:cs="Times New Roman"/>
          <w:szCs w:val="24"/>
        </w:rPr>
        <w:tab/>
      </w:r>
      <w:r>
        <w:rPr>
          <w:rFonts w:eastAsia="Arial Unicode MS" w:cs="Times New Roman"/>
          <w:szCs w:val="24"/>
        </w:rPr>
        <w:tab/>
        <w:t>Human Resource</w:t>
      </w:r>
    </w:p>
    <w:p w14:paraId="530957FE" w14:textId="77777777" w:rsidR="009F33CD" w:rsidRDefault="00E40740">
      <w:pPr>
        <w:spacing w:before="0" w:beforeAutospacing="0" w:after="0" w:afterAutospacing="0"/>
        <w:rPr>
          <w:rFonts w:cs="Times New Roman"/>
          <w:szCs w:val="24"/>
        </w:rPr>
      </w:pPr>
      <w:r>
        <w:rPr>
          <w:rFonts w:cs="Times New Roman"/>
          <w:b/>
          <w:szCs w:val="24"/>
        </w:rPr>
        <w:t>HRH</w:t>
      </w:r>
      <w:r>
        <w:rPr>
          <w:rFonts w:cs="Times New Roman"/>
          <w:szCs w:val="24"/>
        </w:rPr>
        <w:tab/>
      </w:r>
      <w:r>
        <w:rPr>
          <w:rFonts w:cs="Times New Roman"/>
          <w:szCs w:val="24"/>
        </w:rPr>
        <w:tab/>
      </w:r>
      <w:r>
        <w:rPr>
          <w:rFonts w:cs="Times New Roman"/>
          <w:szCs w:val="24"/>
        </w:rPr>
        <w:tab/>
        <w:t>Human Resources for Health</w:t>
      </w:r>
    </w:p>
    <w:p w14:paraId="28819167" w14:textId="77777777" w:rsidR="009F33CD" w:rsidRDefault="00E40740">
      <w:pPr>
        <w:spacing w:before="0" w:beforeAutospacing="0" w:after="0" w:afterAutospacing="0"/>
        <w:rPr>
          <w:rFonts w:cs="Times New Roman"/>
          <w:szCs w:val="24"/>
        </w:rPr>
      </w:pPr>
      <w:r>
        <w:rPr>
          <w:rFonts w:cs="Times New Roman"/>
          <w:b/>
          <w:bCs/>
          <w:szCs w:val="24"/>
        </w:rPr>
        <w:t>HRM</w:t>
      </w:r>
      <w:r>
        <w:rPr>
          <w:rFonts w:cs="Times New Roman"/>
          <w:b/>
          <w:bCs/>
          <w:szCs w:val="24"/>
        </w:rPr>
        <w:tab/>
      </w:r>
      <w:r>
        <w:rPr>
          <w:rFonts w:cs="Times New Roman"/>
          <w:szCs w:val="24"/>
        </w:rPr>
        <w:tab/>
      </w:r>
      <w:r>
        <w:rPr>
          <w:rFonts w:cs="Times New Roman"/>
          <w:szCs w:val="24"/>
        </w:rPr>
        <w:tab/>
        <w:t>Human Resource Management</w:t>
      </w:r>
    </w:p>
    <w:p w14:paraId="0DB3E600" w14:textId="77777777" w:rsidR="009F33CD" w:rsidRDefault="00E40740">
      <w:pPr>
        <w:spacing w:before="0" w:beforeAutospacing="0" w:after="0" w:afterAutospacing="0"/>
        <w:rPr>
          <w:rFonts w:cs="Times New Roman"/>
          <w:bCs/>
          <w:szCs w:val="24"/>
        </w:rPr>
      </w:pPr>
      <w:r>
        <w:rPr>
          <w:rFonts w:cs="Times New Roman"/>
          <w:b/>
          <w:bCs/>
          <w:szCs w:val="24"/>
        </w:rPr>
        <w:t>JKUAT</w:t>
      </w:r>
      <w:r>
        <w:rPr>
          <w:rFonts w:cs="Times New Roman"/>
          <w:bCs/>
          <w:szCs w:val="24"/>
        </w:rPr>
        <w:tab/>
      </w:r>
      <w:r>
        <w:rPr>
          <w:rFonts w:cs="Times New Roman"/>
          <w:bCs/>
          <w:szCs w:val="24"/>
        </w:rPr>
        <w:tab/>
        <w:t>Jomo Kenyatta University of Agriculture and Technology</w:t>
      </w:r>
    </w:p>
    <w:p w14:paraId="498B4FB6" w14:textId="77777777" w:rsidR="009F33CD" w:rsidRDefault="00E40740">
      <w:pPr>
        <w:spacing w:before="0" w:beforeAutospacing="0" w:after="0" w:afterAutospacing="0"/>
        <w:rPr>
          <w:rFonts w:cs="Times New Roman"/>
          <w:szCs w:val="24"/>
        </w:rPr>
      </w:pPr>
      <w:r>
        <w:rPr>
          <w:rFonts w:cs="Times New Roman"/>
          <w:b/>
          <w:szCs w:val="24"/>
        </w:rPr>
        <w:t>KHSIP</w:t>
      </w:r>
      <w:r>
        <w:rPr>
          <w:rFonts w:cs="Times New Roman"/>
          <w:b/>
          <w:szCs w:val="24"/>
        </w:rPr>
        <w:tab/>
      </w:r>
      <w:r>
        <w:rPr>
          <w:rFonts w:cs="Times New Roman"/>
          <w:szCs w:val="24"/>
        </w:rPr>
        <w:tab/>
        <w:t xml:space="preserve">Kenya Health Sector Strategic and Investment Plan </w:t>
      </w:r>
    </w:p>
    <w:p w14:paraId="007DDE6D" w14:textId="77777777" w:rsidR="009F33CD" w:rsidRDefault="00E40740">
      <w:pPr>
        <w:spacing w:before="0" w:beforeAutospacing="0" w:after="0" w:afterAutospacing="0"/>
        <w:rPr>
          <w:rFonts w:cs="Times New Roman"/>
          <w:bCs/>
          <w:szCs w:val="24"/>
        </w:rPr>
      </w:pPr>
      <w:r>
        <w:rPr>
          <w:rFonts w:cs="Times New Roman"/>
          <w:b/>
          <w:bCs/>
          <w:szCs w:val="24"/>
        </w:rPr>
        <w:t>MOH</w:t>
      </w:r>
      <w:r>
        <w:rPr>
          <w:rFonts w:cs="Times New Roman"/>
          <w:bCs/>
          <w:szCs w:val="24"/>
        </w:rPr>
        <w:tab/>
      </w:r>
      <w:r>
        <w:rPr>
          <w:rFonts w:cs="Times New Roman"/>
          <w:bCs/>
          <w:szCs w:val="24"/>
        </w:rPr>
        <w:tab/>
      </w:r>
      <w:r>
        <w:rPr>
          <w:rFonts w:cs="Times New Roman"/>
          <w:bCs/>
          <w:szCs w:val="24"/>
        </w:rPr>
        <w:tab/>
        <w:t>Ministry of Health</w:t>
      </w:r>
    </w:p>
    <w:p w14:paraId="77CA9EE3" w14:textId="77777777" w:rsidR="009F33CD" w:rsidRDefault="00E40740">
      <w:pPr>
        <w:spacing w:before="0" w:beforeAutospacing="0" w:after="0" w:afterAutospacing="0"/>
        <w:rPr>
          <w:rFonts w:cs="Times New Roman"/>
          <w:bCs/>
          <w:szCs w:val="24"/>
        </w:rPr>
      </w:pPr>
      <w:r>
        <w:rPr>
          <w:rFonts w:cs="Times New Roman"/>
          <w:b/>
          <w:bCs/>
          <w:szCs w:val="24"/>
        </w:rPr>
        <w:t>NACOST</w:t>
      </w:r>
      <w:r>
        <w:rPr>
          <w:rFonts w:cs="Times New Roman"/>
          <w:bCs/>
          <w:szCs w:val="24"/>
        </w:rPr>
        <w:tab/>
      </w:r>
      <w:r>
        <w:rPr>
          <w:rFonts w:cs="Times New Roman"/>
          <w:bCs/>
          <w:szCs w:val="24"/>
        </w:rPr>
        <w:tab/>
        <w:t xml:space="preserve">National Council for Science and Technology </w:t>
      </w:r>
    </w:p>
    <w:p w14:paraId="333E5983" w14:textId="77777777" w:rsidR="009F33CD" w:rsidRDefault="00E40740">
      <w:pPr>
        <w:spacing w:before="0" w:beforeAutospacing="0" w:after="0" w:afterAutospacing="0"/>
        <w:rPr>
          <w:rFonts w:cs="Times New Roman"/>
          <w:bCs/>
          <w:szCs w:val="24"/>
        </w:rPr>
      </w:pPr>
      <w:r>
        <w:rPr>
          <w:rFonts w:cs="Times New Roman"/>
          <w:b/>
          <w:bCs/>
          <w:szCs w:val="24"/>
        </w:rPr>
        <w:t>OSHA</w:t>
      </w:r>
      <w:r>
        <w:rPr>
          <w:rFonts w:cs="Times New Roman"/>
          <w:bCs/>
          <w:szCs w:val="24"/>
        </w:rPr>
        <w:tab/>
      </w:r>
      <w:r>
        <w:rPr>
          <w:rFonts w:cs="Times New Roman"/>
          <w:bCs/>
          <w:szCs w:val="24"/>
        </w:rPr>
        <w:tab/>
      </w:r>
      <w:r>
        <w:rPr>
          <w:rFonts w:cs="Times New Roman"/>
          <w:bCs/>
          <w:szCs w:val="24"/>
        </w:rPr>
        <w:tab/>
        <w:t>Occupational Safety and Health Act</w:t>
      </w:r>
    </w:p>
    <w:p w14:paraId="79FCBCF2" w14:textId="77777777" w:rsidR="009F33CD" w:rsidRDefault="00E40740">
      <w:pPr>
        <w:spacing w:before="0" w:beforeAutospacing="0" w:after="0" w:afterAutospacing="0"/>
        <w:rPr>
          <w:rFonts w:cs="Times New Roman"/>
          <w:bCs/>
          <w:szCs w:val="24"/>
        </w:rPr>
      </w:pPr>
      <w:r>
        <w:rPr>
          <w:rFonts w:cs="Times New Roman"/>
          <w:b/>
          <w:szCs w:val="24"/>
        </w:rPr>
        <w:t>PPE</w:t>
      </w:r>
      <w:r>
        <w:rPr>
          <w:rFonts w:cs="Times New Roman"/>
          <w:b/>
          <w:szCs w:val="24"/>
        </w:rPr>
        <w:tab/>
      </w:r>
      <w:r>
        <w:rPr>
          <w:rFonts w:cs="Times New Roman"/>
          <w:bCs/>
          <w:szCs w:val="24"/>
        </w:rPr>
        <w:tab/>
      </w:r>
      <w:r>
        <w:rPr>
          <w:rFonts w:cs="Times New Roman"/>
          <w:bCs/>
          <w:szCs w:val="24"/>
        </w:rPr>
        <w:tab/>
        <w:t>Personal Protective Equipment</w:t>
      </w:r>
    </w:p>
    <w:p w14:paraId="6FE97F41" w14:textId="77777777" w:rsidR="009F33CD" w:rsidRDefault="00E40740">
      <w:pPr>
        <w:spacing w:before="0" w:beforeAutospacing="0" w:after="0" w:afterAutospacing="0"/>
        <w:rPr>
          <w:rFonts w:cs="Times New Roman"/>
          <w:szCs w:val="24"/>
        </w:rPr>
      </w:pPr>
      <w:r>
        <w:rPr>
          <w:rFonts w:cs="Times New Roman"/>
          <w:b/>
          <w:szCs w:val="24"/>
        </w:rPr>
        <w:t>SHRM</w:t>
      </w:r>
      <w:r>
        <w:rPr>
          <w:rFonts w:cs="Times New Roman"/>
          <w:szCs w:val="24"/>
        </w:rPr>
        <w:tab/>
      </w:r>
      <w:r>
        <w:rPr>
          <w:rFonts w:cs="Times New Roman"/>
          <w:szCs w:val="24"/>
        </w:rPr>
        <w:tab/>
        <w:t>Strategic Human Resource Management</w:t>
      </w:r>
    </w:p>
    <w:p w14:paraId="6BC3DDD1"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SPSS</w:t>
      </w:r>
      <w:r>
        <w:rPr>
          <w:rFonts w:eastAsia="Arial Unicode MS" w:cs="Times New Roman"/>
          <w:b/>
          <w:szCs w:val="24"/>
        </w:rPr>
        <w:tab/>
      </w:r>
      <w:r>
        <w:rPr>
          <w:rFonts w:eastAsia="Arial Unicode MS" w:cs="Times New Roman"/>
          <w:szCs w:val="24"/>
        </w:rPr>
        <w:tab/>
      </w:r>
      <w:r>
        <w:rPr>
          <w:rFonts w:eastAsia="Arial Unicode MS" w:cs="Times New Roman"/>
          <w:szCs w:val="24"/>
        </w:rPr>
        <w:tab/>
      </w:r>
      <w:r>
        <w:rPr>
          <w:rFonts w:eastAsia="TimesNewRomanPSMT" w:cs="Times New Roman"/>
          <w:bCs/>
          <w:szCs w:val="24"/>
        </w:rPr>
        <w:t>Statistical Package for Social Sciences</w:t>
      </w:r>
    </w:p>
    <w:p w14:paraId="542188D8" w14:textId="77777777" w:rsidR="009F33CD" w:rsidRDefault="00E40740">
      <w:pPr>
        <w:spacing w:before="0" w:beforeAutospacing="0" w:after="0" w:afterAutospacing="0"/>
        <w:rPr>
          <w:rFonts w:eastAsia="Arial Unicode MS" w:cs="Times New Roman"/>
          <w:szCs w:val="24"/>
        </w:rPr>
      </w:pPr>
      <w:r>
        <w:rPr>
          <w:rFonts w:eastAsia="Arial Unicode MS" w:cs="Times New Roman"/>
          <w:b/>
          <w:szCs w:val="24"/>
        </w:rPr>
        <w:t>WHO</w:t>
      </w:r>
      <w:r>
        <w:rPr>
          <w:rFonts w:eastAsia="Arial Unicode MS" w:cs="Times New Roman"/>
          <w:szCs w:val="24"/>
        </w:rPr>
        <w:tab/>
      </w:r>
      <w:r>
        <w:rPr>
          <w:rFonts w:eastAsia="Arial Unicode MS" w:cs="Times New Roman"/>
          <w:szCs w:val="24"/>
        </w:rPr>
        <w:tab/>
      </w:r>
      <w:r>
        <w:rPr>
          <w:rFonts w:eastAsia="Arial Unicode MS" w:cs="Times New Roman"/>
          <w:szCs w:val="24"/>
        </w:rPr>
        <w:tab/>
        <w:t>World Health Organization</w:t>
      </w:r>
    </w:p>
    <w:p w14:paraId="258BB24B" w14:textId="77777777" w:rsidR="009F33CD" w:rsidRDefault="00E40740">
      <w:pPr>
        <w:autoSpaceDE/>
        <w:autoSpaceDN/>
        <w:adjustRightInd/>
        <w:spacing w:before="0" w:beforeAutospacing="0" w:after="0" w:afterAutospacing="0"/>
        <w:rPr>
          <w:rFonts w:eastAsia="Arial Unicode MS" w:cs="Times New Roman"/>
          <w:b/>
          <w:kern w:val="32"/>
          <w:szCs w:val="24"/>
        </w:rPr>
      </w:pPr>
      <w:r>
        <w:rPr>
          <w:rFonts w:eastAsia="Arial Unicode MS" w:cs="Times New Roman"/>
          <w:szCs w:val="24"/>
        </w:rPr>
        <w:br w:type="page"/>
      </w:r>
    </w:p>
    <w:p w14:paraId="7B43A954" w14:textId="77777777" w:rsidR="009F33CD" w:rsidRDefault="00E40740" w:rsidP="00E05716">
      <w:pPr>
        <w:pStyle w:val="Heading1"/>
        <w:rPr>
          <w:lang w:val="en-US"/>
        </w:rPr>
      </w:pPr>
      <w:bookmarkStart w:id="18" w:name="_Toc224237646"/>
      <w:r>
        <w:lastRenderedPageBreak/>
        <w:t xml:space="preserve">DEFINITION OF </w:t>
      </w:r>
      <w:r w:rsidR="00E05716">
        <w:t xml:space="preserve">OPERATIONAL </w:t>
      </w:r>
      <w:r>
        <w:t>TERM</w:t>
      </w:r>
      <w:r>
        <w:rPr>
          <w:lang w:val="en-US"/>
        </w:rPr>
        <w:t>S</w:t>
      </w:r>
      <w:bookmarkEnd w:id="18"/>
    </w:p>
    <w:p w14:paraId="6DC403A8" w14:textId="77777777" w:rsidR="00126B57" w:rsidRDefault="00E05716" w:rsidP="00E05716">
      <w:pPr>
        <w:ind w:left="1560" w:hanging="1560"/>
      </w:pPr>
      <w:r w:rsidRPr="00E05716">
        <w:rPr>
          <w:b/>
        </w:rPr>
        <w:t>G</w:t>
      </w:r>
      <w:r>
        <w:rPr>
          <w:b/>
        </w:rPr>
        <w:t>r</w:t>
      </w:r>
      <w:r w:rsidR="00126B57" w:rsidRPr="00E05716">
        <w:rPr>
          <w:b/>
        </w:rPr>
        <w:t>een</w:t>
      </w:r>
      <w:r w:rsidR="00126B57" w:rsidRPr="00E05716">
        <w:t xml:space="preserve"> </w:t>
      </w:r>
      <w:r w:rsidR="00126B57" w:rsidRPr="00126B57">
        <w:rPr>
          <w:b/>
          <w:bCs/>
        </w:rPr>
        <w:t>Hum</w:t>
      </w:r>
      <w:r>
        <w:rPr>
          <w:b/>
          <w:bCs/>
        </w:rPr>
        <w:t>an Resource Management practice</w:t>
      </w:r>
      <w:r w:rsidR="001B7BDB">
        <w:rPr>
          <w:b/>
          <w:bCs/>
        </w:rPr>
        <w:t>:</w:t>
      </w:r>
      <w:r w:rsidR="00982831">
        <w:rPr>
          <w:b/>
          <w:bCs/>
        </w:rPr>
        <w:t xml:space="preserve"> </w:t>
      </w:r>
      <w:r w:rsidR="00126B57" w:rsidRPr="00126B57">
        <w:t>is defined as the application of HRM policies and practices by management to attain sustainable utilization of organization resources while promoting environmental sustainability which also boosts employee motivation and satisfaction (Mampra, 2013).</w:t>
      </w:r>
    </w:p>
    <w:p w14:paraId="13CD45E3" w14:textId="77777777" w:rsidR="00126B57" w:rsidRPr="00126B57" w:rsidRDefault="00E05716" w:rsidP="00E05716">
      <w:pPr>
        <w:ind w:left="1560" w:hanging="1560"/>
        <w:rPr>
          <w:rFonts w:cs="Times New Roman"/>
          <w:b/>
          <w:bCs/>
          <w:szCs w:val="24"/>
        </w:rPr>
      </w:pPr>
      <w:r>
        <w:rPr>
          <w:rFonts w:cs="Times New Roman"/>
          <w:b/>
          <w:bCs/>
          <w:szCs w:val="24"/>
        </w:rPr>
        <w:t>Management style</w:t>
      </w:r>
      <w:r w:rsidR="009B131C">
        <w:rPr>
          <w:rFonts w:cs="Times New Roman"/>
          <w:b/>
          <w:bCs/>
          <w:szCs w:val="24"/>
        </w:rPr>
        <w:t>:</w:t>
      </w:r>
      <w:r w:rsidR="00392715">
        <w:rPr>
          <w:rFonts w:cs="Times New Roman"/>
          <w:b/>
          <w:bCs/>
          <w:szCs w:val="24"/>
        </w:rPr>
        <w:t xml:space="preserve"> </w:t>
      </w:r>
      <w:r w:rsidR="00126B57" w:rsidRPr="00126B57">
        <w:rPr>
          <w:rFonts w:cs="Times New Roman"/>
          <w:szCs w:val="24"/>
        </w:rPr>
        <w:t>is the pattern of relationship that a manager exhibits as s/he directs and coordinates the activities of others to achieve organizational goals (Ayub, 2014). Management style can influence attainment of an organization mission, allocation of resources, and implementation of eco-friendly changes that are necessary for an organization to enhance performance and gain competitive advantage.</w:t>
      </w:r>
    </w:p>
    <w:p w14:paraId="44FEC0B3" w14:textId="77777777" w:rsidR="00126B57" w:rsidRDefault="00E05716" w:rsidP="00E05716">
      <w:pPr>
        <w:ind w:left="1560" w:hanging="1560"/>
        <w:rPr>
          <w:rFonts w:cs="Times New Roman"/>
          <w:b/>
          <w:bCs/>
          <w:szCs w:val="24"/>
        </w:rPr>
      </w:pPr>
      <w:r>
        <w:rPr>
          <w:rFonts w:cs="Times New Roman"/>
          <w:b/>
          <w:bCs/>
          <w:szCs w:val="24"/>
        </w:rPr>
        <w:t>Devolved Healthc</w:t>
      </w:r>
      <w:r w:rsidR="00AC4A23">
        <w:rPr>
          <w:rFonts w:cs="Times New Roman"/>
          <w:b/>
          <w:bCs/>
          <w:szCs w:val="24"/>
        </w:rPr>
        <w:t>are</w:t>
      </w:r>
      <w:r w:rsidR="00126B57" w:rsidRPr="00126B57">
        <w:rPr>
          <w:rFonts w:cs="Times New Roman"/>
          <w:b/>
          <w:bCs/>
          <w:szCs w:val="24"/>
        </w:rPr>
        <w:t xml:space="preserve"> services</w:t>
      </w:r>
      <w:r w:rsidR="001B7BDB">
        <w:rPr>
          <w:rFonts w:cs="Times New Roman"/>
          <w:b/>
          <w:bCs/>
          <w:szCs w:val="24"/>
        </w:rPr>
        <w:t>:</w:t>
      </w:r>
      <w:r w:rsidR="00126B57" w:rsidRPr="00126B57">
        <w:rPr>
          <w:rFonts w:cs="Times New Roman"/>
          <w:b/>
          <w:bCs/>
          <w:szCs w:val="24"/>
        </w:rPr>
        <w:t xml:space="preserve"> </w:t>
      </w:r>
      <w:r w:rsidR="00126B57" w:rsidRPr="00126B57">
        <w:rPr>
          <w:rFonts w:cs="Times New Roman"/>
          <w:szCs w:val="24"/>
        </w:rPr>
        <w:t xml:space="preserve">mean any services provided by a health care professional to meet the health needs of the population, in accordance with established policies (The Kenya Health Act, 2017). </w:t>
      </w:r>
      <w:r w:rsidR="00126B57" w:rsidRPr="00126B57">
        <w:rPr>
          <w:rFonts w:cs="Times New Roman"/>
          <w:szCs w:val="24"/>
          <w:lang w:val="en-US"/>
        </w:rPr>
        <w:t>For this study, d</w:t>
      </w:r>
      <w:r w:rsidR="00126B57" w:rsidRPr="00126B57">
        <w:rPr>
          <w:rFonts w:cs="Times New Roman"/>
          <w:szCs w:val="24"/>
        </w:rPr>
        <w:t xml:space="preserve">evolved Healthcare service is </w:t>
      </w:r>
      <w:r w:rsidR="00126B57" w:rsidRPr="00126B57">
        <w:rPr>
          <w:rFonts w:cs="Times New Roman"/>
          <w:szCs w:val="24"/>
          <w:lang w:val="en-US"/>
        </w:rPr>
        <w:t>assessed through</w:t>
      </w:r>
      <w:r w:rsidR="00126B57" w:rsidRPr="00126B57">
        <w:rPr>
          <w:rFonts w:cs="Times New Roman"/>
          <w:szCs w:val="24"/>
        </w:rPr>
        <w:t xml:space="preserve"> devolved or decentralized </w:t>
      </w:r>
      <w:r w:rsidR="00126B57" w:rsidRPr="00126B57">
        <w:rPr>
          <w:rFonts w:cs="Times New Roman"/>
          <w:szCs w:val="24"/>
          <w:lang w:val="en-US"/>
        </w:rPr>
        <w:t xml:space="preserve">Level Five hospitals. </w:t>
      </w:r>
    </w:p>
    <w:p w14:paraId="7C336572" w14:textId="77777777" w:rsidR="00126B57" w:rsidRPr="00126B57" w:rsidRDefault="00126B57" w:rsidP="00E05716">
      <w:pPr>
        <w:ind w:left="1560" w:hanging="1560"/>
        <w:rPr>
          <w:rFonts w:cs="Times New Roman"/>
          <w:b/>
          <w:bCs/>
          <w:szCs w:val="24"/>
        </w:rPr>
      </w:pPr>
      <w:r w:rsidRPr="00126B57">
        <w:rPr>
          <w:rFonts w:cs="Times New Roman"/>
          <w:b/>
          <w:bCs/>
          <w:szCs w:val="24"/>
        </w:rPr>
        <w:t xml:space="preserve">Performance </w:t>
      </w:r>
      <w:r w:rsidR="00E05716">
        <w:rPr>
          <w:rFonts w:cs="Times New Roman"/>
          <w:b/>
          <w:bCs/>
          <w:szCs w:val="24"/>
        </w:rPr>
        <w:t>of devolved healthcare services</w:t>
      </w:r>
      <w:r w:rsidR="009B131C">
        <w:rPr>
          <w:rFonts w:cs="Times New Roman"/>
          <w:b/>
          <w:bCs/>
          <w:szCs w:val="24"/>
        </w:rPr>
        <w:t>:</w:t>
      </w:r>
      <w:r w:rsidR="00982831">
        <w:rPr>
          <w:rFonts w:cs="Times New Roman"/>
          <w:b/>
          <w:bCs/>
          <w:szCs w:val="24"/>
        </w:rPr>
        <w:t xml:space="preserve"> </w:t>
      </w:r>
      <w:r w:rsidRPr="00126B57">
        <w:rPr>
          <w:rFonts w:cs="Times New Roman"/>
          <w:szCs w:val="24"/>
        </w:rPr>
        <w:t>refers to efficiently and effectively utilizing available resources to provide sustainable healthcare services at the local or regional level, following the decentralization of healthcare governance. It is measured by the number of patients attended to; level of patient satisfaction and amount of revenue collected to support this service.</w:t>
      </w:r>
    </w:p>
    <w:p w14:paraId="5AC7BF1F" w14:textId="77777777" w:rsidR="009F33CD" w:rsidRDefault="00E05716" w:rsidP="00E05716">
      <w:pPr>
        <w:ind w:left="1560" w:hanging="1560"/>
        <w:rPr>
          <w:rFonts w:cs="Times New Roman"/>
          <w:bCs/>
          <w:color w:val="000000"/>
          <w:szCs w:val="24"/>
          <w:lang w:val="en-US"/>
        </w:rPr>
      </w:pPr>
      <w:r>
        <w:rPr>
          <w:rFonts w:cs="Times New Roman"/>
          <w:b/>
          <w:szCs w:val="24"/>
        </w:rPr>
        <w:t>Green Employee Resourcing</w:t>
      </w:r>
      <w:r w:rsidR="001B7BDB">
        <w:rPr>
          <w:rFonts w:cs="Times New Roman"/>
          <w:b/>
          <w:szCs w:val="24"/>
        </w:rPr>
        <w:t>:</w:t>
      </w:r>
      <w:r w:rsidR="00982831">
        <w:rPr>
          <w:rFonts w:cs="Times New Roman"/>
          <w:b/>
          <w:szCs w:val="24"/>
        </w:rPr>
        <w:t xml:space="preserve"> </w:t>
      </w:r>
      <w:r w:rsidR="00E40740">
        <w:rPr>
          <w:rFonts w:cs="Times New Roman"/>
          <w:bCs/>
          <w:color w:val="000000"/>
          <w:szCs w:val="24"/>
        </w:rPr>
        <w:t xml:space="preserve">refers to the process of attracting and selecting prospective employees with ability, knowledge, skills and behaviours that identify that prospective employee with environmental management system (Shoeb &amp; </w:t>
      </w:r>
      <w:r w:rsidR="00E40740">
        <w:rPr>
          <w:rFonts w:cs="Times New Roman"/>
          <w:bCs/>
          <w:szCs w:val="24"/>
        </w:rPr>
        <w:t xml:space="preserve">Tahir, </w:t>
      </w:r>
      <w:r w:rsidR="00E40740">
        <w:rPr>
          <w:rFonts w:cs="Times New Roman"/>
          <w:bCs/>
          <w:color w:val="000000"/>
          <w:szCs w:val="24"/>
        </w:rPr>
        <w:t>2015).</w:t>
      </w:r>
      <w:r w:rsidR="00E40740">
        <w:rPr>
          <w:rFonts w:cs="Times New Roman"/>
          <w:bCs/>
          <w:color w:val="000000"/>
          <w:szCs w:val="24"/>
          <w:lang w:val="en-US"/>
        </w:rPr>
        <w:t xml:space="preserve"> GER will be measured using items on green recruitment, green selection and green criteria on 5-point likert scale. </w:t>
      </w:r>
    </w:p>
    <w:p w14:paraId="3BFBFA14" w14:textId="77777777" w:rsidR="00126B57" w:rsidRPr="00126B57" w:rsidRDefault="00126B57" w:rsidP="00E05716">
      <w:pPr>
        <w:ind w:left="1560" w:hanging="1560"/>
        <w:rPr>
          <w:rFonts w:cs="Times New Roman"/>
          <w:b/>
          <w:szCs w:val="24"/>
        </w:rPr>
      </w:pPr>
      <w:r w:rsidRPr="00126B57">
        <w:rPr>
          <w:rFonts w:cs="Times New Roman"/>
          <w:b/>
          <w:szCs w:val="24"/>
        </w:rPr>
        <w:lastRenderedPageBreak/>
        <w:t>Green training</w:t>
      </w:r>
      <w:r w:rsidR="001B7BDB">
        <w:rPr>
          <w:rFonts w:cs="Times New Roman"/>
          <w:b/>
          <w:szCs w:val="24"/>
        </w:rPr>
        <w:t>:</w:t>
      </w:r>
      <w:r w:rsidRPr="00126B57">
        <w:rPr>
          <w:rFonts w:cs="Times New Roman"/>
          <w:b/>
          <w:szCs w:val="24"/>
        </w:rPr>
        <w:t xml:space="preserve"> </w:t>
      </w:r>
      <w:r w:rsidR="00AC4A23">
        <w:rPr>
          <w:rFonts w:cs="Times New Roman"/>
          <w:szCs w:val="24"/>
        </w:rPr>
        <w:t>i</w:t>
      </w:r>
      <w:r w:rsidRPr="00126B57">
        <w:rPr>
          <w:rFonts w:cs="Times New Roman"/>
          <w:szCs w:val="24"/>
        </w:rPr>
        <w:t>s a practice or process of acquiring environmental-management related skills, knowledge, abilities and attitudes that can enhance organization performance and environmental sustainability (Abdulameer &amp; Ibrahim, 2025).</w:t>
      </w:r>
    </w:p>
    <w:p w14:paraId="4CB5A7BC" w14:textId="77777777" w:rsidR="009F33CD" w:rsidRDefault="00E40740" w:rsidP="00E05716">
      <w:pPr>
        <w:ind w:left="1560" w:hanging="1560"/>
        <w:rPr>
          <w:rFonts w:cs="Times New Roman"/>
          <w:szCs w:val="24"/>
        </w:rPr>
      </w:pPr>
      <w:r>
        <w:rPr>
          <w:rFonts w:cs="Times New Roman"/>
          <w:b/>
          <w:szCs w:val="24"/>
        </w:rPr>
        <w:t>Green</w:t>
      </w:r>
      <w:r w:rsidR="00E05716">
        <w:rPr>
          <w:rFonts w:cs="Times New Roman"/>
          <w:b/>
          <w:szCs w:val="24"/>
        </w:rPr>
        <w:t xml:space="preserve"> occupational safety and health</w:t>
      </w:r>
      <w:r w:rsidR="001B7BDB">
        <w:rPr>
          <w:rFonts w:cs="Times New Roman"/>
          <w:b/>
          <w:szCs w:val="24"/>
        </w:rPr>
        <w:t>:</w:t>
      </w:r>
      <w:r w:rsidR="00540B64">
        <w:rPr>
          <w:rFonts w:cs="Times New Roman"/>
          <w:b/>
          <w:szCs w:val="24"/>
        </w:rPr>
        <w:t xml:space="preserve"> </w:t>
      </w:r>
      <w:r>
        <w:rPr>
          <w:rStyle w:val="A4"/>
          <w:rFonts w:cs="Times New Roman"/>
          <w:sz w:val="24"/>
          <w:szCs w:val="24"/>
        </w:rPr>
        <w:t>is a multi-disciplinary approach targeting the protection and promotion of employee health through the development and promotion of healthy and safe work environments; enhancement of physical, mental and social well-being of employees; and enabling the employees to live socially and economically productive lives that contribute to sustainable development (WHO, 2012).</w:t>
      </w:r>
    </w:p>
    <w:p w14:paraId="6FF0A24C" w14:textId="77777777" w:rsidR="009F33CD" w:rsidRDefault="00E40740" w:rsidP="00E05716">
      <w:pPr>
        <w:ind w:left="1560" w:hanging="1560"/>
        <w:rPr>
          <w:rFonts w:cs="Times New Roman"/>
          <w:szCs w:val="24"/>
          <w:lang w:val="en-US"/>
        </w:rPr>
      </w:pPr>
      <w:r>
        <w:rPr>
          <w:rFonts w:cs="Times New Roman"/>
          <w:b/>
          <w:szCs w:val="24"/>
        </w:rPr>
        <w:t>Green performance evaluation</w:t>
      </w:r>
      <w:r w:rsidR="001B7BDB">
        <w:rPr>
          <w:rFonts w:cs="Times New Roman"/>
          <w:b/>
          <w:szCs w:val="24"/>
        </w:rPr>
        <w:t>:</w:t>
      </w:r>
      <w:r w:rsidR="00540B64">
        <w:rPr>
          <w:rFonts w:cs="Times New Roman"/>
          <w:bCs/>
          <w:szCs w:val="24"/>
        </w:rPr>
        <w:t xml:space="preserve"> </w:t>
      </w:r>
      <w:r>
        <w:rPr>
          <w:rFonts w:cs="Times New Roman"/>
          <w:bCs/>
          <w:szCs w:val="24"/>
        </w:rPr>
        <w:t xml:space="preserve">is a process of evaluating the performance of an employee </w:t>
      </w:r>
      <w:r>
        <w:rPr>
          <w:rFonts w:cs="Times New Roman"/>
          <w:szCs w:val="24"/>
        </w:rPr>
        <w:t>in terms of objectives and targets indicated in the job description and linked with the environmental performance and audit of the organization</w:t>
      </w:r>
      <w:r w:rsidR="007A2440">
        <w:rPr>
          <w:rFonts w:cs="Times New Roman"/>
          <w:szCs w:val="24"/>
        </w:rPr>
        <w:t xml:space="preserve"> (Mehta &amp; Chugan, 2015)</w:t>
      </w:r>
      <w:r>
        <w:rPr>
          <w:rFonts w:cs="Times New Roman"/>
          <w:szCs w:val="24"/>
        </w:rPr>
        <w:t>.</w:t>
      </w:r>
      <w:r>
        <w:rPr>
          <w:rFonts w:cs="Times New Roman"/>
          <w:szCs w:val="24"/>
          <w:lang w:val="en-US"/>
        </w:rPr>
        <w:t xml:space="preserve"> </w:t>
      </w:r>
    </w:p>
    <w:p w14:paraId="7D8F36FD" w14:textId="77777777" w:rsidR="00126B57" w:rsidRDefault="00E40740" w:rsidP="00E05716">
      <w:pPr>
        <w:ind w:left="1560" w:hanging="1560"/>
        <w:rPr>
          <w:rFonts w:cs="Times New Roman"/>
          <w:szCs w:val="24"/>
        </w:rPr>
      </w:pPr>
      <w:r>
        <w:rPr>
          <w:rFonts w:cs="Times New Roman"/>
          <w:b/>
          <w:szCs w:val="24"/>
        </w:rPr>
        <w:t>Green recruitmen</w:t>
      </w:r>
      <w:r w:rsidR="00E05716">
        <w:rPr>
          <w:rFonts w:cs="Times New Roman"/>
          <w:b/>
          <w:szCs w:val="24"/>
        </w:rPr>
        <w:t>t</w:t>
      </w:r>
      <w:r w:rsidR="009653C4">
        <w:rPr>
          <w:rFonts w:cs="Times New Roman"/>
          <w:b/>
          <w:szCs w:val="24"/>
        </w:rPr>
        <w:t>:</w:t>
      </w:r>
      <w:r w:rsidR="00E05716">
        <w:rPr>
          <w:rFonts w:cs="Times New Roman"/>
          <w:b/>
          <w:szCs w:val="24"/>
        </w:rPr>
        <w:tab/>
      </w:r>
      <w:r>
        <w:rPr>
          <w:rFonts w:cs="Times New Roman"/>
          <w:bCs/>
          <w:szCs w:val="24"/>
        </w:rPr>
        <w:t>is the process of locating and encouraging potential applicants with environmental management knowledge and ability to apply for existing or anticipated job positions</w:t>
      </w:r>
      <w:r w:rsidR="007A2440">
        <w:rPr>
          <w:rFonts w:cs="Times New Roman"/>
          <w:bCs/>
          <w:szCs w:val="24"/>
        </w:rPr>
        <w:t xml:space="preserve"> (Walker et al., 2011)</w:t>
      </w:r>
      <w:r>
        <w:rPr>
          <w:rFonts w:cs="Times New Roman"/>
          <w:bCs/>
          <w:szCs w:val="24"/>
        </w:rPr>
        <w:t>.</w:t>
      </w:r>
    </w:p>
    <w:p w14:paraId="7A3D9200" w14:textId="77777777" w:rsidR="009F33CD" w:rsidRDefault="00E05716" w:rsidP="00E05716">
      <w:pPr>
        <w:ind w:left="1560" w:hanging="1560"/>
        <w:rPr>
          <w:rFonts w:cs="Times New Roman"/>
          <w:szCs w:val="24"/>
        </w:rPr>
      </w:pPr>
      <w:r>
        <w:rPr>
          <w:rFonts w:cs="Times New Roman"/>
          <w:b/>
          <w:bCs/>
          <w:szCs w:val="24"/>
        </w:rPr>
        <w:t>Organization Performance</w:t>
      </w:r>
      <w:r w:rsidR="009653C4">
        <w:rPr>
          <w:rFonts w:cs="Times New Roman"/>
          <w:b/>
          <w:bCs/>
          <w:szCs w:val="24"/>
        </w:rPr>
        <w:t>:</w:t>
      </w:r>
      <w:r>
        <w:rPr>
          <w:rFonts w:cs="Times New Roman"/>
          <w:b/>
          <w:bCs/>
          <w:szCs w:val="24"/>
        </w:rPr>
        <w:tab/>
      </w:r>
      <w:r w:rsidR="00E40740" w:rsidRPr="009653C4">
        <w:rPr>
          <w:rFonts w:cs="Times New Roman"/>
          <w:szCs w:val="24"/>
        </w:rPr>
        <w:t xml:space="preserve">is </w:t>
      </w:r>
      <w:r w:rsidR="00E40740">
        <w:rPr>
          <w:rFonts w:eastAsia="TimesNewRoman" w:cs="Times New Roman"/>
          <w:bCs/>
          <w:szCs w:val="24"/>
        </w:rPr>
        <w:t>the extent to which an organization achieves its vision, mission, and goals (Avena et al, 2017).</w:t>
      </w:r>
      <w:r w:rsidR="00E40740">
        <w:rPr>
          <w:rFonts w:cs="Times New Roman"/>
          <w:bCs/>
          <w:szCs w:val="24"/>
        </w:rPr>
        <w:t xml:space="preserve"> It is the result of both the performance of individuals and the performance of the organization as a whole.</w:t>
      </w:r>
    </w:p>
    <w:p w14:paraId="27170136" w14:textId="77777777" w:rsidR="009F33CD" w:rsidRDefault="00E40740">
      <w:pPr>
        <w:spacing w:before="0" w:beforeAutospacing="0" w:after="0" w:afterAutospacing="0"/>
        <w:ind w:left="1701" w:hanging="1701"/>
        <w:rPr>
          <w:rFonts w:cs="Times New Roman"/>
          <w:szCs w:val="24"/>
        </w:rPr>
      </w:pPr>
      <w:r>
        <w:rPr>
          <w:rFonts w:cs="Times New Roman"/>
          <w:szCs w:val="24"/>
        </w:rPr>
        <w:br w:type="page"/>
      </w:r>
    </w:p>
    <w:p w14:paraId="38964E28" w14:textId="77777777" w:rsidR="009F33CD" w:rsidRDefault="00E40740">
      <w:pPr>
        <w:pStyle w:val="Heading1"/>
      </w:pPr>
      <w:bookmarkStart w:id="19" w:name="_Toc224237647"/>
      <w:r>
        <w:lastRenderedPageBreak/>
        <w:t>ABSTRACT</w:t>
      </w:r>
      <w:bookmarkEnd w:id="19"/>
    </w:p>
    <w:p w14:paraId="794130B1" w14:textId="77777777" w:rsidR="009F33CD" w:rsidRDefault="00E40740">
      <w:pPr>
        <w:pStyle w:val="ListParagraph"/>
        <w:autoSpaceDE w:val="0"/>
        <w:autoSpaceDN w:val="0"/>
        <w:adjustRightInd w:val="0"/>
        <w:spacing w:after="100" w:line="240" w:lineRule="auto"/>
        <w:ind w:left="0"/>
        <w:rPr>
          <w:rFonts w:ascii="Times New Roman" w:eastAsia="SimSun" w:hAnsi="Times New Roman" w:cs="Times New Roman"/>
          <w:sz w:val="24"/>
          <w:szCs w:val="24"/>
        </w:rPr>
        <w:sectPr w:rsidR="009F33CD" w:rsidSect="008A6C7F">
          <w:footerReference w:type="even" r:id="rId10"/>
          <w:footerReference w:type="default" r:id="rId11"/>
          <w:pgSz w:w="11906" w:h="16838" w:code="9"/>
          <w:pgMar w:top="1985" w:right="1418" w:bottom="1418" w:left="2268" w:header="284" w:footer="284" w:gutter="0"/>
          <w:pgNumType w:fmt="lowerRoman" w:start="1"/>
          <w:cols w:space="720"/>
          <w:titlePg/>
          <w:docGrid w:linePitch="360"/>
        </w:sectPr>
      </w:pPr>
      <w:r>
        <w:rPr>
          <w:rFonts w:ascii="Times New Roman" w:hAnsi="Times New Roman" w:cs="Times New Roman"/>
          <w:sz w:val="24"/>
          <w:szCs w:val="24"/>
        </w:rPr>
        <w:t xml:space="preserve">A properly performing devolved healthcare service is important for ensuring adequate access to quality and affordable healthcare delivered through efficient and sustainable use of limited resources. However, performance of devolved healthcare services in Kenya has continued to experience both HR performance and systemic challenges such as staff shortages, low motivation, inadequate </w:t>
      </w:r>
      <w:r>
        <w:rPr>
          <w:rFonts w:ascii="Times New Roman" w:hAnsi="Times New Roman" w:cs="Times New Roman"/>
          <w:sz w:val="24"/>
          <w:szCs w:val="24"/>
          <w:lang w:val="en-US"/>
        </w:rPr>
        <w:t>skill-sets</w:t>
      </w:r>
      <w:r>
        <w:rPr>
          <w:rFonts w:ascii="Times New Roman" w:hAnsi="Times New Roman" w:cs="Times New Roman"/>
          <w:sz w:val="24"/>
          <w:szCs w:val="24"/>
        </w:rPr>
        <w:t xml:space="preserve"> for sustainable healthcare practices and inefficiencies in service delivery. Green human resource management practices have emerged as an important strategy in fostering sustainability performance across various sectors. Level five hospitals in Kenya are increasingly expected by regulatory framework to implement environmentally sustainable practices</w:t>
      </w:r>
      <w:r>
        <w:rPr>
          <w:rFonts w:ascii="Times New Roman" w:hAnsi="Times New Roman" w:cs="Times New Roman"/>
          <w:color w:val="000000"/>
          <w:sz w:val="24"/>
          <w:szCs w:val="24"/>
        </w:rPr>
        <w:t xml:space="preserve"> as they balance economic and social considerations in a highly competitive industry. The achievement of hospital </w:t>
      </w:r>
      <w:r>
        <w:rPr>
          <w:rFonts w:ascii="Times New Roman" w:hAnsi="Times New Roman" w:cs="Times New Roman"/>
          <w:color w:val="000000"/>
          <w:sz w:val="24"/>
          <w:szCs w:val="24"/>
          <w:lang w:val="en-US"/>
        </w:rPr>
        <w:t xml:space="preserve">performance </w:t>
      </w:r>
      <w:r>
        <w:rPr>
          <w:rFonts w:ascii="Times New Roman" w:hAnsi="Times New Roman" w:cs="Times New Roman"/>
          <w:color w:val="000000"/>
          <w:sz w:val="24"/>
          <w:szCs w:val="24"/>
        </w:rPr>
        <w:t xml:space="preserve">goals in an eco-friendly environment is usually determined by the effectiveness of its green HRM practices. </w:t>
      </w:r>
      <w:r>
        <w:rPr>
          <w:rFonts w:ascii="Times New Roman" w:hAnsi="Times New Roman" w:cs="Times New Roman"/>
          <w:sz w:val="24"/>
          <w:szCs w:val="24"/>
        </w:rPr>
        <w:t xml:space="preserve">This study aimed at determining the effect of green human resource management practices on performance of devolved healthcare services in Kenya. </w:t>
      </w:r>
      <w:r>
        <w:rPr>
          <w:rFonts w:ascii="Times New Roman" w:hAnsi="Times New Roman" w:cs="Times New Roman"/>
          <w:color w:val="000000"/>
          <w:sz w:val="24"/>
          <w:szCs w:val="24"/>
        </w:rPr>
        <w:t xml:space="preserve">The specific objectives of the study were to determine the effect of: green employee resourcing, green training, green occupational safety and health and green performance evaluation on performance of devolved healthcare services in Kenya. The study also determined the moderating effect of management style on the relationship between GHRM practices and performance of devolved healthcare services. </w:t>
      </w:r>
      <w:r>
        <w:rPr>
          <w:rFonts w:ascii="Times New Roman" w:hAnsi="Times New Roman" w:cs="Times New Roman"/>
          <w:sz w:val="24"/>
          <w:szCs w:val="24"/>
        </w:rPr>
        <w:t>A mixed-methods research design was used whereby the researchers combined the elements of quantitative and qualitative approaches. The study targeted 5,960 employees working in 12 Level Five Hospitals in Kenya. This study applied a multi-stage random sampling which refers to dividing the population into units or smaller and smaller groups and selecting the sample. In the first stage, simple random sampling was used to select four of the 12 Level Five Hospitals with an accessible population of 1310. In the second stage, purposive sampling was used to select a sample of 131 respondents representing 10 % of the accessible population. Data collection tools were questionnaire, interview and document analysis. Descriptive statistical analysis was done using frequencies, percentages, means and standard deviation. Qualitative data was analysed using content analysis and inferential statistics was done using correlation and regression analysis. Hypotheses were t</w:t>
      </w:r>
      <w:r>
        <w:rPr>
          <w:rFonts w:ascii="Times New Roman" w:hAnsi="Times New Roman" w:cs="Times New Roman"/>
          <w:color w:val="000000"/>
          <w:sz w:val="24"/>
          <w:szCs w:val="24"/>
        </w:rPr>
        <w:t xml:space="preserve">ested using one-way ANOVA test and f-test, while t-test was conducted to test the significance of explanatory variables on the dependent variable. The findings revealed that green employee resourcing, green training and green occupational safety and health had a strong and positive relationship with performance of devolved healthcare services. Green performance evaluation had a moderate positive relationship with performance of devolved healthcare services. It was concluded that GHRM practices individually and collectively had a statistically significant positive effect on performance of devolved healthcare services in Kenya. </w:t>
      </w:r>
      <w:r>
        <w:rPr>
          <w:rFonts w:ascii="Times New Roman" w:eastAsia="SimSun" w:hAnsi="Times New Roman" w:cs="Times New Roman"/>
          <w:sz w:val="24"/>
          <w:szCs w:val="24"/>
        </w:rPr>
        <w:t xml:space="preserve">Further, the findings revealed that management style had a statistically significant moderating effect on the relationship between green human resource management practices and performance of devolved healthcare services in Kenya. The study recommended that hospital managers and policy makers should develop and apply strong green HRM policies and practices to enhance performance of devolved healthcare services and sustainability. </w:t>
      </w:r>
    </w:p>
    <w:p w14:paraId="54F5E02C" w14:textId="77777777" w:rsidR="009F33CD" w:rsidRDefault="00E40740">
      <w:pPr>
        <w:pStyle w:val="Heading1"/>
      </w:pPr>
      <w:bookmarkStart w:id="20" w:name="_Toc224237648"/>
      <w:r>
        <w:lastRenderedPageBreak/>
        <w:t>CHAPTER ONE</w:t>
      </w:r>
      <w:bookmarkEnd w:id="0"/>
      <w:bookmarkEnd w:id="1"/>
      <w:bookmarkEnd w:id="2"/>
      <w:bookmarkEnd w:id="3"/>
      <w:bookmarkEnd w:id="4"/>
      <w:bookmarkEnd w:id="20"/>
    </w:p>
    <w:p w14:paraId="77A5EB25" w14:textId="77777777" w:rsidR="009F33CD" w:rsidRDefault="00E40740">
      <w:pPr>
        <w:pStyle w:val="Heading1"/>
      </w:pPr>
      <w:bookmarkStart w:id="21" w:name="_Toc398129152"/>
      <w:bookmarkStart w:id="22" w:name="_Toc398128744"/>
      <w:bookmarkStart w:id="23" w:name="_Toc418015878"/>
      <w:bookmarkStart w:id="24" w:name="_Toc275416725"/>
      <w:bookmarkStart w:id="25" w:name="_Toc224237649"/>
      <w:r>
        <w:t>INTRODUCTION</w:t>
      </w:r>
      <w:bookmarkEnd w:id="21"/>
      <w:bookmarkEnd w:id="22"/>
      <w:bookmarkEnd w:id="23"/>
      <w:bookmarkEnd w:id="24"/>
      <w:bookmarkEnd w:id="25"/>
    </w:p>
    <w:p w14:paraId="333AF19D" w14:textId="77777777" w:rsidR="009F33CD" w:rsidRDefault="00E40740">
      <w:pPr>
        <w:pStyle w:val="Heading2"/>
        <w:rPr>
          <w:rFonts w:eastAsia="Arial Unicode MS"/>
          <w:lang w:val="en-GB"/>
        </w:rPr>
      </w:pPr>
      <w:bookmarkStart w:id="26" w:name="_Toc274142821"/>
      <w:bookmarkStart w:id="27" w:name="_Toc275416726"/>
      <w:bookmarkStart w:id="28" w:name="_Toc398129153"/>
      <w:bookmarkStart w:id="29" w:name="_Toc418015879"/>
      <w:bookmarkStart w:id="30" w:name="_Toc398128745"/>
      <w:bookmarkStart w:id="31" w:name="_Toc224237650"/>
      <w:r>
        <w:rPr>
          <w:rFonts w:eastAsia="Arial Unicode MS"/>
          <w:lang w:val="en-GB"/>
        </w:rPr>
        <w:t xml:space="preserve">1.1 Background of the </w:t>
      </w:r>
      <w:bookmarkEnd w:id="26"/>
      <w:bookmarkEnd w:id="27"/>
      <w:r>
        <w:rPr>
          <w:rFonts w:eastAsia="Arial Unicode MS"/>
          <w:lang w:val="en-GB"/>
        </w:rPr>
        <w:t>Study</w:t>
      </w:r>
      <w:bookmarkEnd w:id="28"/>
      <w:bookmarkEnd w:id="29"/>
      <w:bookmarkEnd w:id="30"/>
      <w:bookmarkEnd w:id="31"/>
    </w:p>
    <w:p w14:paraId="7753E195" w14:textId="77777777" w:rsidR="008E542F" w:rsidRDefault="00E40740">
      <w:r>
        <w:t xml:space="preserve">The 2030 Agenda of United Nations Sustainable Development Goals adopted by member states in 2015 puts emphasis on the significance of solving problems facing countries currently in a sustainable manner to safeguard the needs of future generations (United Nations Environment Program, 2022). </w:t>
      </w:r>
      <w:r w:rsidR="008E542F" w:rsidRPr="008E542F">
        <w:rPr>
          <w:bCs/>
        </w:rPr>
        <w:t xml:space="preserve">The importance of GHRM practices has grown from global trends by the United Nations Environment Program advocating for a transition to a green economy and the International Labour Organization’s push for expanded job opportunities in green jobs, that is, jobs that benefit the environment and workers (Aburahma </w:t>
      </w:r>
      <w:r w:rsidR="008E542F" w:rsidRPr="008E542F">
        <w:rPr>
          <w:bCs/>
          <w:i/>
        </w:rPr>
        <w:t xml:space="preserve">et al., </w:t>
      </w:r>
      <w:r w:rsidR="008E542F" w:rsidRPr="008E542F">
        <w:rPr>
          <w:bCs/>
        </w:rPr>
        <w:t>2020).</w:t>
      </w:r>
      <w:r w:rsidR="008E542F" w:rsidRPr="008E542F">
        <w:rPr>
          <w:bCs/>
          <w:lang w:val="en-US"/>
        </w:rPr>
        <w:t xml:space="preserve"> </w:t>
      </w:r>
      <w:r>
        <w:t xml:space="preserve">Climate change and the preservation of natural ecosystems should be given priority as nations address their current problems such as health, education, poverty, and inequality. According to Ren </w:t>
      </w:r>
      <w:r>
        <w:rPr>
          <w:i/>
          <w:iCs/>
        </w:rPr>
        <w:t>et al</w:t>
      </w:r>
      <w:r>
        <w:t xml:space="preserve"> (2018), Green human resource management is an important mechanism that can be used to proactively address environmental issues of organizations.</w:t>
      </w:r>
    </w:p>
    <w:p w14:paraId="68021141" w14:textId="77777777" w:rsidR="00B865A3" w:rsidRDefault="00B865A3">
      <w:r w:rsidRPr="00B865A3">
        <w:t xml:space="preserve">The </w:t>
      </w:r>
      <w:r>
        <w:t>origin</w:t>
      </w:r>
      <w:r w:rsidRPr="00B865A3">
        <w:t xml:space="preserve"> of Green Human Resource Management </w:t>
      </w:r>
      <w:r w:rsidR="00FB2C57" w:rsidRPr="00B865A3">
        <w:t>is</w:t>
      </w:r>
      <w:r w:rsidRPr="00B865A3">
        <w:t xml:space="preserve"> traced back to the 1987 Brundtland Commission held in Rio de Janeiro, Brazil, which addressed urgent global threats such as climate change and environmental decay. These discussions centered on the principle of sustainable development, emphasizing the need to satisfy contemporary requirements without depleting the natural resources necessary for the survival of future generations</w:t>
      </w:r>
      <w:r w:rsidR="00F53C07">
        <w:t>.</w:t>
      </w:r>
      <w:r w:rsidR="000306D9">
        <w:t xml:space="preserve"> </w:t>
      </w:r>
      <w:r w:rsidR="00AA6796">
        <w:t>A</w:t>
      </w:r>
      <w:r w:rsidR="00AA6796" w:rsidRPr="00AA6796">
        <w:t>n organization's transition to environmental consciousness is fundamentally dependent on its staff, who serve as the ultimate determinants of the initiative's success</w:t>
      </w:r>
      <w:r w:rsidR="00AA6796">
        <w:t xml:space="preserve"> (</w:t>
      </w:r>
      <w:r w:rsidR="00AA6796" w:rsidRPr="00AA6796">
        <w:t>Wehrmeyer</w:t>
      </w:r>
      <w:r w:rsidR="00AA6796">
        <w:t xml:space="preserve">, </w:t>
      </w:r>
      <w:r w:rsidR="00F53C07">
        <w:t>2017</w:t>
      </w:r>
      <w:r w:rsidR="00AA6796" w:rsidRPr="00AA6796">
        <w:t>)</w:t>
      </w:r>
      <w:r w:rsidR="00FB2C57" w:rsidRPr="00FB2C57">
        <w:t>. Achieving sustainable industrial progress is only possible when every individual in the organization contributes through their own energy, dedication, and professional performance</w:t>
      </w:r>
      <w:r w:rsidR="000306D9">
        <w:t xml:space="preserve">. </w:t>
      </w:r>
      <w:r w:rsidR="00BD5CF7">
        <w:t xml:space="preserve">Traditional Human resource management is a strategic and coherent approach to the management of people with skills, knowledge and ability </w:t>
      </w:r>
      <w:r w:rsidR="00813313">
        <w:t>who work in an organization to contribute individually and or in a group to achieve the organization’s objectives (Amstrong, 2019).</w:t>
      </w:r>
      <w:r w:rsidR="00BD5CF7">
        <w:t xml:space="preserve">  </w:t>
      </w:r>
    </w:p>
    <w:p w14:paraId="325CDBD5" w14:textId="77777777" w:rsidR="000816B7" w:rsidRDefault="00E40740">
      <w:r>
        <w:lastRenderedPageBreak/>
        <w:t xml:space="preserve"> </w:t>
      </w:r>
      <w:r w:rsidR="000816B7" w:rsidRPr="000816B7">
        <w:rPr>
          <w:lang w:val="af-ZA"/>
        </w:rPr>
        <w:t>Green HRM refers to the use of human resource management practices to encourage employees to support environmental goals within an organization. It focuses on motivating workers to adopt eco-friendly behaviors that help promote environmental sustainability. This approach involves implementing policies, systems, and practices that guide employees to act in ways that protect the environment, benefiting individuals, society, the natural ecosystem, and the organization itself (Suharti &amp; Sugiarto, 2020).</w:t>
      </w:r>
      <w:r w:rsidR="000816B7">
        <w:rPr>
          <w:lang w:val="af-ZA"/>
        </w:rPr>
        <w:t xml:space="preserve"> </w:t>
      </w:r>
      <w:r>
        <w:t xml:space="preserve">In the words of Opatha and Arulrajah (2014), green HRM </w:t>
      </w:r>
      <w:r>
        <w:rPr>
          <w:iCs/>
        </w:rPr>
        <w:t>refers to the policies, practices, and systems that make employees of the organization green for the benefit of the individual, society, natural environment, and the business</w:t>
      </w:r>
      <w:r>
        <w:t xml:space="preserve">. </w:t>
      </w:r>
      <w:r>
        <w:rPr>
          <w:color w:val="000000"/>
        </w:rPr>
        <w:t xml:space="preserve">Green HRM is the application of HRM policies and practices by management to attain sustainable utilization of organization resources while promoting environmental sustainability which also boosts employee motivation and satisfaction for organization performance. </w:t>
      </w:r>
      <w:r>
        <w:t>The main aim of green HRM is to transform ordinary employees into green employees to achieve organizational goals while at the same time contributing significantly towards environmental sustainability.</w:t>
      </w:r>
      <w:r w:rsidR="008E542F">
        <w:t xml:space="preserve"> </w:t>
      </w:r>
      <w:r>
        <w:t xml:space="preserve">The growth of the economy and the environment, as well as the rapid advancement of technology, have created a volatile market (Sharifa &amp; Mohamed, 2019). Organizations are now required to manage and use their resources sustainably. An organization’s commitment to saving the environment is an indicator of its environmental performance and this performance is affected by the ability of the organization to control pollution, discharge of lesser waste to the environment, implementation of recycling and reuse practices (Gupta, 2018). </w:t>
      </w:r>
    </w:p>
    <w:p w14:paraId="2F6A3F77" w14:textId="77777777" w:rsidR="009F33CD" w:rsidRPr="000816B7" w:rsidRDefault="00E40740" w:rsidP="000816B7">
      <w:pPr>
        <w:rPr>
          <w:lang w:val="af-ZA"/>
        </w:rPr>
      </w:pPr>
      <w:r>
        <w:t>These countries generally do poorly economically for several reasons, including slow-moving political reforms, weak financial markets, a predominance of underperforming public sectors, and severe trade barriers. Equally, a general lack of governmental stability in these nations has resulted in conflict, social unrest, and waves of migration (United Nations, 2020).</w:t>
      </w:r>
      <w:r w:rsidR="000816B7">
        <w:rPr>
          <w:color w:val="00B0F0"/>
        </w:rPr>
        <w:t xml:space="preserve"> </w:t>
      </w:r>
      <w:r>
        <w:rPr>
          <w:rFonts w:eastAsia="TimesNewRomanPSMT" w:cs="Times New Roman"/>
          <w:bCs/>
          <w:szCs w:val="24"/>
        </w:rPr>
        <w:t xml:space="preserve">Globalization can be seen as the interconnectivity of countries or large geographic units for economic and sustainable development of organizations. For organizations to maintain their competitiveness and meet their goals, long-term investment in human resources is important. Global interconnection has been accelerated by information and communication, movement of employees across boundaries, and interdependence among countries on wealth and natural resources. </w:t>
      </w:r>
      <w:r>
        <w:rPr>
          <w:rFonts w:eastAsia="TimesNewRomanPSMT" w:cs="Times New Roman"/>
          <w:bCs/>
          <w:szCs w:val="24"/>
        </w:rPr>
        <w:lastRenderedPageBreak/>
        <w:t xml:space="preserve">The development of Green HRM is not only the awareness of environmental concerns like saving energy and waste reduction, but it also includes the degree of improvement in the economic and social well-being of the individuals and organizations, such as work-life balance and enhanced profits respectively. Green HRM is considered an important source of organizational competitive advantage and sustainability. </w:t>
      </w:r>
    </w:p>
    <w:p w14:paraId="1A117DD7" w14:textId="77777777" w:rsidR="00866EC7" w:rsidRDefault="00866EC7">
      <w:pPr>
        <w:spacing w:after="240"/>
        <w:rPr>
          <w:rFonts w:eastAsia="TimesNewRomanPSMT" w:cs="Times New Roman"/>
          <w:bCs/>
          <w:szCs w:val="24"/>
        </w:rPr>
      </w:pPr>
      <w:r w:rsidRPr="00866EC7">
        <w:rPr>
          <w:rFonts w:eastAsia="TimesNewRomanPSMT" w:cs="Times New Roman"/>
          <w:bCs/>
          <w:szCs w:val="24"/>
        </w:rPr>
        <w:t xml:space="preserve">Performance management refers to a process that is systematic in which organization management assigns required green goals to individuals and teams and puts up strategies to assess progress and assist employees and teams in achieving such goals (Mwita, 2019). The performance of devolved healthcare services is usually evaluated through various metrics such as patient outcomes, accessibility, quality of care, patient satisfaction, and efficiency (WHO, 2017; Muchomba &amp; Karanja, 2015). By focusing on these key metrics, healthcare institutions can ensure they are delivering high-quality, efficient, and sustainable healthcare services to their communities. Green HR is a very important tool that can be used to drive long-term organizational performance (Jabbour &amp; Renwick, 2019; Guerci, 2015; Jabbour, 2013); and to attain sustainable utilization of resources (Opatha &amp; Arulrajah, 2014). Therefore, an organization having strong HRM will have better organizational performance because its Human Resource functions are linked to its environmental strategies. </w:t>
      </w:r>
    </w:p>
    <w:p w14:paraId="2C157121" w14:textId="77777777" w:rsidR="009F33CD" w:rsidRDefault="00E40740">
      <w:pPr>
        <w:spacing w:after="240"/>
        <w:rPr>
          <w:rFonts w:eastAsia="TimesNewRomanPSMT" w:cs="Times New Roman"/>
          <w:bCs/>
          <w:szCs w:val="24"/>
        </w:rPr>
      </w:pPr>
      <w:r>
        <w:rPr>
          <w:rFonts w:eastAsia="TimesNewRomanPSMT" w:cs="Times New Roman"/>
          <w:bCs/>
          <w:szCs w:val="24"/>
        </w:rPr>
        <w:t xml:space="preserve">According to Carmona-Moreno </w:t>
      </w:r>
      <w:r>
        <w:rPr>
          <w:rFonts w:eastAsia="TimesNewRomanPSMT" w:cs="Times New Roman"/>
          <w:bCs/>
          <w:i/>
          <w:iCs/>
          <w:szCs w:val="24"/>
        </w:rPr>
        <w:t>et al.</w:t>
      </w:r>
      <w:r>
        <w:rPr>
          <w:rFonts w:eastAsia="TimesNewRomanPSMT" w:cs="Times New Roman"/>
          <w:bCs/>
          <w:szCs w:val="24"/>
        </w:rPr>
        <w:t xml:space="preserve"> (2012), organizations that apply high levels of green human resource practices benefit from cost advantages and differentiation. Organizations that adopt green human resource practices can have a positive effect on environmental performance (Obeidat et al, 2018, Yusoff et al, 2018); financial performance (Zaid, Jaaron &amp; Bon, 2018); and social performance (Zaid, Jaaron &amp; Bon, 2018). Adoption of green HRM practices by employees can enhance eco-friendly behaviour among employees (Saed </w:t>
      </w:r>
      <w:r>
        <w:rPr>
          <w:rFonts w:eastAsia="TimesNewRomanPSMT" w:cs="Times New Roman"/>
          <w:bCs/>
          <w:i/>
          <w:iCs/>
          <w:szCs w:val="24"/>
        </w:rPr>
        <w:t>et al</w:t>
      </w:r>
      <w:r>
        <w:rPr>
          <w:rFonts w:eastAsia="TimesNewRomanPSMT" w:cs="Times New Roman"/>
          <w:bCs/>
          <w:szCs w:val="24"/>
        </w:rPr>
        <w:t xml:space="preserve">., 2018; Kim </w:t>
      </w:r>
      <w:r>
        <w:rPr>
          <w:rFonts w:eastAsia="TimesNewRomanPSMT" w:cs="Times New Roman"/>
          <w:bCs/>
          <w:i/>
          <w:iCs/>
          <w:szCs w:val="24"/>
        </w:rPr>
        <w:t>et al.,</w:t>
      </w:r>
      <w:r>
        <w:rPr>
          <w:rFonts w:eastAsia="TimesNewRomanPSMT" w:cs="Times New Roman"/>
          <w:bCs/>
          <w:szCs w:val="24"/>
        </w:rPr>
        <w:t xml:space="preserve"> 2019); create organizational commitment (Kim </w:t>
      </w:r>
      <w:r>
        <w:rPr>
          <w:rFonts w:eastAsia="TimesNewRomanPSMT" w:cs="Times New Roman"/>
          <w:bCs/>
          <w:i/>
          <w:iCs/>
          <w:szCs w:val="24"/>
        </w:rPr>
        <w:t>et al.,</w:t>
      </w:r>
      <w:r>
        <w:rPr>
          <w:rFonts w:eastAsia="TimesNewRomanPSMT" w:cs="Times New Roman"/>
          <w:bCs/>
          <w:szCs w:val="24"/>
        </w:rPr>
        <w:t xml:space="preserve"> 2019) and improves employee performance (Ragas </w:t>
      </w:r>
      <w:r>
        <w:rPr>
          <w:rFonts w:eastAsia="TimesNewRomanPSMT" w:cs="Times New Roman"/>
          <w:bCs/>
          <w:i/>
          <w:iCs/>
          <w:szCs w:val="24"/>
        </w:rPr>
        <w:t>et al.,</w:t>
      </w:r>
      <w:r>
        <w:rPr>
          <w:rFonts w:eastAsia="TimesNewRomanPSMT" w:cs="Times New Roman"/>
          <w:bCs/>
          <w:szCs w:val="24"/>
        </w:rPr>
        <w:t xml:space="preserve"> 2017). The application of green HRM may indirectly influence the reduction of employee turnover intentions through a motivational psychological and social process. </w:t>
      </w:r>
    </w:p>
    <w:p w14:paraId="4DA1D887" w14:textId="77777777" w:rsidR="009F33CD" w:rsidRDefault="00E40740">
      <w:pPr>
        <w:spacing w:after="240"/>
        <w:rPr>
          <w:rFonts w:eastAsia="TimesNewRomanPSMT" w:cs="Times New Roman"/>
          <w:bCs/>
          <w:szCs w:val="24"/>
        </w:rPr>
      </w:pPr>
      <w:bookmarkStart w:id="32" w:name="_Hlk176688801"/>
      <w:r>
        <w:rPr>
          <w:rFonts w:eastAsia="TimesNewRomanPSMT" w:cs="Times New Roman"/>
          <w:bCs/>
          <w:szCs w:val="24"/>
        </w:rPr>
        <w:lastRenderedPageBreak/>
        <w:t xml:space="preserve">Atmojo </w:t>
      </w:r>
      <w:r>
        <w:rPr>
          <w:rFonts w:eastAsia="TimesNewRomanPSMT" w:cs="Times New Roman"/>
          <w:bCs/>
          <w:i/>
          <w:iCs/>
          <w:szCs w:val="24"/>
        </w:rPr>
        <w:t>et al. (</w:t>
      </w:r>
      <w:r>
        <w:rPr>
          <w:rFonts w:eastAsia="TimesNewRomanPSMT" w:cs="Times New Roman"/>
          <w:bCs/>
          <w:szCs w:val="24"/>
        </w:rPr>
        <w:t xml:space="preserve">2020) conducted a study on telemedicine, cost-effectiveness, and patients’ satisfaction and found that telemedicine utilization in the departments of pediatrics, intensive care unit, radiology, and dermatology rooms lowered costs of health by 56% and reduced patients’ cost of travel to hospital by 94%. Further, the study concluded that telemedicine generates cost savings for patients and the hospital and enhances the satisfaction of patients </w:t>
      </w:r>
      <w:bookmarkEnd w:id="32"/>
      <w:r>
        <w:rPr>
          <w:rFonts w:eastAsia="TimesNewRomanPSMT" w:cs="Times New Roman"/>
          <w:bCs/>
          <w:szCs w:val="24"/>
        </w:rPr>
        <w:t xml:space="preserve">(Atmojo </w:t>
      </w:r>
      <w:r>
        <w:rPr>
          <w:rFonts w:eastAsia="TimesNewRomanPSMT" w:cs="Times New Roman"/>
          <w:bCs/>
          <w:i/>
          <w:iCs/>
          <w:szCs w:val="24"/>
        </w:rPr>
        <w:t xml:space="preserve">et al., </w:t>
      </w:r>
      <w:r>
        <w:rPr>
          <w:rFonts w:eastAsia="TimesNewRomanPSMT" w:cs="Times New Roman"/>
          <w:bCs/>
          <w:szCs w:val="24"/>
        </w:rPr>
        <w:t>2020). Telemedicine services reduce the frequency of visits by doctors to the hospital leading to savings on the cost of travel, increased convenience, and reduced exposure to infection, for example, COVID-19.</w:t>
      </w:r>
    </w:p>
    <w:p w14:paraId="54FC8F34" w14:textId="77777777" w:rsidR="00866EC7" w:rsidRPr="00866EC7" w:rsidRDefault="00866EC7" w:rsidP="00866EC7">
      <w:pPr>
        <w:spacing w:after="240"/>
        <w:rPr>
          <w:rFonts w:eastAsia="TimesNewRomanPSMT" w:cs="Times New Roman"/>
          <w:bCs/>
          <w:szCs w:val="24"/>
        </w:rPr>
      </w:pPr>
      <w:r w:rsidRPr="00866EC7">
        <w:rPr>
          <w:rFonts w:eastAsia="TimesNewRomanPSMT" w:cs="Times New Roman"/>
          <w:bCs/>
          <w:szCs w:val="24"/>
        </w:rPr>
        <w:t xml:space="preserve">The change of roles and responsibilities in the health sector in Kenya is referred to as the devolution of healthcare services whose main goal is to enhance access to services and equity in resource allocation, improve efficiency and accountability thereby improving health service delivery to the majority of Kenyans (Kenyan Healthcare Sector, 2016). </w:t>
      </w:r>
      <w:r w:rsidRPr="00866EC7">
        <w:rPr>
          <w:rFonts w:eastAsia="TimesNewRomanPSMT" w:cs="Times New Roman"/>
          <w:bCs/>
          <w:szCs w:val="24"/>
          <w:lang w:val="en-US"/>
        </w:rPr>
        <w:t>Devolution of healthcare services in Kenya aimed to enhance accessibility, efficiency, and responsiveness in healthcare delivery; however, the sector continues to face significant performance challenges such as staff shortages, inadequate skillsets, and inefficiencies in service delivery (Barasa et al., 2017; Tsofa et al., 2017; Zeng et al., 2022).</w:t>
      </w:r>
    </w:p>
    <w:p w14:paraId="780EA7C3" w14:textId="77777777" w:rsidR="00C479EB" w:rsidRDefault="00C479EB" w:rsidP="00C479EB">
      <w:pPr>
        <w:spacing w:after="240"/>
        <w:rPr>
          <w:rFonts w:eastAsia="TimesNewRomanPSMT" w:cs="Times New Roman"/>
          <w:bCs/>
          <w:szCs w:val="24"/>
        </w:rPr>
      </w:pPr>
      <w:r w:rsidRPr="00C479EB">
        <w:rPr>
          <w:rFonts w:eastAsia="TimesNewRomanPSMT" w:cs="Times New Roman"/>
          <w:bCs/>
          <w:szCs w:val="24"/>
        </w:rPr>
        <w:t>Management style is the pattern of relationship that a manager exhibits as s/he directs and coordinates the activities of others to achieve organizational goals (Ayub, 2014). Management style can influence the</w:t>
      </w:r>
      <w:r w:rsidR="00354048">
        <w:rPr>
          <w:rFonts w:eastAsia="TimesNewRomanPSMT" w:cs="Times New Roman"/>
          <w:bCs/>
          <w:szCs w:val="24"/>
        </w:rPr>
        <w:t xml:space="preserve"> strength or direction of an effect and is used to boost precision, make generalizations and explain inconsistent findings of previous studies. It can further influence the </w:t>
      </w:r>
      <w:r w:rsidR="00034D25">
        <w:rPr>
          <w:rFonts w:eastAsia="TimesNewRomanPSMT" w:cs="Times New Roman"/>
          <w:bCs/>
          <w:szCs w:val="24"/>
        </w:rPr>
        <w:t xml:space="preserve">moderating </w:t>
      </w:r>
      <w:r w:rsidR="00834F8C">
        <w:rPr>
          <w:rFonts w:eastAsia="TimesNewRomanPSMT" w:cs="Times New Roman"/>
          <w:bCs/>
          <w:szCs w:val="24"/>
        </w:rPr>
        <w:t>variable</w:t>
      </w:r>
      <w:r w:rsidR="00834F8C" w:rsidRPr="00C479EB">
        <w:rPr>
          <w:rFonts w:eastAsia="TimesNewRomanPSMT" w:cs="Times New Roman"/>
          <w:bCs/>
          <w:szCs w:val="24"/>
        </w:rPr>
        <w:t xml:space="preserve"> attainment</w:t>
      </w:r>
      <w:r w:rsidRPr="00C479EB">
        <w:rPr>
          <w:rFonts w:eastAsia="TimesNewRomanPSMT" w:cs="Times New Roman"/>
          <w:bCs/>
          <w:szCs w:val="24"/>
        </w:rPr>
        <w:t xml:space="preserve"> of an organization's mission, allocation of resources, and implementation of eco-friendly changes that are necessary for an organization to enhance performance and gain competitive advantage. Top management style usually influences the effective formulation and implementation of health policies and practices that will affect an organization in achieving goals and objectives. </w:t>
      </w:r>
      <w:r w:rsidR="008E542F" w:rsidRPr="008E542F">
        <w:rPr>
          <w:rFonts w:eastAsia="TimesNewRomanPSMT" w:cs="Times New Roman"/>
          <w:bCs/>
          <w:szCs w:val="24"/>
        </w:rPr>
        <w:t xml:space="preserve">According to Momena </w:t>
      </w:r>
      <w:r w:rsidR="008E542F" w:rsidRPr="008E542F">
        <w:rPr>
          <w:rFonts w:eastAsia="TimesNewRomanPSMT" w:cs="Times New Roman"/>
          <w:bCs/>
          <w:i/>
          <w:szCs w:val="24"/>
        </w:rPr>
        <w:t>et al</w:t>
      </w:r>
      <w:r w:rsidR="008E542F" w:rsidRPr="008E542F">
        <w:rPr>
          <w:rFonts w:eastAsia="TimesNewRomanPSMT" w:cs="Times New Roman"/>
          <w:bCs/>
          <w:szCs w:val="24"/>
        </w:rPr>
        <w:t xml:space="preserve"> (2013), leadership as an HR practice should be supportive and participative.</w:t>
      </w:r>
      <w:r w:rsidR="008E542F">
        <w:rPr>
          <w:rFonts w:eastAsia="TimesNewRomanPSMT" w:cs="Times New Roman"/>
          <w:bCs/>
          <w:szCs w:val="24"/>
        </w:rPr>
        <w:t xml:space="preserve"> </w:t>
      </w:r>
      <w:r w:rsidRPr="00C479EB">
        <w:rPr>
          <w:rFonts w:eastAsia="TimesNewRomanPSMT" w:cs="Times New Roman"/>
          <w:bCs/>
          <w:szCs w:val="24"/>
        </w:rPr>
        <w:t xml:space="preserve">Top managers’ commitment enables organizations to implement and enforce green practices and policies to realize the organization’s goals and objectives. This Top management enforcement ensures </w:t>
      </w:r>
      <w:r w:rsidRPr="00C479EB">
        <w:rPr>
          <w:rFonts w:eastAsia="TimesNewRomanPSMT" w:cs="Times New Roman"/>
          <w:bCs/>
          <w:szCs w:val="24"/>
        </w:rPr>
        <w:lastRenderedPageBreak/>
        <w:t xml:space="preserve">that employees are aware of green practices and are inclined to adopt them in their daily operations, in pursuit of achieving the goals of the organization. </w:t>
      </w:r>
      <w:r w:rsidR="00354048" w:rsidRPr="00354048">
        <w:rPr>
          <w:rFonts w:eastAsia="TimesNewRomanPSMT" w:cs="Times New Roman"/>
          <w:bCs/>
          <w:szCs w:val="24"/>
        </w:rPr>
        <w:t>It clarifies the strength or direction of an effect and is used to enhance theoretical precision, test generalizability across groups, and explain inconsistent past findings</w:t>
      </w:r>
      <w:r w:rsidR="00354048">
        <w:rPr>
          <w:rFonts w:eastAsia="TimesNewRomanPSMT" w:cs="Times New Roman"/>
          <w:bCs/>
          <w:szCs w:val="24"/>
        </w:rPr>
        <w:t>.</w:t>
      </w:r>
    </w:p>
    <w:p w14:paraId="6546D6EE" w14:textId="77777777" w:rsidR="009F33CD" w:rsidRDefault="00E40740" w:rsidP="000E48A9">
      <w:pPr>
        <w:pStyle w:val="Heading3"/>
      </w:pPr>
      <w:bookmarkStart w:id="33" w:name="_Toc178940507"/>
      <w:bookmarkStart w:id="34" w:name="_Toc178944957"/>
      <w:bookmarkStart w:id="35" w:name="_Toc178942548"/>
      <w:bookmarkStart w:id="36" w:name="_Toc188130554"/>
      <w:bookmarkStart w:id="37" w:name="_Toc165623521"/>
      <w:bookmarkStart w:id="38" w:name="_Toc188443901"/>
      <w:bookmarkStart w:id="39" w:name="_Toc178939553"/>
      <w:bookmarkStart w:id="40" w:name="_Toc165626302"/>
      <w:bookmarkStart w:id="41" w:name="_Toc185613995"/>
      <w:bookmarkStart w:id="42" w:name="_Toc187080765"/>
      <w:bookmarkStart w:id="43" w:name="_Toc188442527"/>
      <w:bookmarkStart w:id="44" w:name="_Toc178944205"/>
      <w:bookmarkStart w:id="45" w:name="_Toc224160591"/>
      <w:bookmarkStart w:id="46" w:name="_Toc224237651"/>
      <w:r>
        <w:t xml:space="preserve">1.1.1 Global </w:t>
      </w:r>
      <w:r w:rsidR="00E05716">
        <w:t xml:space="preserve">Perspectives </w:t>
      </w:r>
      <w:r>
        <w:t xml:space="preserve">on Green Human Resource Management </w:t>
      </w:r>
      <w:r w:rsidR="00BA3B94">
        <w:t>Practices</w:t>
      </w:r>
      <w:bookmarkEnd w:id="33"/>
      <w:bookmarkEnd w:id="34"/>
      <w:bookmarkEnd w:id="35"/>
      <w:bookmarkEnd w:id="36"/>
      <w:bookmarkEnd w:id="37"/>
      <w:bookmarkEnd w:id="38"/>
      <w:bookmarkEnd w:id="39"/>
      <w:bookmarkEnd w:id="40"/>
      <w:bookmarkEnd w:id="41"/>
      <w:bookmarkEnd w:id="42"/>
      <w:bookmarkEnd w:id="43"/>
      <w:bookmarkEnd w:id="44"/>
      <w:r w:rsidR="00BA3B94">
        <w:t xml:space="preserve"> </w:t>
      </w:r>
      <w:r w:rsidR="0048238A">
        <w:t>and Performance</w:t>
      </w:r>
      <w:bookmarkEnd w:id="45"/>
      <w:bookmarkEnd w:id="46"/>
    </w:p>
    <w:p w14:paraId="69B0424C" w14:textId="77777777" w:rsidR="009F33CD" w:rsidRDefault="00E40740">
      <w:pPr>
        <w:spacing w:after="240"/>
        <w:rPr>
          <w:rFonts w:eastAsia="TimesNewRomanPSMT" w:cs="Times New Roman"/>
          <w:bCs/>
          <w:szCs w:val="24"/>
        </w:rPr>
      </w:pPr>
      <w:r>
        <w:rPr>
          <w:rFonts w:eastAsia="TimesNewRomanPSMT" w:cs="Times New Roman"/>
          <w:bCs/>
          <w:szCs w:val="24"/>
        </w:rPr>
        <w:t>Literature from organizational management indicates that green human resources is a very important tool to drive long-term organizational performance and survival (Jabbour &amp; Renwick, 2019; Guerci, 215; Jabbour, 2013). According to the United Nations Environment Programme (UNEP, 2008), green jobs refer to employment across sectors like agriculture, manufacturing, research and development, administration, and services that significantly support the protection or improvement of the environment. These roles typically involve efforts such as conserving ecosystems and biodiversity, enhancing efficiency in energy, water, and material use, advancing the shift toward a low-carbon economy, and cutting down or completely preventing waste and pollution.</w:t>
      </w:r>
    </w:p>
    <w:p w14:paraId="29EC55A5" w14:textId="77777777" w:rsidR="009F33CD" w:rsidRDefault="00E40740">
      <w:pPr>
        <w:spacing w:after="240"/>
        <w:rPr>
          <w:rFonts w:eastAsia="TimesNewRomanPSMT" w:cs="Times New Roman"/>
          <w:bCs/>
          <w:szCs w:val="24"/>
        </w:rPr>
      </w:pPr>
      <w:r>
        <w:rPr>
          <w:rFonts w:eastAsia="TimesNewRomanPSMT" w:cs="Times New Roman"/>
          <w:bCs/>
          <w:szCs w:val="24"/>
        </w:rPr>
        <w:t xml:space="preserve">According to Nilashi </w:t>
      </w:r>
      <w:r>
        <w:rPr>
          <w:rFonts w:eastAsia="TimesNewRomanPSMT" w:cs="Times New Roman"/>
          <w:bCs/>
          <w:i/>
          <w:szCs w:val="24"/>
        </w:rPr>
        <w:t>et al.</w:t>
      </w:r>
      <w:r>
        <w:rPr>
          <w:rFonts w:eastAsia="TimesNewRomanPSMT" w:cs="Times New Roman"/>
          <w:bCs/>
          <w:szCs w:val="24"/>
        </w:rPr>
        <w:t xml:space="preserve"> (2019), the hospitality industry was found to consume large amounts of natural resources that also lead to the production of large amounts of pollutants and medical waste. Although the tremendous growth of the hospitality industry has led to economic growth globally and in particular Malaysian economy, it has also resulted in several environmental problems including environmental degradation because hotels tend to consume more energy, and water for heating, cooling, and lighting (Abdou </w:t>
      </w:r>
      <w:r>
        <w:rPr>
          <w:rFonts w:eastAsia="TimesNewRomanPSMT" w:cs="Times New Roman"/>
          <w:bCs/>
          <w:i/>
          <w:szCs w:val="24"/>
        </w:rPr>
        <w:t>et al.,</w:t>
      </w:r>
      <w:r>
        <w:rPr>
          <w:rFonts w:eastAsia="TimesNewRomanPSMT" w:cs="Times New Roman"/>
          <w:bCs/>
          <w:szCs w:val="24"/>
        </w:rPr>
        <w:t xml:space="preserve"> 2020). Zainal and Nasurdin (2011), explain that the effect of HRM practices on the performance of an organization largely depends on the extent to which those practices influence the skills, abilities, and motivation of the employees. The effect of these practices on employees’ skills and abilities is portrayed in recruitment, selection, and training.</w:t>
      </w:r>
    </w:p>
    <w:p w14:paraId="6A9E7454" w14:textId="77777777" w:rsidR="009F33CD" w:rsidRDefault="00E40740">
      <w:pPr>
        <w:spacing w:after="240"/>
        <w:rPr>
          <w:rFonts w:eastAsia="TimesNewRomanPSMT" w:cs="Times New Roman"/>
          <w:bCs/>
          <w:szCs w:val="24"/>
        </w:rPr>
      </w:pPr>
      <w:bookmarkStart w:id="47" w:name="_Hlk186570057"/>
      <w:r>
        <w:rPr>
          <w:rFonts w:eastAsia="TimesNewRomanPSMT" w:cs="Times New Roman"/>
          <w:bCs/>
          <w:szCs w:val="24"/>
        </w:rPr>
        <w:t xml:space="preserve">Green GHRM practices are necessary in Level Five Hospitals because they could protect the natural environment, maintain the natural environment, reduce environmental pollution, and create gardens and places (Opatha &amp; Arulrajah, 2014). </w:t>
      </w:r>
      <w:bookmarkEnd w:id="47"/>
      <w:r>
        <w:rPr>
          <w:rFonts w:eastAsia="TimesNewRomanPSMT" w:cs="Times New Roman"/>
          <w:bCs/>
          <w:szCs w:val="24"/>
        </w:rPr>
        <w:lastRenderedPageBreak/>
        <w:t>Keeping natural resources in their original shape and protecting them from loss is what Opatha and Arulrajah (2014) called the protection of the natural environment. Further, maintaining the natural environment implies conserving which means utilization of natural resources in a manner that cannot negatively affect their use by future generations; creating gardens and places means putting up parks with trees and plants and lawns around; and finally reducing air and water pollution. Employees who possess these features are described as green and can be called protectionist, non-pollutant, conservationist, and creator employees (Bechtel et al., 2912).</w:t>
      </w:r>
    </w:p>
    <w:p w14:paraId="5BE1AF1A" w14:textId="77777777" w:rsidR="009F33CD" w:rsidRDefault="00E40740">
      <w:pPr>
        <w:spacing w:after="240"/>
        <w:rPr>
          <w:rFonts w:eastAsia="TimesNewRomanPSMT" w:cs="Times New Roman"/>
          <w:bCs/>
          <w:szCs w:val="24"/>
        </w:rPr>
      </w:pPr>
      <w:r>
        <w:rPr>
          <w:rFonts w:eastAsia="TimesNewRomanPSMT" w:cs="Times New Roman"/>
          <w:bCs/>
          <w:szCs w:val="24"/>
        </w:rPr>
        <w:t xml:space="preserve">Mishra (2017) opines that GHRM is about systems and policies that utilize the resources of an organization in a friendly manner for the benefit of individuals, the community, and the natural environment. Human resource policies do empower human capital to significantly contribute to the implementation of green practices and strategies at the place of work. Bhutto and Auranzeb (2016) argue that there is a significant effect of green HRM variables on firm performance. Renwick in Miraj (2018) states the following factors that affect green training: giving information on environmental management; conducting training needs assessment related to friendly environmental issues; provision training on how space of work is environmentally friendly; and providing training to employees regarding the management of the environment, employee safety, efficient use of energy and recycling. Organizations that show concern for resolving environmental issues usually engage their employees in utilizing limited resources in a manner that reduces operational costs and enhances environmental performance. Eco-friendly employees normally protect the environment from hazards and indicate their commitment towards the employer (Gilal </w:t>
      </w:r>
      <w:r>
        <w:rPr>
          <w:rFonts w:eastAsia="TimesNewRomanPSMT" w:cs="Times New Roman"/>
          <w:bCs/>
          <w:i/>
          <w:szCs w:val="24"/>
        </w:rPr>
        <w:t>et al</w:t>
      </w:r>
      <w:r>
        <w:rPr>
          <w:rFonts w:eastAsia="TimesNewRomanPSMT" w:cs="Times New Roman"/>
          <w:bCs/>
          <w:szCs w:val="24"/>
        </w:rPr>
        <w:t xml:space="preserve">., 2019). </w:t>
      </w:r>
    </w:p>
    <w:p w14:paraId="7C076A8F" w14:textId="77777777" w:rsidR="009F33CD" w:rsidRDefault="00E40740">
      <w:pPr>
        <w:rPr>
          <w:rFonts w:cs="Times New Roman"/>
          <w:bCs/>
          <w:szCs w:val="24"/>
        </w:rPr>
      </w:pPr>
      <w:r>
        <w:rPr>
          <w:rFonts w:cs="Times New Roman"/>
          <w:bCs/>
          <w:szCs w:val="24"/>
        </w:rPr>
        <w:t xml:space="preserve">Mandip (2012) contends that green training program covers a wide range of environmental issues that when addressed lead to organizational competitive advantage. Green training refers to a system of activities that enable employees to acquire knowledge, skills, and awareness of environmental concerns of the organization and implement certain green practices that are linked with HR practices to enable the organization to attain sustainable competitive advantage. According to Halawi and Zaraket (2018), green HR actions help organizations to go green as they </w:t>
      </w:r>
      <w:r>
        <w:rPr>
          <w:rFonts w:cs="Times New Roman"/>
          <w:bCs/>
          <w:szCs w:val="24"/>
        </w:rPr>
        <w:lastRenderedPageBreak/>
        <w:t xml:space="preserve">engage in growth opportunities with some elements of environmental management that result in low operational costs and reduced carbon footprint. Companies should engage employees in greening by offering them green rewards such as nature-friendly office benefits and carbon credit offsets; provision of free bicycles and pollution-free cars to employees as means of transport to and from work. In addition, the organization’s green business should include continuous recycling, increased use of water dispensers instead of plastic bottled water, reusable grocery and reusable lunch bags, and reusable cups in the offices. </w:t>
      </w:r>
    </w:p>
    <w:p w14:paraId="438FE24A" w14:textId="77777777" w:rsidR="009F33CD" w:rsidRDefault="00E40740">
      <w:pPr>
        <w:rPr>
          <w:rFonts w:cs="Times New Roman"/>
          <w:bCs/>
          <w:szCs w:val="24"/>
        </w:rPr>
      </w:pPr>
      <w:r>
        <w:rPr>
          <w:rFonts w:cs="Times New Roman"/>
          <w:bCs/>
          <w:szCs w:val="24"/>
        </w:rPr>
        <w:t xml:space="preserve">Tang </w:t>
      </w:r>
      <w:r>
        <w:rPr>
          <w:rFonts w:cs="Times New Roman"/>
          <w:bCs/>
          <w:i/>
          <w:szCs w:val="24"/>
        </w:rPr>
        <w:t>et al</w:t>
      </w:r>
      <w:r>
        <w:rPr>
          <w:rFonts w:cs="Times New Roman"/>
          <w:bCs/>
          <w:szCs w:val="24"/>
        </w:rPr>
        <w:t xml:space="preserve"> (2018) opine that GHRM can enhance the green skills of workers by recruiting individuals who have an awareness of environmental protection; providing green training to improve environmentally friendly skills; and motivation for engaging in green initiatives and activities through the establishment of a fair green performance management system. Human resource management practices are important pillars in building and maintaining a good employee relations climate, ultimately resulting in improved quality of services and increased overall performance of an organization. Gupta (2018)</w:t>
      </w:r>
      <w:r>
        <w:rPr>
          <w:rFonts w:ascii="Georgia" w:hAnsi="Georgia"/>
          <w:color w:val="1F1F1F"/>
        </w:rPr>
        <w:t xml:space="preserve"> opines that o</w:t>
      </w:r>
      <w:r>
        <w:rPr>
          <w:rFonts w:cs="Times New Roman"/>
          <w:bCs/>
          <w:szCs w:val="24"/>
        </w:rPr>
        <w:t>rganizations all over the world are inclined toward reduction in environmental degradation based on its functioning; literature has also suggested a significant role of GHRM practices in achieving this objective. GHRM has the ability to inculcate mindfulness among its current workforce and also encourage new recruits towards ecological improvement and well-being.</w:t>
      </w:r>
    </w:p>
    <w:p w14:paraId="01E911EB" w14:textId="77777777" w:rsidR="009F33CD" w:rsidRDefault="00E40740">
      <w:pPr>
        <w:spacing w:before="240"/>
        <w:rPr>
          <w:rFonts w:cs="Times New Roman"/>
          <w:bCs/>
          <w:szCs w:val="24"/>
        </w:rPr>
      </w:pPr>
      <w:r>
        <w:rPr>
          <w:rFonts w:cs="Times New Roman"/>
          <w:bCs/>
          <w:szCs w:val="24"/>
        </w:rPr>
        <w:t xml:space="preserve">A study by Tareq and Rosima (2015) revealed a positive relationship between green recruitment, green training, and learning on the firm's performance. Green HRM practices refer to the definite green HRM processes, programs, and systems implemented in business organizations to reduce negative environmental effects and enhance the sustainable environmental performance of the organization. It is that part of HRM that aims to achieve the organization's environmental goals and eventually make a significant contribution to organizational performance and environmental sustainability. According to Zainal and Nasurdin (2011), the impact of GHRM practices on organizational performance depends on how GHRM practices affect an employee's skills, abilities, motivation, and organizational structure. </w:t>
      </w:r>
    </w:p>
    <w:p w14:paraId="65612076" w14:textId="77777777" w:rsidR="009F33CD" w:rsidRDefault="00E40740">
      <w:pPr>
        <w:spacing w:before="240"/>
        <w:rPr>
          <w:bCs/>
        </w:rPr>
      </w:pPr>
      <w:r>
        <w:rPr>
          <w:rFonts w:cs="Times New Roman"/>
          <w:bCs/>
          <w:szCs w:val="24"/>
        </w:rPr>
        <w:lastRenderedPageBreak/>
        <w:t>Green recruitment and selection and green training may indicate the impact of GHRM practices on employee skills, abilities, and knowledge. Organizations usually attract employees through sophisticated methods and procedures created to select the best potential employee. After selection, an employee is usually provided with detailed green orientation training to gain advanced knowledge, skills, and the ability to perform a job while being sensitive to the environment.</w:t>
      </w:r>
      <w:r>
        <w:rPr>
          <w:rStyle w:val="A3"/>
          <w:rFonts w:cs="Times New Roman"/>
          <w:bCs/>
          <w:color w:val="auto"/>
          <w:szCs w:val="24"/>
        </w:rPr>
        <w:t xml:space="preserve">  </w:t>
      </w:r>
      <w:r>
        <w:rPr>
          <w:bCs/>
        </w:rPr>
        <w:t xml:space="preserve">Green HRM refers to organizational policies that promote sustainable use of resources as a practice towards environmental sustainability (Ren </w:t>
      </w:r>
      <w:r>
        <w:rPr>
          <w:bCs/>
          <w:i/>
          <w:iCs/>
        </w:rPr>
        <w:t>et al.,</w:t>
      </w:r>
      <w:r>
        <w:rPr>
          <w:bCs/>
        </w:rPr>
        <w:t xml:space="preserve"> 2017). Green HRM refers to the use of HRM policies, practices, and philosophies to promote sustainable use of organization resources, while preventing negative change arising from environmental concerns. Green HRM is the application of organization policies, practices, and systems that make employees of the organization eco-friendly for the benefit of the employee, the business, the community, natural environment (Mehta &amp; Chugan, 2015). </w:t>
      </w:r>
    </w:p>
    <w:p w14:paraId="5A2742A2" w14:textId="77777777" w:rsidR="009F33CD" w:rsidRDefault="00E40740">
      <w:pPr>
        <w:autoSpaceDE/>
        <w:autoSpaceDN/>
        <w:adjustRightInd/>
        <w:spacing w:before="240" w:after="200"/>
        <w:rPr>
          <w:bCs/>
        </w:rPr>
      </w:pPr>
      <w:r>
        <w:rPr>
          <w:bCs/>
        </w:rPr>
        <w:t xml:space="preserve">Some studies (Marhatta &amp; Adhikari, 2013; Paillé, 2014)) found a positively significant relationship between HRM practices and organizational performance and sustainability particularly when HRM practices are linked to environmental issues. Sriram and Suba (2018) explained that ecological human resource management practices promote corporate benefits and enable the organization to get away from natural damage. Arulrajah </w:t>
      </w:r>
      <w:r>
        <w:rPr>
          <w:bCs/>
          <w:i/>
        </w:rPr>
        <w:t xml:space="preserve">et al </w:t>
      </w:r>
      <w:r>
        <w:rPr>
          <w:bCs/>
        </w:rPr>
        <w:t xml:space="preserve">(2016), opine that employee green performance includes efficient use of input resources by employees when performing their day-to-day functions, the application of innovative environmental initiatives, and the employee contribution to company environmental management initiatives. Opatha and Arulrajah (2015) argue that green performance can be achieved by ensuring green processes in HRM practices from selection of green employees to compensation of green employees, so that organizational green performance can be delivered. The GHRM scholars opine that the decisions and behavior of human resource executives reflect green HRM practices and organizational sustainability performance. </w:t>
      </w:r>
    </w:p>
    <w:p w14:paraId="2F3423AF" w14:textId="77777777" w:rsidR="009F33CD" w:rsidRDefault="00E40740">
      <w:pPr>
        <w:autoSpaceDE/>
        <w:autoSpaceDN/>
        <w:adjustRightInd/>
        <w:spacing w:before="240" w:after="200"/>
      </w:pPr>
      <w:r>
        <w:t xml:space="preserve">According to </w:t>
      </w:r>
      <w:r>
        <w:rPr>
          <w:rFonts w:eastAsia="Times New Roman"/>
          <w:lang w:bidi="th-TH"/>
        </w:rPr>
        <w:t xml:space="preserve">Renwick </w:t>
      </w:r>
      <w:r>
        <w:rPr>
          <w:rFonts w:eastAsia="Times New Roman"/>
          <w:i/>
          <w:lang w:bidi="th-TH"/>
        </w:rPr>
        <w:t>et al,</w:t>
      </w:r>
      <w:r>
        <w:rPr>
          <w:rFonts w:eastAsia="Times New Roman"/>
          <w:lang w:bidi="th-TH"/>
        </w:rPr>
        <w:t xml:space="preserve"> </w:t>
      </w:r>
      <w:r>
        <w:t>(</w:t>
      </w:r>
      <w:r>
        <w:rPr>
          <w:rFonts w:eastAsia="Times New Roman"/>
          <w:lang w:bidi="th-TH"/>
        </w:rPr>
        <w:t>2013)</w:t>
      </w:r>
      <w:r>
        <w:t xml:space="preserve">, aligning employees with the company’s corporate social responsibility and environment strategy requires the development of strong policies in green recruitment, green performance evaluation, green employee training and development, green employee relations, and green compensation. Green HRM </w:t>
      </w:r>
      <w:r>
        <w:lastRenderedPageBreak/>
        <w:t xml:space="preserve">practices are more powerful tools in making organizations and their operations green. The green performance, green behaviours, green attitude, and green competencies of human resources can be shaped and reshaped through the adaptation of green HRM practices. </w:t>
      </w:r>
    </w:p>
    <w:p w14:paraId="7E49BA73" w14:textId="77777777" w:rsidR="009F33CD" w:rsidRDefault="00E40740">
      <w:pPr>
        <w:autoSpaceDE/>
        <w:autoSpaceDN/>
        <w:adjustRightInd/>
        <w:spacing w:before="240" w:after="200"/>
        <w:rPr>
          <w:rFonts w:eastAsia="TimesNewRoman"/>
          <w:bCs/>
        </w:rPr>
      </w:pPr>
      <w:r>
        <w:rPr>
          <w:rFonts w:eastAsia="TimesNewRoman"/>
          <w:bCs/>
        </w:rPr>
        <w:t xml:space="preserve">Recently, many scholars have directed their attention toward the relationship between human resources and environmental management because of the important role green HRM practices play in attaining organizational development. The main purpose of linking HR management with environmental management is to help organizations engage in environmental performance by improving employees' commitment to environmental protection and conservation (Schuler &amp; Jackson, 2014; Renwick, 2013). </w:t>
      </w:r>
    </w:p>
    <w:p w14:paraId="6D82D1B9" w14:textId="77777777" w:rsidR="009F33CD" w:rsidRDefault="00E40740">
      <w:pPr>
        <w:autoSpaceDE/>
        <w:autoSpaceDN/>
        <w:adjustRightInd/>
        <w:spacing w:before="240" w:after="200"/>
        <w:rPr>
          <w:rFonts w:eastAsia="TimesNewRoman"/>
          <w:bCs/>
        </w:rPr>
      </w:pPr>
      <w:r>
        <w:rPr>
          <w:rFonts w:eastAsia="TimesNewRoman"/>
          <w:bCs/>
        </w:rPr>
        <w:t>Rani and Mishra (2014) opine that green HR efforts over time should focus on increasing competency within processes, reducing and eliminating environmental degradation, and restoring HR products, tools, and procedures that lead to greater efficiency and lower costs. The greening results include teleconferencing and virtual meetings which reduce the need to travel and cut down on carbon emissions; electronic filing and documentation which means moving to digital records reduces paper usage; ride-sharing and recycling; job sharing; telecommuting and flexible work schedules that allow employees to work from home and reduce the environmental impact of commuting; online training that encompasses educating employees about sustainable practices and how they contribute to the organization’s goals;  and developing more energy-efficient office spaces that lower energy consumption (Rani &amp; Mishra, 2014).</w:t>
      </w:r>
      <w:r>
        <w:rPr>
          <w:rFonts w:eastAsia="TimesNewRoman"/>
          <w:b/>
          <w:bCs/>
        </w:rPr>
        <w:t xml:space="preserve"> </w:t>
      </w:r>
    </w:p>
    <w:p w14:paraId="4EB4A177" w14:textId="77777777" w:rsidR="009F33CD" w:rsidRDefault="00E40740">
      <w:pPr>
        <w:spacing w:before="240"/>
        <w:rPr>
          <w:rStyle w:val="A3"/>
        </w:rPr>
      </w:pPr>
      <w:r>
        <w:rPr>
          <w:rFonts w:eastAsia="TimesNewRoman"/>
          <w:bCs/>
        </w:rPr>
        <w:t xml:space="preserve">In GHRM, different HRM practices such as recruitment, selection, training, reward, and performance appraisal are used to assist firms in hiring and retaining employees that understand and promote green behaviour (Mathapati, 2013). </w:t>
      </w:r>
      <w:r>
        <w:rPr>
          <w:rStyle w:val="A3"/>
        </w:rPr>
        <w:t>Green HR practices result in different outcomes such as improved employee morale, increased employee loyalty, increased employee retention, increased workforce productivity, stronger public image, and gained competitive advantage (Saba, 2012).</w:t>
      </w:r>
      <w:r>
        <w:rPr>
          <w:bCs/>
        </w:rPr>
        <w:t xml:space="preserve"> </w:t>
      </w:r>
      <w:r>
        <w:rPr>
          <w:rFonts w:eastAsia="TimesNewRoman"/>
          <w:bCs/>
        </w:rPr>
        <w:t>This is because g</w:t>
      </w:r>
      <w:r>
        <w:rPr>
          <w:rStyle w:val="A3"/>
        </w:rPr>
        <w:t xml:space="preserve">reen HRM involves undertaking environment-friendly HR initiatives to promote corporate sustainability and increase employee commitment, engagement, and retention which, </w:t>
      </w:r>
      <w:r>
        <w:rPr>
          <w:rStyle w:val="A3"/>
        </w:rPr>
        <w:lastRenderedPageBreak/>
        <w:t>in turn, help organizations to improve performance and minimize carbon footprints. Some of the green HRM practices that employees can engage in would be car-sharing, telecommuting, job-sharing recycling, electronic filing, and electronic interviews. Efficiency created by Green HRM can lower firm operational costs and enable industry professionals to realize their corporate social responsibilities in a better manner.</w:t>
      </w:r>
    </w:p>
    <w:p w14:paraId="02A3246E" w14:textId="77777777" w:rsidR="009F33CD" w:rsidRDefault="00E40740" w:rsidP="000E48A9">
      <w:pPr>
        <w:pStyle w:val="Heading3"/>
      </w:pPr>
      <w:bookmarkStart w:id="48" w:name="_Toc185613996"/>
      <w:bookmarkStart w:id="49" w:name="_Toc178942549"/>
      <w:bookmarkStart w:id="50" w:name="_Toc188443902"/>
      <w:bookmarkStart w:id="51" w:name="_Toc165623522"/>
      <w:bookmarkStart w:id="52" w:name="_Toc178940508"/>
      <w:bookmarkStart w:id="53" w:name="_Toc178939554"/>
      <w:bookmarkStart w:id="54" w:name="_Toc188130555"/>
      <w:bookmarkStart w:id="55" w:name="_Toc165626303"/>
      <w:bookmarkStart w:id="56" w:name="_Toc187080766"/>
      <w:bookmarkStart w:id="57" w:name="_Toc188442528"/>
      <w:bookmarkStart w:id="58" w:name="_Toc178944958"/>
      <w:bookmarkStart w:id="59" w:name="_Toc178944206"/>
      <w:bookmarkStart w:id="60" w:name="_Toc224160592"/>
      <w:bookmarkStart w:id="61" w:name="_Toc224237652"/>
      <w:r>
        <w:t>1.1.2 Regional Perspective on Green Human Resource Management Practices</w:t>
      </w:r>
      <w:bookmarkEnd w:id="48"/>
      <w:bookmarkEnd w:id="49"/>
      <w:bookmarkEnd w:id="50"/>
      <w:bookmarkEnd w:id="51"/>
      <w:bookmarkEnd w:id="52"/>
      <w:bookmarkEnd w:id="53"/>
      <w:bookmarkEnd w:id="54"/>
      <w:bookmarkEnd w:id="55"/>
      <w:bookmarkEnd w:id="56"/>
      <w:bookmarkEnd w:id="57"/>
      <w:bookmarkEnd w:id="58"/>
      <w:bookmarkEnd w:id="59"/>
      <w:r w:rsidR="003E3FD2">
        <w:t xml:space="preserve"> and Performance</w:t>
      </w:r>
      <w:bookmarkEnd w:id="60"/>
      <w:bookmarkEnd w:id="61"/>
    </w:p>
    <w:p w14:paraId="47B94D67" w14:textId="77777777" w:rsidR="009F33CD" w:rsidRDefault="00E40740">
      <w:pPr>
        <w:spacing w:before="240"/>
        <w:rPr>
          <w:rFonts w:cs="Times New Roman"/>
          <w:bCs/>
          <w:color w:val="000000"/>
          <w:szCs w:val="24"/>
        </w:rPr>
      </w:pPr>
      <w:r>
        <w:rPr>
          <w:rFonts w:cs="Times New Roman"/>
          <w:bCs/>
          <w:color w:val="000000"/>
          <w:szCs w:val="24"/>
        </w:rPr>
        <w:t xml:space="preserve">Catherine (2016) found that effective employment practices can help organizations attract and retain high-quality employees. Investing in employees can lead to long-term benefits. The corporate sector is gradually shifting towards a sustainability-oriented approach, including green recruitment and selection practices. In implementing eco-friendly initiatives, HR expert has a major role in getting the support of employees by involving them in decision-making and actions that influence their jobs (Ren et al, 2018). One way of involving employees is by forming environmental teams comprising environmentally oriented employees (Mandip, 2012). Therefore, Green Human Resource Management (GHRM) has gotten special attention in contemporary research because of organizational concerns about sustainable development and awareness about environmental management. Afaneh </w:t>
      </w:r>
      <w:r>
        <w:rPr>
          <w:rFonts w:cs="Times New Roman"/>
          <w:bCs/>
          <w:i/>
          <w:color w:val="000000"/>
          <w:szCs w:val="24"/>
        </w:rPr>
        <w:t>et al</w:t>
      </w:r>
      <w:r>
        <w:rPr>
          <w:rFonts w:cs="Times New Roman"/>
          <w:bCs/>
          <w:color w:val="000000"/>
          <w:szCs w:val="24"/>
        </w:rPr>
        <w:t xml:space="preserve"> (2023) found a positive significant effect of sustainable job design and sustainable reward on corporate performance and environmental strategy. Further, it was found that environmental strategy mediated the relationship between sustainable job design, sustainable reward, and environmental strategy. </w:t>
      </w:r>
      <w:bookmarkStart w:id="62" w:name="_Hlk183418965"/>
    </w:p>
    <w:p w14:paraId="2ADB402A" w14:textId="77777777" w:rsidR="009F33CD" w:rsidRDefault="00E40740">
      <w:pPr>
        <w:spacing w:before="240"/>
        <w:rPr>
          <w:rFonts w:cs="Times New Roman"/>
          <w:bCs/>
          <w:color w:val="000000"/>
          <w:szCs w:val="24"/>
        </w:rPr>
      </w:pPr>
      <w:r>
        <w:rPr>
          <w:rFonts w:cs="Times New Roman"/>
          <w:szCs w:val="24"/>
        </w:rPr>
        <w:t>Oyedokun (2019) recommended that the Nigerian manufacturing industry should prioritize environmentally friendly business operations over stakeholders’ wealth maximization.</w:t>
      </w:r>
      <w:bookmarkStart w:id="63" w:name="_Hlk174528732"/>
      <w:bookmarkStart w:id="64" w:name="_Hlk174527825"/>
      <w:bookmarkEnd w:id="62"/>
      <w:r>
        <w:rPr>
          <w:rFonts w:cs="Times New Roman"/>
          <w:szCs w:val="24"/>
        </w:rPr>
        <w:t xml:space="preserve"> </w:t>
      </w:r>
      <w:r>
        <w:rPr>
          <w:rFonts w:eastAsia="TimesNewRoman" w:cs="Times New Roman"/>
          <w:szCs w:val="24"/>
        </w:rPr>
        <w:t>Arulrajah</w:t>
      </w:r>
      <w:r>
        <w:rPr>
          <w:rFonts w:cs="Times New Roman"/>
          <w:bCs/>
          <w:szCs w:val="24"/>
        </w:rPr>
        <w:t xml:space="preserve"> </w:t>
      </w:r>
      <w:r>
        <w:rPr>
          <w:rFonts w:cs="Times New Roman"/>
          <w:bCs/>
          <w:i/>
          <w:szCs w:val="24"/>
        </w:rPr>
        <w:t>et al</w:t>
      </w:r>
      <w:r>
        <w:rPr>
          <w:rFonts w:cs="Times New Roman"/>
          <w:bCs/>
          <w:szCs w:val="24"/>
        </w:rPr>
        <w:t xml:space="preserve"> (2015</w:t>
      </w:r>
      <w:bookmarkEnd w:id="63"/>
      <w:r>
        <w:rPr>
          <w:rFonts w:cs="Times New Roman"/>
          <w:bCs/>
          <w:szCs w:val="24"/>
        </w:rPr>
        <w:t xml:space="preserve">) </w:t>
      </w:r>
      <w:bookmarkEnd w:id="64"/>
      <w:r>
        <w:rPr>
          <w:rFonts w:cs="Times New Roman"/>
          <w:bCs/>
          <w:szCs w:val="24"/>
        </w:rPr>
        <w:t xml:space="preserve">explained that green HRM practices are important programs, processes, and techniques that should be applied in the organization to advance positive environmental impact. Proper Green HRM practices can help employees to create the right attitude toward greening and hence maintain sustainable environmental-related innovative behaviours. Vuyokazi (2019) stated that there was a moderate knowledge and understanding of green HRM activities and a </w:t>
      </w:r>
      <w:r>
        <w:rPr>
          <w:rFonts w:cs="Times New Roman"/>
          <w:bCs/>
          <w:szCs w:val="24"/>
        </w:rPr>
        <w:lastRenderedPageBreak/>
        <w:t xml:space="preserve">moderate application of green HRM principles at higher education institutions in KwaZulu-Natal. Further, there was no green HRM policy framework to guide green activities, even though the findings revealed a strong correlation between knowledge of green HRM activities and its implementation within higher education institutions. </w:t>
      </w:r>
    </w:p>
    <w:p w14:paraId="38394A46" w14:textId="77777777" w:rsidR="009F33CD" w:rsidRDefault="00E40740">
      <w:pPr>
        <w:spacing w:before="240"/>
        <w:rPr>
          <w:rFonts w:cs="Times New Roman"/>
          <w:bCs/>
          <w:szCs w:val="24"/>
        </w:rPr>
      </w:pPr>
      <w:r>
        <w:rPr>
          <w:rFonts w:cs="Times New Roman"/>
          <w:bCs/>
          <w:szCs w:val="24"/>
        </w:rPr>
        <w:t>Hossari and Elfahli (2023) alluded that that GHRM was still young among Moroccan ISO 14001 Certified Companies and only a few studies have been done amidst many challenges. Another study by Sobaih (2019) posits that Egyptian hotels do not apply GHRM practices because of the barriers facing the management and employees in the implementation process. Some of the GHRM practices that were considered in this study are: green job analysis and design, green recruitment and selection, green training and development, green induction, green discipline, green reward, and green employee relations.</w:t>
      </w:r>
    </w:p>
    <w:p w14:paraId="08E3300E" w14:textId="77777777" w:rsidR="009F33CD" w:rsidRDefault="00E40740">
      <w:pPr>
        <w:spacing w:before="240"/>
        <w:rPr>
          <w:rFonts w:cs="Times New Roman"/>
          <w:bCs/>
          <w:szCs w:val="24"/>
        </w:rPr>
      </w:pPr>
      <w:r>
        <w:rPr>
          <w:rFonts w:cs="Times New Roman"/>
          <w:bCs/>
          <w:szCs w:val="24"/>
        </w:rPr>
        <w:t xml:space="preserve">Guerci </w:t>
      </w:r>
      <w:r>
        <w:rPr>
          <w:rFonts w:cs="Times New Roman"/>
          <w:bCs/>
          <w:i/>
          <w:szCs w:val="24"/>
        </w:rPr>
        <w:t>et al</w:t>
      </w:r>
      <w:r>
        <w:rPr>
          <w:rFonts w:cs="Times New Roman"/>
          <w:bCs/>
          <w:szCs w:val="24"/>
        </w:rPr>
        <w:t xml:space="preserve"> (2016) explained that the amount and quality of green information provided on the website of an organization regarding green recruitment practices play a major role in attracting qualified job applicants. The information about jobs and relevant conditions of employment provided on the organization website usually reduces ambiguity about the employer and jobs available to the job applicants. Hameed </w:t>
      </w:r>
      <w:r>
        <w:rPr>
          <w:rFonts w:cs="Times New Roman"/>
          <w:bCs/>
          <w:i/>
          <w:szCs w:val="24"/>
        </w:rPr>
        <w:t>et al.</w:t>
      </w:r>
      <w:r>
        <w:rPr>
          <w:rFonts w:cs="Times New Roman"/>
          <w:bCs/>
          <w:szCs w:val="24"/>
        </w:rPr>
        <w:t xml:space="preserve"> (2020) opined that green safety and health is very important in promoting the safety and health of employees while at the same time providing a green environment that has less stress and reduced harmful effects. Greening hospitals is a strategy for reducing the impact of high temperatures and humidity. Heat or high temperatures can disrupt and compromise healthcare services as it reduces working productivity and increases the risk of accidents. It is difficult to complete work in hot weather because its effects on employees include profuse sweating, fatigue, dehydration, heat exhaustion, nausea, and other health problems. Heat can also be associated with hazardous air pollution which affects the health of employees (World Health Organization, 2024).  </w:t>
      </w:r>
    </w:p>
    <w:p w14:paraId="0EB74DA6" w14:textId="77777777" w:rsidR="009F33CD" w:rsidRDefault="00E40740">
      <w:pPr>
        <w:spacing w:before="240"/>
        <w:rPr>
          <w:rFonts w:cs="Times New Roman"/>
          <w:bCs/>
          <w:szCs w:val="24"/>
        </w:rPr>
      </w:pPr>
      <w:bookmarkStart w:id="65" w:name="_Hlk175261062"/>
      <w:r>
        <w:rPr>
          <w:rFonts w:cs="Times New Roman"/>
          <w:bCs/>
          <w:szCs w:val="24"/>
        </w:rPr>
        <w:t xml:space="preserve">Halawi and Zraket (2018) recommend the inclusion of green targets and goals in the areas that are important in the performance management system of an organization. In order to accomplish green results, green goals and targets should be set for managers </w:t>
      </w:r>
      <w:r>
        <w:rPr>
          <w:rFonts w:cs="Times New Roman"/>
          <w:bCs/>
          <w:szCs w:val="24"/>
        </w:rPr>
        <w:lastRenderedPageBreak/>
        <w:t xml:space="preserve">as well and such targets and goals should be included in their performance appraisals. </w:t>
      </w:r>
      <w:bookmarkEnd w:id="65"/>
      <w:r>
        <w:rPr>
          <w:rFonts w:cs="Times New Roman"/>
          <w:bCs/>
          <w:szCs w:val="24"/>
        </w:rPr>
        <w:t>Green performance appraisal covers topics such as environmental incidents, environmental responsibilities, and the communication of environmental policies. When employees are concerned about conserving the environment, they are more likely to support the organization’s efforts toward environmental management initiatives. Sharaf and Khalil (2021) argue that organizations are putting in efforts to improve sustainability through effective employee safety and health policies, which can also encompass environmental issues.</w:t>
      </w:r>
    </w:p>
    <w:p w14:paraId="292A9480" w14:textId="77777777" w:rsidR="009F33CD" w:rsidRDefault="00E40740" w:rsidP="000E48A9">
      <w:pPr>
        <w:pStyle w:val="Heading3"/>
      </w:pPr>
      <w:bookmarkStart w:id="66" w:name="_Toc178944959"/>
      <w:bookmarkStart w:id="67" w:name="_Toc178944207"/>
      <w:bookmarkStart w:id="68" w:name="_Toc165623523"/>
      <w:bookmarkStart w:id="69" w:name="_Toc178942550"/>
      <w:bookmarkStart w:id="70" w:name="_Toc188130556"/>
      <w:bookmarkStart w:id="71" w:name="_Toc188442529"/>
      <w:bookmarkStart w:id="72" w:name="_Toc188443903"/>
      <w:bookmarkStart w:id="73" w:name="_Toc187080767"/>
      <w:bookmarkStart w:id="74" w:name="_Toc178939555"/>
      <w:bookmarkStart w:id="75" w:name="_Toc185613997"/>
      <w:bookmarkStart w:id="76" w:name="_Toc165626304"/>
      <w:bookmarkStart w:id="77" w:name="_Toc178940509"/>
      <w:bookmarkStart w:id="78" w:name="_Toc224160593"/>
      <w:bookmarkStart w:id="79" w:name="_Toc224237653"/>
      <w:r>
        <w:t>1.1.3 Local Perspectives on Green Human Resource Management Practices</w:t>
      </w:r>
      <w:bookmarkEnd w:id="66"/>
      <w:bookmarkEnd w:id="67"/>
      <w:bookmarkEnd w:id="68"/>
      <w:bookmarkEnd w:id="69"/>
      <w:bookmarkEnd w:id="70"/>
      <w:bookmarkEnd w:id="71"/>
      <w:bookmarkEnd w:id="72"/>
      <w:bookmarkEnd w:id="73"/>
      <w:bookmarkEnd w:id="74"/>
      <w:bookmarkEnd w:id="75"/>
      <w:bookmarkEnd w:id="76"/>
      <w:bookmarkEnd w:id="77"/>
      <w:r w:rsidR="003E3FD2">
        <w:t xml:space="preserve"> and Performance</w:t>
      </w:r>
      <w:bookmarkEnd w:id="78"/>
      <w:bookmarkEnd w:id="79"/>
      <w:r>
        <w:t xml:space="preserve"> </w:t>
      </w:r>
    </w:p>
    <w:p w14:paraId="618FB901" w14:textId="77777777" w:rsidR="009F33CD" w:rsidRDefault="00E40740">
      <w:pPr>
        <w:spacing w:before="240" w:after="60"/>
        <w:rPr>
          <w:rFonts w:cs="Times New Roman"/>
          <w:bCs/>
          <w:szCs w:val="24"/>
        </w:rPr>
      </w:pPr>
      <w:r>
        <w:rPr>
          <w:rFonts w:cs="Times New Roman"/>
          <w:bCs/>
          <w:szCs w:val="24"/>
        </w:rPr>
        <w:t xml:space="preserve">Devolved healthcare services of Level Five Hospitals in Kenya have an obligation to ensure sustainable use of resources particularly water, electricity, and paper in order to reduce operational costs while at the same time being conscious of environmental sustainability through the application of green human resource management policies and practices. Greening employees can conserve resources provide environmentally friendly products and operations; can manage and implement corporate environmental programs effectively. </w:t>
      </w:r>
    </w:p>
    <w:p w14:paraId="61B958A4" w14:textId="77777777" w:rsidR="009F33CD" w:rsidRDefault="00E40740">
      <w:pPr>
        <w:spacing w:before="240" w:after="60"/>
        <w:rPr>
          <w:rFonts w:cs="Times New Roman"/>
          <w:bCs/>
          <w:szCs w:val="24"/>
        </w:rPr>
      </w:pPr>
      <w:r>
        <w:rPr>
          <w:rFonts w:cs="Times New Roman"/>
          <w:bCs/>
          <w:szCs w:val="24"/>
        </w:rPr>
        <w:t xml:space="preserve">Mwita (2019) opines that GHRM is about making use of employees to achieve organizational goals while ensuring that deliberate efforts are made for the employees to contribute towards environmental protection and conservation by engaging in human activities at work that will not affect the natural ecosystem negatively. Green HRM offers several advantages to different organizations most of which are associated with business performance such as attracting more customers, corporate social responsibility through compliance with legal and ethical standards, and environmental sustainability such as a clean and safe environment. </w:t>
      </w:r>
    </w:p>
    <w:p w14:paraId="1E8A8065" w14:textId="77777777" w:rsidR="009F33CD" w:rsidRDefault="00E40740">
      <w:pPr>
        <w:spacing w:before="240" w:after="60"/>
        <w:rPr>
          <w:rFonts w:cs="Times New Roman"/>
          <w:bCs/>
          <w:szCs w:val="24"/>
        </w:rPr>
      </w:pPr>
      <w:r>
        <w:rPr>
          <w:rFonts w:cs="Times New Roman"/>
          <w:bCs/>
          <w:szCs w:val="24"/>
        </w:rPr>
        <w:t xml:space="preserve">Shah (2019) explained that a lot of effort is required to reduce occupational stress and sickness and initiate activities that protect the environment and livelihoods of communities. Green occupational safety and health practices tend to reduce harmful consequences in order to avoid health concerns and improve the well-being of employees. Green occupational safety and health are, therefore, important in </w:t>
      </w:r>
      <w:r>
        <w:rPr>
          <w:rFonts w:cs="Times New Roman"/>
          <w:bCs/>
          <w:szCs w:val="24"/>
        </w:rPr>
        <w:lastRenderedPageBreak/>
        <w:t xml:space="preserve">improving client satisfaction, firm image, and sustainable performance. The managers in devolved healthcare services should carry out suitable and sufficient risk assessments for the safety and health of members of staff and clients. The employees on the other hand, should report to the supervisor in a prescribed manner any accidents, injuries, or near misses that arise in the work place and if urgent action is required, the situation must be reported and information forwarded to the appropriate department as soon as possible (OSHA, 2017). </w:t>
      </w:r>
    </w:p>
    <w:p w14:paraId="426C5CFC" w14:textId="77777777" w:rsidR="009F33CD" w:rsidRDefault="00E40740">
      <w:pPr>
        <w:autoSpaceDE/>
        <w:autoSpaceDN/>
        <w:adjustRightInd/>
        <w:spacing w:before="240" w:after="200"/>
        <w:rPr>
          <w:rFonts w:cs="Times New Roman"/>
          <w:bCs/>
          <w:szCs w:val="24"/>
        </w:rPr>
      </w:pPr>
      <w:r>
        <w:rPr>
          <w:rFonts w:cs="Times New Roman"/>
          <w:bCs/>
          <w:szCs w:val="24"/>
        </w:rPr>
        <w:t xml:space="preserve">Kenya Vision 2030 aspires for the nation to achieve a clean, secure, and sustainable environment. The healthcare sector in Kenya is making significant contributions to environmental sustainability. Key initiatives in this sector include the use of renewable energy sources such as solar and wind power, and energy efficiency which reduces carbon emissions and lowers operational costs. Additionally, healthcare facilities in the sector are investing in buildings and infrastructure that are carbon-zero-emission and making the transition towards sustainable travel and transport. Green Human Resource Management practices have also been adopted by some Kenyan organizations including healthcare facilities. For instance, according to Owino and Kwasira (2016), these organizations have implemented automation services that allow employees to access their pay slips remotely, apply for jobs online, and use an e-learning portal for training materials. According to the Kenyan Healthcare Sector (2016), the shortage of health workers and employee turnover pose great opportunities for solutions contributing to effective capacity building. Curriculum development, training content, problem-based learning, and e-learning are examples of much needed expertise to strengthen human resources for health. </w:t>
      </w:r>
    </w:p>
    <w:p w14:paraId="52381586" w14:textId="77777777" w:rsidR="009F33CD" w:rsidRDefault="00E40740">
      <w:pPr>
        <w:autoSpaceDE/>
        <w:autoSpaceDN/>
        <w:adjustRightInd/>
        <w:spacing w:before="240" w:after="200"/>
        <w:rPr>
          <w:rFonts w:cs="Times New Roman"/>
          <w:bCs/>
          <w:szCs w:val="24"/>
        </w:rPr>
      </w:pPr>
      <w:r>
        <w:rPr>
          <w:rFonts w:cs="Times New Roman"/>
          <w:bCs/>
          <w:szCs w:val="24"/>
        </w:rPr>
        <w:t>In addition, hospital management skills are increasingly viewed as a separate discipline that needs to be invested in. Most health workers are employed in the private sector, in which the competition for doctors drives the costs of healthcare. Health care challenges are improving the capacity of training, and efficiency of health workers, and reducing the so-called brain-drain where trained health workers look for better opportunities in the private sector and foreign countries.</w:t>
      </w:r>
      <w:bookmarkStart w:id="80" w:name="_Hlk185354477"/>
      <w:r>
        <w:rPr>
          <w:rFonts w:cs="Times New Roman"/>
          <w:bCs/>
          <w:szCs w:val="24"/>
        </w:rPr>
        <w:t xml:space="preserve"> Kuria and Mose (2019) posit that green recruitment and selection, green human resource performance management, green training and development, and green pay and reward have a significant and </w:t>
      </w:r>
      <w:r>
        <w:rPr>
          <w:rFonts w:cs="Times New Roman"/>
          <w:bCs/>
          <w:szCs w:val="24"/>
        </w:rPr>
        <w:lastRenderedPageBreak/>
        <w:t>positive relationship with the organizational effectiveness of universities in Kenya</w:t>
      </w:r>
      <w:bookmarkEnd w:id="80"/>
      <w:r>
        <w:rPr>
          <w:rFonts w:cs="Times New Roman"/>
          <w:bCs/>
          <w:szCs w:val="24"/>
        </w:rPr>
        <w:t xml:space="preserve">. The study concluded that recruitment and selection should be based on those employees with green skills and that pay and rewards should be used to motivate eco-friendly employees. Mandago (2019) opines that green human resource management practices (green recruitment and selection, green training and development, green reward, and green performance management) had a positive and significant influence on environmental sustainability in service-based state corporations in Kenya. The study recommended that state corporations should adopt green HRM initiatives that can enhance environmental sustainability. </w:t>
      </w:r>
    </w:p>
    <w:p w14:paraId="4C9E97AF" w14:textId="77777777" w:rsidR="009F33CD" w:rsidRDefault="00E40740">
      <w:pPr>
        <w:autoSpaceDE/>
        <w:autoSpaceDN/>
        <w:adjustRightInd/>
        <w:rPr>
          <w:rFonts w:cs="Times New Roman"/>
          <w:bCs/>
          <w:szCs w:val="24"/>
        </w:rPr>
      </w:pPr>
      <w:r>
        <w:rPr>
          <w:rFonts w:cs="Times New Roman"/>
          <w:bCs/>
          <w:szCs w:val="24"/>
        </w:rPr>
        <w:t xml:space="preserve">According to Ngeno (2014), upgrading employees’ skills and knowledge puts them in a better position to produce high-quality products and services most cost-effectively, they adapted to change and it increased their contribution to their work through product or process innovation. Employees were prepared for increased responsibilities and saw </w:t>
      </w:r>
      <w:bookmarkStart w:id="81" w:name="_Hlk185372805"/>
      <w:r>
        <w:rPr>
          <w:rFonts w:cs="Times New Roman"/>
          <w:bCs/>
          <w:szCs w:val="24"/>
        </w:rPr>
        <w:t>value in training as it helped them progress in their careers and enhanced their capacity for continuous improvement</w:t>
      </w:r>
      <w:bookmarkEnd w:id="81"/>
      <w:r>
        <w:rPr>
          <w:rFonts w:cs="Times New Roman"/>
          <w:bCs/>
          <w:szCs w:val="24"/>
        </w:rPr>
        <w:t xml:space="preserve">. </w:t>
      </w:r>
      <w:r>
        <w:rPr>
          <w:rFonts w:cs="Times New Roman"/>
          <w:bCs/>
          <w:color w:val="000000"/>
          <w:szCs w:val="24"/>
          <w:lang w:eastAsia="en-GB" w:bidi="th-TH"/>
        </w:rPr>
        <w:t>Healthcare organizations interested in environmental responsibility should go beyond the green construction of buildings into green operations and service delivery. Such green operations should include eliminating harmful chemicals and products in maintenance and cleaning, medical procedures, and patient care. Significant examples include the use of non-latex gloves and the elimination of mercury thermometers from the workplace.</w:t>
      </w:r>
    </w:p>
    <w:p w14:paraId="7B2E04E3" w14:textId="77777777" w:rsidR="009F33CD" w:rsidRDefault="00E40740" w:rsidP="000E48A9">
      <w:pPr>
        <w:pStyle w:val="Heading3"/>
      </w:pPr>
      <w:bookmarkStart w:id="82" w:name="_Toc178940510"/>
      <w:bookmarkStart w:id="83" w:name="_Toc185613998"/>
      <w:bookmarkStart w:id="84" w:name="_Toc178944208"/>
      <w:bookmarkStart w:id="85" w:name="_Toc188442530"/>
      <w:bookmarkStart w:id="86" w:name="_Toc178939556"/>
      <w:bookmarkStart w:id="87" w:name="_Toc188443904"/>
      <w:bookmarkStart w:id="88" w:name="_Toc188130557"/>
      <w:bookmarkStart w:id="89" w:name="_Toc187080768"/>
      <w:bookmarkStart w:id="90" w:name="_Toc178942551"/>
      <w:bookmarkStart w:id="91" w:name="_Toc178944960"/>
      <w:bookmarkStart w:id="92" w:name="_Toc224160594"/>
      <w:bookmarkStart w:id="93" w:name="_Toc224237654"/>
      <w:r>
        <w:t>1.1.4 Devolved Healthcare Services</w:t>
      </w:r>
      <w:bookmarkEnd w:id="82"/>
      <w:bookmarkEnd w:id="83"/>
      <w:bookmarkEnd w:id="84"/>
      <w:bookmarkEnd w:id="85"/>
      <w:bookmarkEnd w:id="86"/>
      <w:bookmarkEnd w:id="87"/>
      <w:bookmarkEnd w:id="88"/>
      <w:bookmarkEnd w:id="89"/>
      <w:bookmarkEnd w:id="90"/>
      <w:bookmarkEnd w:id="91"/>
      <w:bookmarkEnd w:id="92"/>
      <w:bookmarkEnd w:id="93"/>
    </w:p>
    <w:p w14:paraId="2F7E8362" w14:textId="77777777" w:rsidR="009F33CD" w:rsidRDefault="00E40740">
      <w:pPr>
        <w:autoSpaceDE/>
        <w:autoSpaceDN/>
        <w:adjustRightInd/>
        <w:spacing w:after="200"/>
        <w:rPr>
          <w:rFonts w:cs="Times New Roman"/>
          <w:bCs/>
          <w:szCs w:val="24"/>
        </w:rPr>
      </w:pPr>
      <w:r>
        <w:rPr>
          <w:rFonts w:cs="Times New Roman"/>
          <w:szCs w:val="24"/>
        </w:rPr>
        <w:t xml:space="preserve">In 2010, the revised Kenya Constitution devolved the responsibility of public health service delivery for primary and secondary health services to the 47 counties. In 2013, after the elections, the new Constitution of 2010 came into force and this changed the roles and responsibilities of national government to county governments. The change of roles and responsibilities in the health sector is referred to as the </w:t>
      </w:r>
      <w:bookmarkStart w:id="94" w:name="_Hlk202865514"/>
      <w:r>
        <w:rPr>
          <w:rFonts w:cs="Times New Roman"/>
          <w:szCs w:val="24"/>
        </w:rPr>
        <w:t>devolution of healthcare services whose main goal is to enhance access to services and equity in resource allocation, improve efficiency and accountability thereby improving health service delivery to the majority of Kenyans (Kenyan Healthcare Sector, 2016).</w:t>
      </w:r>
      <w:bookmarkStart w:id="95" w:name="_Hlk183461818"/>
      <w:r>
        <w:rPr>
          <w:rFonts w:cs="Times New Roman"/>
          <w:szCs w:val="24"/>
        </w:rPr>
        <w:t xml:space="preserve"> Following the devolution of healthcare services in 2013, healthcare facilities </w:t>
      </w:r>
      <w:r>
        <w:rPr>
          <w:rFonts w:cs="Times New Roman"/>
          <w:szCs w:val="24"/>
        </w:rPr>
        <w:lastRenderedPageBreak/>
        <w:t>experienced both performance and persistent systemic challenges such as staff shortages, low motivation, inadequate skillsets for sustainable healthcare practices and inefficiencies in service delivery (Barasa et al.</w:t>
      </w:r>
      <w:r w:rsidR="00BA3B94">
        <w:rPr>
          <w:rFonts w:cs="Times New Roman"/>
          <w:szCs w:val="24"/>
        </w:rPr>
        <w:t>, 2017</w:t>
      </w:r>
      <w:r>
        <w:rPr>
          <w:rFonts w:cs="Times New Roman"/>
          <w:szCs w:val="24"/>
        </w:rPr>
        <w:t>; Tsofa et al., 2017)</w:t>
      </w:r>
    </w:p>
    <w:bookmarkEnd w:id="94"/>
    <w:p w14:paraId="23831774" w14:textId="77777777" w:rsidR="009F33CD" w:rsidRDefault="00E40740">
      <w:pPr>
        <w:autoSpaceDE/>
        <w:autoSpaceDN/>
        <w:adjustRightInd/>
        <w:spacing w:after="200"/>
        <w:rPr>
          <w:rFonts w:cs="Times New Roman"/>
          <w:szCs w:val="24"/>
        </w:rPr>
      </w:pPr>
      <w:r>
        <w:rPr>
          <w:rFonts w:cs="Times New Roman"/>
          <w:szCs w:val="24"/>
        </w:rPr>
        <w:t xml:space="preserve">The Health Act of 2017 provides for the technical classification of healthcare service delivery </w:t>
      </w:r>
      <w:bookmarkEnd w:id="95"/>
      <w:r>
        <w:rPr>
          <w:rFonts w:cs="Times New Roman"/>
          <w:szCs w:val="24"/>
        </w:rPr>
        <w:t xml:space="preserve">as: level 1 which consists of community health services; level 2 comprises of dispensary or clinic health facilities; level 3 which consists of health centers; level 4 which consists of primary or county hospitals; Level Five which comprises of secondary care (county referral) hospitals and finally level 6 which comprises of tertiary (national referral) hospitals. This study focused on Level Five Hospitals which are also regarded as county referral hospitals whose mandate is to provide devolved healthcare services. Most of these Level Five Hospitals were former provincial hospitals and some upgraded district hospitals that were meant to serve as regional referral hospitals. The national government and county governments have allocated proportionately more resources (Ministry of Health, 2017) to health to enable these hospitals to provide better-devolved healthcare services and serve as referral centers for specialized healthcare service delivery. Kenyan Healthcare Sector (2016) reported that the devolved healthcare services were meant to bring more ownership and decision power to the local level. </w:t>
      </w:r>
    </w:p>
    <w:p w14:paraId="7727703D" w14:textId="77777777" w:rsidR="009F33CD" w:rsidRDefault="00E40740">
      <w:pPr>
        <w:spacing w:after="240"/>
        <w:rPr>
          <w:rFonts w:cs="Times New Roman"/>
          <w:szCs w:val="24"/>
        </w:rPr>
      </w:pPr>
      <w:r>
        <w:rPr>
          <w:rFonts w:eastAsia="TimesNewRoman" w:cs="Times New Roman"/>
          <w:bCs/>
          <w:szCs w:val="24"/>
        </w:rPr>
        <w:t xml:space="preserve">Devolved healthcare services should integrate green initiatives into their human resources for health (HRH) management for improved environmental sustainability and healthcare performance. </w:t>
      </w:r>
      <w:r>
        <w:rPr>
          <w:rFonts w:cs="Times New Roman"/>
          <w:szCs w:val="24"/>
        </w:rPr>
        <w:t>The Kenya health sector can be divided into three subsectors: first, the public sector, which includes all government health facilities (hospitals, clinics, health centers, and dispensaries), medical schools, and the public pharmaceutical supply chain called KEMSA; second, the non-commercial private sector, which includes the Faith Based Organization (FBO) and Non-Governmental Organization (NGO), which include mission health facilities (hospitals, clinics, and dispensaries), medical schools and MEDS; the Faith-Based pharmaceutical supply agency; and third, the private commercial sector which includes healthcare facilities, medical distributors and suppliers, pharmaceutical manufacturers, health financing, that is, health insurance, ICT in health, health management advisory and training institutions (Kenyan Healthcare Sector, 2016).</w:t>
      </w:r>
    </w:p>
    <w:p w14:paraId="3F09CFB8" w14:textId="77777777" w:rsidR="009F33CD" w:rsidRDefault="00E40740">
      <w:pPr>
        <w:pStyle w:val="Heading2"/>
        <w:rPr>
          <w:b w:val="0"/>
          <w:lang w:val="en-GB"/>
        </w:rPr>
      </w:pPr>
      <w:bookmarkStart w:id="96" w:name="_Toc224237655"/>
      <w:bookmarkStart w:id="97" w:name="_Hlk185374680"/>
      <w:bookmarkStart w:id="98" w:name="_Toc398128747"/>
      <w:bookmarkStart w:id="99" w:name="_Toc418015881"/>
      <w:bookmarkStart w:id="100" w:name="_Toc398129155"/>
      <w:bookmarkStart w:id="101" w:name="_Toc275416729"/>
      <w:bookmarkStart w:id="102" w:name="_Toc274142824"/>
      <w:r>
        <w:rPr>
          <w:lang w:val="en-GB"/>
        </w:rPr>
        <w:lastRenderedPageBreak/>
        <w:t>1.2</w:t>
      </w:r>
      <w:r>
        <w:rPr>
          <w:b w:val="0"/>
          <w:lang w:val="en-GB"/>
        </w:rPr>
        <w:t xml:space="preserve"> </w:t>
      </w:r>
      <w:r>
        <w:rPr>
          <w:rStyle w:val="Heading2Char"/>
          <w:rFonts w:eastAsia="Arial Unicode MS"/>
          <w:b/>
          <w:lang w:val="en-GB"/>
        </w:rPr>
        <w:t>Statement of the Problem</w:t>
      </w:r>
      <w:bookmarkEnd w:id="96"/>
    </w:p>
    <w:p w14:paraId="76728D8C" w14:textId="77777777" w:rsidR="00E423FC" w:rsidRPr="00E423FC" w:rsidRDefault="00E40740" w:rsidP="00E423FC">
      <w:pPr>
        <w:spacing w:after="240"/>
        <w:rPr>
          <w:rFonts w:eastAsia="Calibri" w:cs="Times New Roman"/>
          <w:bCs/>
          <w:color w:val="000000"/>
          <w:szCs w:val="24"/>
          <w:lang w:eastAsia="en-GB" w:bidi="th-TH"/>
        </w:rPr>
      </w:pPr>
      <w:r>
        <w:rPr>
          <w:rFonts w:eastAsia="Calibri" w:cs="Times New Roman"/>
          <w:bCs/>
          <w:color w:val="000000"/>
          <w:szCs w:val="24"/>
          <w:lang w:eastAsia="en-GB" w:bidi="th-TH"/>
        </w:rPr>
        <w:t>A properly performing devolved healthcare service is important for ensuring adequate access to quality and affordable healthcare delivered through efficient and sustainable use of limited resources (</w:t>
      </w:r>
      <w:r>
        <w:rPr>
          <w:rFonts w:eastAsia="Calibri" w:cs="Times New Roman"/>
          <w:bCs/>
          <w:color w:val="000000"/>
          <w:szCs w:val="24"/>
          <w:lang w:val="en-US" w:eastAsia="en-GB" w:bidi="th-TH"/>
        </w:rPr>
        <w:t>Zeng et al., 2022)</w:t>
      </w:r>
      <w:r>
        <w:rPr>
          <w:rFonts w:eastAsia="Calibri" w:cs="Times New Roman"/>
          <w:bCs/>
          <w:color w:val="000000"/>
          <w:szCs w:val="24"/>
          <w:lang w:eastAsia="en-GB" w:bidi="th-TH"/>
        </w:rPr>
        <w:t xml:space="preserve">. </w:t>
      </w:r>
      <w:r w:rsidR="00D353D2" w:rsidRPr="00D353D2">
        <w:rPr>
          <w:rFonts w:eastAsia="Calibri" w:cs="Times New Roman"/>
          <w:bCs/>
          <w:color w:val="000000"/>
          <w:szCs w:val="24"/>
          <w:lang w:eastAsia="en-GB" w:bidi="th-TH"/>
        </w:rPr>
        <w:t xml:space="preserve">However, from 2014 to 2019 reveals persistent performance gaps in </w:t>
      </w:r>
      <w:r w:rsidR="00D353D2">
        <w:rPr>
          <w:rFonts w:eastAsia="Calibri" w:cs="Times New Roman"/>
          <w:bCs/>
          <w:color w:val="000000"/>
          <w:szCs w:val="24"/>
          <w:lang w:eastAsia="en-GB" w:bidi="th-TH"/>
        </w:rPr>
        <w:t>devolved healthcare services</w:t>
      </w:r>
      <w:r w:rsidR="00CC0F7C">
        <w:rPr>
          <w:rFonts w:eastAsia="Calibri" w:cs="Times New Roman"/>
          <w:bCs/>
          <w:color w:val="000000"/>
          <w:szCs w:val="24"/>
          <w:lang w:eastAsia="en-GB" w:bidi="th-TH"/>
        </w:rPr>
        <w:t xml:space="preserve"> in Kenya</w:t>
      </w:r>
      <w:r w:rsidR="00D353D2" w:rsidRPr="00D353D2">
        <w:rPr>
          <w:rFonts w:eastAsia="Calibri" w:cs="Times New Roman"/>
          <w:bCs/>
          <w:color w:val="000000"/>
          <w:szCs w:val="24"/>
          <w:lang w:eastAsia="en-GB" w:bidi="th-TH"/>
        </w:rPr>
        <w:t xml:space="preserve">. Despite increased institutional live birth coverage, the quality of care remained a concern, with a median technical efficiency score of only 84% by 2018; over 57% of counties saw a decline in efficiency </w:t>
      </w:r>
      <w:r w:rsidR="00D353D2">
        <w:rPr>
          <w:rFonts w:eastAsia="Calibri" w:cs="Times New Roman"/>
          <w:bCs/>
          <w:color w:val="000000"/>
          <w:szCs w:val="24"/>
          <w:lang w:eastAsia="en-GB" w:bidi="th-TH"/>
        </w:rPr>
        <w:t>(</w:t>
      </w:r>
      <w:r w:rsidR="00D353D2" w:rsidRPr="00D353D2">
        <w:rPr>
          <w:rFonts w:eastAsia="Calibri" w:cs="Times New Roman"/>
          <w:bCs/>
          <w:color w:val="000000"/>
          <w:szCs w:val="24"/>
          <w:lang w:eastAsia="en-GB" w:bidi="th-TH"/>
        </w:rPr>
        <w:t>Moses, et al., 2021</w:t>
      </w:r>
      <w:r w:rsidR="00D353D2">
        <w:rPr>
          <w:rFonts w:eastAsia="Calibri" w:cs="Times New Roman"/>
          <w:bCs/>
          <w:color w:val="000000"/>
          <w:szCs w:val="24"/>
          <w:lang w:eastAsia="en-GB" w:bidi="th-TH"/>
        </w:rPr>
        <w:t>)</w:t>
      </w:r>
      <w:r w:rsidR="00D353D2" w:rsidRPr="00D353D2">
        <w:rPr>
          <w:rFonts w:eastAsia="Calibri" w:cs="Times New Roman"/>
          <w:bCs/>
          <w:color w:val="000000"/>
          <w:szCs w:val="24"/>
          <w:lang w:eastAsia="en-GB" w:bidi="th-TH"/>
        </w:rPr>
        <w:t xml:space="preserve">. </w:t>
      </w:r>
      <w:r w:rsidR="00401D30" w:rsidRPr="00A525B1">
        <w:rPr>
          <w:rFonts w:eastAsia="Calibri" w:cs="Times New Roman"/>
          <w:bCs/>
          <w:color w:val="000000"/>
          <w:szCs w:val="24"/>
          <w:lang w:eastAsia="en-GB" w:bidi="th-TH"/>
        </w:rPr>
        <w:t xml:space="preserve">Critical failures included a 32% mean availability of essential medicines in 2014 and approximately 50% of performance issues being linked to poor budget absorption, which </w:t>
      </w:r>
      <w:r w:rsidR="00401D30">
        <w:rPr>
          <w:rFonts w:eastAsia="Calibri" w:cs="Times New Roman"/>
          <w:bCs/>
          <w:color w:val="000000"/>
          <w:szCs w:val="24"/>
          <w:lang w:eastAsia="en-GB" w:bidi="th-TH"/>
        </w:rPr>
        <w:t xml:space="preserve">negatively affected </w:t>
      </w:r>
      <w:r w:rsidR="00401D30" w:rsidRPr="00A525B1">
        <w:rPr>
          <w:rFonts w:eastAsia="Calibri" w:cs="Times New Roman"/>
          <w:bCs/>
          <w:color w:val="000000"/>
          <w:szCs w:val="24"/>
          <w:lang w:eastAsia="en-GB" w:bidi="th-TH"/>
        </w:rPr>
        <w:t>commodity procurement (Ministry of Health, 2019).</w:t>
      </w:r>
      <w:r w:rsidR="00E423FC">
        <w:rPr>
          <w:rFonts w:eastAsia="Calibri" w:cs="Times New Roman"/>
          <w:bCs/>
          <w:color w:val="000000"/>
          <w:szCs w:val="24"/>
          <w:lang w:eastAsia="en-GB" w:bidi="th-TH"/>
        </w:rPr>
        <w:t xml:space="preserve"> </w:t>
      </w:r>
      <w:r w:rsidR="00401D30" w:rsidRPr="00A525B1">
        <w:rPr>
          <w:rFonts w:eastAsia="Calibri" w:cs="Times New Roman"/>
          <w:bCs/>
          <w:color w:val="000000"/>
          <w:szCs w:val="24"/>
          <w:lang w:eastAsia="en-GB" w:bidi="th-TH"/>
        </w:rPr>
        <w:t xml:space="preserve">These structural weaknesses were </w:t>
      </w:r>
      <w:r w:rsidR="00E423FC">
        <w:rPr>
          <w:rFonts w:eastAsia="Calibri" w:cs="Times New Roman"/>
          <w:bCs/>
          <w:color w:val="000000"/>
          <w:szCs w:val="24"/>
          <w:lang w:eastAsia="en-GB" w:bidi="th-TH"/>
        </w:rPr>
        <w:t>compounded by</w:t>
      </w:r>
      <w:r w:rsidR="00401D30" w:rsidRPr="00A525B1">
        <w:rPr>
          <w:rFonts w:eastAsia="Calibri" w:cs="Times New Roman"/>
          <w:bCs/>
          <w:color w:val="000000"/>
          <w:szCs w:val="24"/>
          <w:lang w:eastAsia="en-GB" w:bidi="th-TH"/>
        </w:rPr>
        <w:t xml:space="preserve"> </w:t>
      </w:r>
      <w:r w:rsidR="00E423FC">
        <w:rPr>
          <w:rFonts w:eastAsia="Calibri" w:cs="Times New Roman"/>
          <w:bCs/>
          <w:color w:val="000000"/>
          <w:szCs w:val="24"/>
          <w:lang w:eastAsia="en-GB" w:bidi="th-TH"/>
        </w:rPr>
        <w:t xml:space="preserve">health workers’ strike in 2017 </w:t>
      </w:r>
      <w:r w:rsidR="00401D30" w:rsidRPr="00A525B1">
        <w:rPr>
          <w:rFonts w:eastAsia="Calibri" w:cs="Times New Roman"/>
          <w:bCs/>
          <w:color w:val="000000"/>
          <w:szCs w:val="24"/>
          <w:lang w:eastAsia="en-GB" w:bidi="th-TH"/>
        </w:rPr>
        <w:t xml:space="preserve">and political crises, causing maternal mortality spikes in counties like Nairobi and Vihiga. </w:t>
      </w:r>
      <w:r w:rsidR="00E423FC" w:rsidRPr="00A525B1">
        <w:rPr>
          <w:rFonts w:eastAsia="Calibri" w:cs="Times New Roman"/>
          <w:bCs/>
          <w:color w:val="000000"/>
          <w:szCs w:val="24"/>
          <w:lang w:eastAsia="en-GB" w:bidi="th-TH"/>
        </w:rPr>
        <w:t xml:space="preserve">Amidst growing global environmental pressures (Aburahma et al., 2020), Human Resource Management </w:t>
      </w:r>
      <w:r w:rsidR="0051706E">
        <w:rPr>
          <w:rFonts w:eastAsia="Calibri" w:cs="Times New Roman"/>
          <w:bCs/>
          <w:color w:val="000000"/>
          <w:szCs w:val="24"/>
          <w:lang w:eastAsia="en-GB" w:bidi="th-TH"/>
        </w:rPr>
        <w:t>function has an important role fo</w:t>
      </w:r>
      <w:r w:rsidR="00E423FC" w:rsidRPr="00A525B1">
        <w:rPr>
          <w:rFonts w:eastAsia="Calibri" w:cs="Times New Roman"/>
          <w:bCs/>
          <w:color w:val="000000"/>
          <w:szCs w:val="24"/>
          <w:lang w:eastAsia="en-GB" w:bidi="th-TH"/>
        </w:rPr>
        <w:t xml:space="preserve">r integrating green practices </w:t>
      </w:r>
      <w:r w:rsidR="0051706E">
        <w:rPr>
          <w:rFonts w:eastAsia="Calibri" w:cs="Times New Roman"/>
          <w:bCs/>
          <w:color w:val="000000"/>
          <w:szCs w:val="24"/>
          <w:lang w:eastAsia="en-GB" w:bidi="th-TH"/>
        </w:rPr>
        <w:t>in</w:t>
      </w:r>
      <w:r w:rsidR="00E423FC" w:rsidRPr="00A525B1">
        <w:rPr>
          <w:rFonts w:eastAsia="Calibri" w:cs="Times New Roman"/>
          <w:bCs/>
          <w:color w:val="000000"/>
          <w:szCs w:val="24"/>
          <w:lang w:eastAsia="en-GB" w:bidi="th-TH"/>
        </w:rPr>
        <w:t xml:space="preserve">to </w:t>
      </w:r>
      <w:r w:rsidR="0051706E">
        <w:rPr>
          <w:rFonts w:eastAsia="Calibri" w:cs="Times New Roman"/>
          <w:bCs/>
          <w:color w:val="000000"/>
          <w:szCs w:val="24"/>
          <w:lang w:eastAsia="en-GB" w:bidi="th-TH"/>
        </w:rPr>
        <w:t xml:space="preserve">organizational culture thereby enhancing </w:t>
      </w:r>
      <w:r w:rsidR="00E423FC">
        <w:rPr>
          <w:rFonts w:eastAsia="Calibri" w:cs="Times New Roman"/>
          <w:bCs/>
          <w:color w:val="000000"/>
          <w:szCs w:val="24"/>
          <w:lang w:eastAsia="en-GB" w:bidi="th-TH"/>
        </w:rPr>
        <w:t>performance</w:t>
      </w:r>
      <w:r w:rsidR="00E423FC" w:rsidRPr="00A525B1">
        <w:rPr>
          <w:rFonts w:eastAsia="Calibri" w:cs="Times New Roman"/>
          <w:bCs/>
          <w:color w:val="000000"/>
          <w:szCs w:val="24"/>
          <w:lang w:eastAsia="en-GB" w:bidi="th-TH"/>
        </w:rPr>
        <w:t xml:space="preserve"> (Arulrajah et al., 2015; Kim et al., 2019). However, </w:t>
      </w:r>
      <w:r w:rsidR="0051706E">
        <w:rPr>
          <w:rFonts w:eastAsia="Calibri" w:cs="Times New Roman"/>
          <w:bCs/>
          <w:color w:val="000000"/>
          <w:szCs w:val="24"/>
          <w:lang w:eastAsia="en-GB" w:bidi="th-TH"/>
        </w:rPr>
        <w:t xml:space="preserve">past </w:t>
      </w:r>
      <w:r w:rsidR="00E423FC" w:rsidRPr="00A525B1">
        <w:rPr>
          <w:rFonts w:eastAsia="Calibri" w:cs="Times New Roman"/>
          <w:bCs/>
          <w:color w:val="000000"/>
          <w:szCs w:val="24"/>
          <w:lang w:eastAsia="en-GB" w:bidi="th-TH"/>
        </w:rPr>
        <w:t>GHRM research has overlooked the healthcare sector, focusing instead on other industries (Mwita, 2019; Sharifa &amp; Mohammed, 2019; Mandago, 2018; Kuria, 2019; Langat, 2017)</w:t>
      </w:r>
      <w:r w:rsidR="00CC0F7C">
        <w:rPr>
          <w:rFonts w:eastAsia="Calibri" w:cs="Times New Roman"/>
          <w:bCs/>
          <w:color w:val="000000"/>
          <w:szCs w:val="24"/>
          <w:lang w:eastAsia="en-GB" w:bidi="th-TH"/>
        </w:rPr>
        <w:t>. Thus, this study focuses on the effect of GHRM practices on performance of devolved healthcare services in Kenya.</w:t>
      </w:r>
    </w:p>
    <w:p w14:paraId="23AD2D8C" w14:textId="77777777" w:rsidR="00A22C4F" w:rsidRPr="00A22C4F" w:rsidRDefault="00F650E9" w:rsidP="00A22C4F">
      <w:pPr>
        <w:spacing w:after="240"/>
        <w:rPr>
          <w:rFonts w:eastAsia="TimesNewRoman" w:cs="Times New Roman"/>
          <w:bCs/>
          <w:szCs w:val="24"/>
        </w:rPr>
      </w:pPr>
      <w:r w:rsidRPr="00F650E9">
        <w:rPr>
          <w:rFonts w:eastAsia="TimesNewRoman" w:cs="Times New Roman"/>
          <w:bCs/>
          <w:szCs w:val="24"/>
        </w:rPr>
        <w:t>Despite efforts to enhance efficiency through devolution, Kenya’s</w:t>
      </w:r>
      <w:r>
        <w:rPr>
          <w:rFonts w:eastAsia="TimesNewRoman" w:cs="Times New Roman"/>
          <w:bCs/>
          <w:szCs w:val="24"/>
        </w:rPr>
        <w:t xml:space="preserve"> devolved </w:t>
      </w:r>
      <w:r w:rsidRPr="00F650E9">
        <w:rPr>
          <w:rFonts w:eastAsia="TimesNewRoman" w:cs="Times New Roman"/>
          <w:bCs/>
          <w:szCs w:val="24"/>
        </w:rPr>
        <w:t xml:space="preserve">healthcare </w:t>
      </w:r>
      <w:r>
        <w:rPr>
          <w:rFonts w:eastAsia="TimesNewRoman" w:cs="Times New Roman"/>
          <w:bCs/>
          <w:szCs w:val="24"/>
        </w:rPr>
        <w:t>services</w:t>
      </w:r>
      <w:r w:rsidRPr="00F650E9">
        <w:rPr>
          <w:rFonts w:eastAsia="TimesNewRoman" w:cs="Times New Roman"/>
          <w:bCs/>
          <w:szCs w:val="24"/>
        </w:rPr>
        <w:t xml:space="preserve"> continue to struggle with staffing shortages and operational delays caused by traditional, paper-intensive recruitment </w:t>
      </w:r>
      <w:r w:rsidR="00D05221">
        <w:rPr>
          <w:rFonts w:eastAsia="TimesNewRoman" w:cs="Times New Roman"/>
          <w:bCs/>
          <w:szCs w:val="24"/>
        </w:rPr>
        <w:t xml:space="preserve">and selection </w:t>
      </w:r>
      <w:r w:rsidRPr="00F650E9">
        <w:rPr>
          <w:rFonts w:eastAsia="TimesNewRoman" w:cs="Times New Roman"/>
          <w:bCs/>
          <w:szCs w:val="24"/>
        </w:rPr>
        <w:t xml:space="preserve">processes (Barasa et al., 2017; Langat &amp; Kwasira, 2016; Zeng et al., 2022). While global literature indicates that green employee resourcing can improve institutional </w:t>
      </w:r>
      <w:r>
        <w:rPr>
          <w:rFonts w:eastAsia="TimesNewRoman" w:cs="Times New Roman"/>
          <w:bCs/>
          <w:szCs w:val="24"/>
        </w:rPr>
        <w:t xml:space="preserve">sustainability </w:t>
      </w:r>
      <w:r w:rsidRPr="00F650E9">
        <w:rPr>
          <w:rFonts w:eastAsia="TimesNewRoman" w:cs="Times New Roman"/>
          <w:bCs/>
          <w:szCs w:val="24"/>
        </w:rPr>
        <w:t>and attract talent with eco-friendly competencies, its application within Kenya’s devolved health services remains under-researched (</w:t>
      </w:r>
      <w:r w:rsidR="00357838" w:rsidRPr="00357838">
        <w:rPr>
          <w:rFonts w:eastAsia="TimesNewRoman" w:cs="Times New Roman"/>
          <w:bCs/>
          <w:szCs w:val="24"/>
        </w:rPr>
        <w:t>Mwita &amp; Kinemo, 2018; Opatha &amp; Arulrajah, 2014; Kiplangat et al., 2022)</w:t>
      </w:r>
      <w:r w:rsidRPr="00F650E9">
        <w:rPr>
          <w:rFonts w:eastAsia="TimesNewRoman" w:cs="Times New Roman"/>
          <w:bCs/>
          <w:szCs w:val="24"/>
        </w:rPr>
        <w:t xml:space="preserve">. </w:t>
      </w:r>
      <w:bookmarkStart w:id="103" w:name="_Hlk219212243"/>
      <w:r w:rsidR="00A22C4F" w:rsidRPr="00A22C4F">
        <w:rPr>
          <w:rFonts w:eastAsia="Arial Unicode MS" w:cs="Times New Roman"/>
          <w:color w:val="000000"/>
          <w:szCs w:val="24"/>
        </w:rPr>
        <w:t xml:space="preserve">Despite advancements in healthcare access since devolution, Kenyan counties encounter persistent hurdles in service efficiency, resource optimization, and waste management (Barasa et al., 2017). These challenges are intensified by a reliance on paper-based training that prioritizes general clinical </w:t>
      </w:r>
      <w:r w:rsidR="00A22C4F" w:rsidRPr="00A22C4F">
        <w:rPr>
          <w:rFonts w:eastAsia="Arial Unicode MS" w:cs="Times New Roman"/>
          <w:color w:val="000000"/>
          <w:szCs w:val="24"/>
        </w:rPr>
        <w:lastRenderedPageBreak/>
        <w:t xml:space="preserve">skills over </w:t>
      </w:r>
      <w:r w:rsidR="00567125">
        <w:rPr>
          <w:rFonts w:eastAsia="Arial Unicode MS" w:cs="Times New Roman"/>
          <w:color w:val="000000"/>
          <w:szCs w:val="24"/>
        </w:rPr>
        <w:t>vital</w:t>
      </w:r>
      <w:r w:rsidR="00A22C4F" w:rsidRPr="00A22C4F">
        <w:rPr>
          <w:rFonts w:eastAsia="Arial Unicode MS" w:cs="Times New Roman"/>
          <w:color w:val="000000"/>
          <w:szCs w:val="24"/>
        </w:rPr>
        <w:t xml:space="preserve"> green competencies (Otieno et al., 2022; Dadzie et al., 2022). While global evidence suggests that green training (GT) fosters environmental sustainability and enhances organizational </w:t>
      </w:r>
      <w:r w:rsidR="00567125">
        <w:rPr>
          <w:rFonts w:eastAsia="Arial Unicode MS" w:cs="Times New Roman"/>
          <w:color w:val="000000"/>
          <w:szCs w:val="24"/>
        </w:rPr>
        <w:t>performance</w:t>
      </w:r>
      <w:r w:rsidR="00A22C4F" w:rsidRPr="00A22C4F">
        <w:rPr>
          <w:rFonts w:eastAsia="Arial Unicode MS" w:cs="Times New Roman"/>
          <w:color w:val="000000"/>
          <w:szCs w:val="24"/>
        </w:rPr>
        <w:t xml:space="preserve"> (Huma et al., 2017; Tang et al., 2018; Jabbour, 2015), there remains a significant empirical gap regarding the </w:t>
      </w:r>
      <w:r w:rsidR="00D05221">
        <w:rPr>
          <w:rFonts w:eastAsia="Arial Unicode MS" w:cs="Times New Roman"/>
          <w:color w:val="000000"/>
          <w:szCs w:val="24"/>
        </w:rPr>
        <w:t xml:space="preserve">effect </w:t>
      </w:r>
      <w:r w:rsidR="00A22C4F" w:rsidRPr="00A22C4F">
        <w:rPr>
          <w:rFonts w:eastAsia="Arial Unicode MS" w:cs="Times New Roman"/>
          <w:color w:val="000000"/>
          <w:szCs w:val="24"/>
        </w:rPr>
        <w:t>of GT on the performance of devolved healthcare services in Kenya, which this study seeks to address.</w:t>
      </w:r>
    </w:p>
    <w:bookmarkEnd w:id="103"/>
    <w:p w14:paraId="45B906BC" w14:textId="77777777" w:rsidR="00875E3F" w:rsidRDefault="00875E3F">
      <w:pPr>
        <w:spacing w:after="240"/>
        <w:rPr>
          <w:rFonts w:eastAsia="Arial Unicode MS" w:cs="Times New Roman"/>
          <w:bCs/>
          <w:color w:val="000000"/>
          <w:szCs w:val="24"/>
        </w:rPr>
      </w:pPr>
      <w:r w:rsidRPr="00875E3F">
        <w:rPr>
          <w:rFonts w:eastAsia="Arial Unicode MS" w:cs="Times New Roman"/>
          <w:bCs/>
          <w:color w:val="000000"/>
          <w:szCs w:val="24"/>
        </w:rPr>
        <w:t xml:space="preserve">In Kenya, healthcare Occupational Safety and Health has historically relied on reactive compliance and basic hazard mitigation, such as PPE distribution, rather than proactive, long-term strategies (Takala et al., 2019). This limited scope fails to address broader sustainability needs, leaving devolved healthcare </w:t>
      </w:r>
      <w:r>
        <w:rPr>
          <w:rFonts w:eastAsia="Arial Unicode MS" w:cs="Times New Roman"/>
          <w:bCs/>
          <w:color w:val="000000"/>
          <w:szCs w:val="24"/>
        </w:rPr>
        <w:t>services</w:t>
      </w:r>
      <w:r w:rsidRPr="00875E3F">
        <w:rPr>
          <w:rFonts w:eastAsia="Arial Unicode MS" w:cs="Times New Roman"/>
          <w:bCs/>
          <w:color w:val="000000"/>
          <w:szCs w:val="24"/>
        </w:rPr>
        <w:t xml:space="preserve"> struggling with performance hurdles related to waste management and suboptimal working environments. Globally, the rise of Green Occupational Safety and Health (GOSH) has successfully merged environmental stewardship with workplace safety through initiatives like waste reduction, air quality control, and sustainable infrastructure, which collectively boost both employee well-being and institutional efficiency (Shah, 2019; WHO, 2017). Despite these international trends, there is a significant lack of empirical </w:t>
      </w:r>
      <w:r w:rsidR="00D05221">
        <w:rPr>
          <w:rFonts w:eastAsia="Arial Unicode MS" w:cs="Times New Roman"/>
          <w:bCs/>
          <w:color w:val="000000"/>
          <w:szCs w:val="24"/>
        </w:rPr>
        <w:t xml:space="preserve">research regarding the effect of </w:t>
      </w:r>
      <w:r w:rsidRPr="00875E3F">
        <w:rPr>
          <w:rFonts w:eastAsia="Arial Unicode MS" w:cs="Times New Roman"/>
          <w:bCs/>
          <w:color w:val="000000"/>
          <w:szCs w:val="24"/>
        </w:rPr>
        <w:t xml:space="preserve">GOSH </w:t>
      </w:r>
      <w:r w:rsidR="00D05221">
        <w:rPr>
          <w:rFonts w:eastAsia="Arial Unicode MS" w:cs="Times New Roman"/>
          <w:bCs/>
          <w:color w:val="000000"/>
          <w:szCs w:val="24"/>
        </w:rPr>
        <w:t xml:space="preserve">on performance of devolved healthcare services in Kenya, </w:t>
      </w:r>
      <w:r w:rsidRPr="00875E3F">
        <w:rPr>
          <w:rFonts w:eastAsia="Arial Unicode MS" w:cs="Times New Roman"/>
          <w:bCs/>
          <w:color w:val="000000"/>
          <w:szCs w:val="24"/>
        </w:rPr>
        <w:t>a gap that this research aims to bridge</w:t>
      </w:r>
      <w:r>
        <w:rPr>
          <w:rFonts w:eastAsia="Arial Unicode MS" w:cs="Times New Roman"/>
          <w:bCs/>
          <w:color w:val="000000"/>
          <w:szCs w:val="24"/>
        </w:rPr>
        <w:t>.</w:t>
      </w:r>
    </w:p>
    <w:p w14:paraId="664440F2" w14:textId="77777777" w:rsidR="00CC0F7C" w:rsidRDefault="00415130" w:rsidP="0051706E">
      <w:pPr>
        <w:spacing w:after="240"/>
        <w:rPr>
          <w:rFonts w:eastAsia="Arial Unicode MS" w:cs="Times New Roman"/>
          <w:bCs/>
          <w:color w:val="000000"/>
          <w:szCs w:val="24"/>
        </w:rPr>
      </w:pPr>
      <w:r w:rsidRPr="00415130">
        <w:rPr>
          <w:rFonts w:eastAsia="Arial Unicode MS" w:cs="Times New Roman"/>
          <w:bCs/>
          <w:color w:val="000000"/>
          <w:szCs w:val="24"/>
        </w:rPr>
        <w:t xml:space="preserve">Green performance evaluation is widely acknowledged for promoting sustainable organizational performance </w:t>
      </w:r>
      <w:r>
        <w:rPr>
          <w:rFonts w:eastAsia="Arial Unicode MS" w:cs="Times New Roman"/>
          <w:bCs/>
          <w:color w:val="000000"/>
          <w:szCs w:val="24"/>
        </w:rPr>
        <w:t>(</w:t>
      </w:r>
      <w:r w:rsidRPr="00415130">
        <w:rPr>
          <w:rFonts w:eastAsia="Arial Unicode MS" w:cs="Times New Roman"/>
          <w:bCs/>
          <w:color w:val="000000"/>
          <w:szCs w:val="24"/>
        </w:rPr>
        <w:t>Longoni et al., 2018; Malik et al., 2021; Arulrajah et al., 2015</w:t>
      </w:r>
      <w:r>
        <w:rPr>
          <w:rFonts w:eastAsia="Arial Unicode MS" w:cs="Times New Roman"/>
          <w:bCs/>
          <w:color w:val="000000"/>
          <w:szCs w:val="24"/>
        </w:rPr>
        <w:t>)</w:t>
      </w:r>
      <w:r w:rsidRPr="00415130">
        <w:rPr>
          <w:rFonts w:eastAsia="Arial Unicode MS" w:cs="Times New Roman"/>
          <w:bCs/>
          <w:color w:val="000000"/>
          <w:szCs w:val="24"/>
        </w:rPr>
        <w:t>. However, Kenya's healthcare services face performance challenges due to manual evaluation processes</w:t>
      </w:r>
      <w:r w:rsidR="00FF4A41">
        <w:rPr>
          <w:rFonts w:eastAsia="Arial Unicode MS" w:cs="Times New Roman"/>
          <w:bCs/>
          <w:color w:val="000000"/>
          <w:szCs w:val="24"/>
        </w:rPr>
        <w:t xml:space="preserve"> that </w:t>
      </w:r>
      <w:r w:rsidRPr="00415130">
        <w:rPr>
          <w:rFonts w:eastAsia="Arial Unicode MS" w:cs="Times New Roman"/>
          <w:bCs/>
          <w:color w:val="000000"/>
          <w:szCs w:val="24"/>
        </w:rPr>
        <w:t>focus primarily on clinical targets rather than green indicators</w:t>
      </w:r>
      <w:r w:rsidR="00EE2F6F">
        <w:rPr>
          <w:rFonts w:eastAsia="Arial Unicode MS" w:cs="Times New Roman"/>
          <w:bCs/>
          <w:color w:val="000000"/>
          <w:szCs w:val="24"/>
        </w:rPr>
        <w:t>. D</w:t>
      </w:r>
      <w:r w:rsidRPr="00415130">
        <w:rPr>
          <w:rFonts w:eastAsia="Arial Unicode MS" w:cs="Times New Roman"/>
          <w:bCs/>
          <w:color w:val="000000"/>
          <w:szCs w:val="24"/>
        </w:rPr>
        <w:t xml:space="preserve">espite the potential benefits of integrating green metrics for both environmental responsibility and overall performance </w:t>
      </w:r>
      <w:r>
        <w:rPr>
          <w:rFonts w:eastAsia="Arial Unicode MS" w:cs="Times New Roman"/>
          <w:bCs/>
          <w:color w:val="000000"/>
          <w:szCs w:val="24"/>
        </w:rPr>
        <w:t>(</w:t>
      </w:r>
      <w:r w:rsidRPr="00415130">
        <w:rPr>
          <w:rFonts w:eastAsia="Arial Unicode MS" w:cs="Times New Roman"/>
          <w:bCs/>
          <w:color w:val="000000"/>
          <w:szCs w:val="24"/>
        </w:rPr>
        <w:t>Zeng et al., 2022; Leal Filho et al., 2024; Jabbour et al., 2019; Malik et al., 2021</w:t>
      </w:r>
      <w:r>
        <w:rPr>
          <w:rFonts w:eastAsia="Arial Unicode MS" w:cs="Times New Roman"/>
          <w:bCs/>
          <w:color w:val="000000"/>
          <w:szCs w:val="24"/>
        </w:rPr>
        <w:t>)</w:t>
      </w:r>
      <w:r w:rsidR="00EE2F6F">
        <w:rPr>
          <w:rFonts w:eastAsia="Arial Unicode MS" w:cs="Times New Roman"/>
          <w:bCs/>
          <w:color w:val="000000"/>
          <w:szCs w:val="24"/>
        </w:rPr>
        <w:t xml:space="preserve">, </w:t>
      </w:r>
      <w:r w:rsidRPr="00415130">
        <w:rPr>
          <w:rFonts w:eastAsia="Arial Unicode MS" w:cs="Times New Roman"/>
          <w:bCs/>
          <w:color w:val="000000"/>
          <w:szCs w:val="24"/>
        </w:rPr>
        <w:t>the</w:t>
      </w:r>
      <w:r w:rsidR="00EE2F6F">
        <w:rPr>
          <w:rFonts w:eastAsia="Arial Unicode MS" w:cs="Times New Roman"/>
          <w:bCs/>
          <w:color w:val="000000"/>
          <w:szCs w:val="24"/>
        </w:rPr>
        <w:t>re is</w:t>
      </w:r>
      <w:r w:rsidRPr="00415130">
        <w:rPr>
          <w:rFonts w:eastAsia="Arial Unicode MS" w:cs="Times New Roman"/>
          <w:bCs/>
          <w:color w:val="000000"/>
          <w:szCs w:val="24"/>
        </w:rPr>
        <w:t xml:space="preserve"> lack of empirical evidence linking green performance evaluation to </w:t>
      </w:r>
      <w:r w:rsidR="00EE2F6F">
        <w:rPr>
          <w:rFonts w:eastAsia="Arial Unicode MS" w:cs="Times New Roman"/>
          <w:bCs/>
          <w:color w:val="000000"/>
          <w:szCs w:val="24"/>
        </w:rPr>
        <w:t>performance of</w:t>
      </w:r>
      <w:r w:rsidRPr="00415130">
        <w:rPr>
          <w:rFonts w:eastAsia="Arial Unicode MS" w:cs="Times New Roman"/>
          <w:bCs/>
          <w:color w:val="000000"/>
          <w:szCs w:val="24"/>
        </w:rPr>
        <w:t xml:space="preserve"> </w:t>
      </w:r>
      <w:r w:rsidR="00CC0F7C">
        <w:rPr>
          <w:rFonts w:eastAsia="Arial Unicode MS" w:cs="Times New Roman"/>
          <w:bCs/>
          <w:color w:val="000000"/>
          <w:szCs w:val="24"/>
        </w:rPr>
        <w:t xml:space="preserve">devolved </w:t>
      </w:r>
      <w:r w:rsidRPr="00415130">
        <w:rPr>
          <w:rFonts w:eastAsia="Arial Unicode MS" w:cs="Times New Roman"/>
          <w:bCs/>
          <w:color w:val="000000"/>
          <w:szCs w:val="24"/>
        </w:rPr>
        <w:t>healthcare service</w:t>
      </w:r>
      <w:r w:rsidR="00CC0F7C">
        <w:rPr>
          <w:rFonts w:eastAsia="Arial Unicode MS" w:cs="Times New Roman"/>
          <w:bCs/>
          <w:color w:val="000000"/>
          <w:szCs w:val="24"/>
        </w:rPr>
        <w:t>s</w:t>
      </w:r>
      <w:r w:rsidRPr="00415130">
        <w:rPr>
          <w:rFonts w:eastAsia="Arial Unicode MS" w:cs="Times New Roman"/>
          <w:bCs/>
          <w:color w:val="000000"/>
          <w:szCs w:val="24"/>
        </w:rPr>
        <w:t xml:space="preserve"> in Kenya. </w:t>
      </w:r>
    </w:p>
    <w:p w14:paraId="637C7E45" w14:textId="77777777" w:rsidR="0051706E" w:rsidRDefault="0051706E" w:rsidP="0051706E">
      <w:pPr>
        <w:spacing w:after="240"/>
        <w:rPr>
          <w:rFonts w:eastAsia="Arial Unicode MS" w:cs="Times New Roman"/>
          <w:szCs w:val="24"/>
        </w:rPr>
      </w:pPr>
      <w:r w:rsidRPr="0051706E">
        <w:rPr>
          <w:rFonts w:eastAsia="Arial Unicode MS" w:cs="Times New Roman"/>
          <w:szCs w:val="24"/>
        </w:rPr>
        <w:t xml:space="preserve">Management style </w:t>
      </w:r>
      <w:r w:rsidR="0024196B">
        <w:rPr>
          <w:rFonts w:eastAsia="Arial Unicode MS" w:cs="Times New Roman"/>
          <w:szCs w:val="24"/>
        </w:rPr>
        <w:t xml:space="preserve">acts either as catalyst or a barrier on the relationship between </w:t>
      </w:r>
      <w:r w:rsidR="00BC05CB">
        <w:rPr>
          <w:rFonts w:eastAsia="Arial Unicode MS" w:cs="Times New Roman"/>
          <w:szCs w:val="24"/>
        </w:rPr>
        <w:t xml:space="preserve">joint </w:t>
      </w:r>
      <w:r w:rsidRPr="0051706E">
        <w:rPr>
          <w:rFonts w:eastAsia="Arial Unicode MS" w:cs="Times New Roman"/>
          <w:szCs w:val="24"/>
        </w:rPr>
        <w:t>Green Human Resource Management</w:t>
      </w:r>
      <w:r>
        <w:rPr>
          <w:rFonts w:eastAsia="Arial Unicode MS" w:cs="Times New Roman"/>
          <w:szCs w:val="24"/>
        </w:rPr>
        <w:t xml:space="preserve"> </w:t>
      </w:r>
      <w:r w:rsidR="00EE2F6F">
        <w:rPr>
          <w:rFonts w:eastAsia="Arial Unicode MS" w:cs="Times New Roman"/>
          <w:szCs w:val="24"/>
        </w:rPr>
        <w:t xml:space="preserve">practices </w:t>
      </w:r>
      <w:r w:rsidR="0024196B">
        <w:rPr>
          <w:rFonts w:eastAsia="Arial Unicode MS" w:cs="Times New Roman"/>
          <w:szCs w:val="24"/>
        </w:rPr>
        <w:t>and</w:t>
      </w:r>
      <w:r w:rsidRPr="0051706E">
        <w:rPr>
          <w:rFonts w:eastAsia="Arial Unicode MS" w:cs="Times New Roman"/>
          <w:szCs w:val="24"/>
        </w:rPr>
        <w:t xml:space="preserve"> the performance of Kenya's devolved healthcare services</w:t>
      </w:r>
      <w:r>
        <w:rPr>
          <w:rFonts w:eastAsia="Arial Unicode MS" w:cs="Times New Roman"/>
          <w:szCs w:val="24"/>
        </w:rPr>
        <w:t>.</w:t>
      </w:r>
      <w:r w:rsidRPr="0051706E">
        <w:rPr>
          <w:rFonts w:eastAsia="Arial Unicode MS" w:cs="Times New Roman"/>
          <w:szCs w:val="24"/>
        </w:rPr>
        <w:t xml:space="preserve"> While various </w:t>
      </w:r>
      <w:r>
        <w:rPr>
          <w:rFonts w:eastAsia="Arial Unicode MS" w:cs="Times New Roman"/>
          <w:szCs w:val="24"/>
        </w:rPr>
        <w:t>management</w:t>
      </w:r>
      <w:r w:rsidRPr="0051706E">
        <w:rPr>
          <w:rFonts w:eastAsia="Arial Unicode MS" w:cs="Times New Roman"/>
          <w:szCs w:val="24"/>
        </w:rPr>
        <w:t xml:space="preserve"> </w:t>
      </w:r>
      <w:r w:rsidR="00307014">
        <w:rPr>
          <w:rFonts w:eastAsia="Arial Unicode MS" w:cs="Times New Roman"/>
          <w:szCs w:val="24"/>
        </w:rPr>
        <w:t>styles</w:t>
      </w:r>
      <w:r>
        <w:rPr>
          <w:rFonts w:eastAsia="Arial Unicode MS" w:cs="Times New Roman"/>
          <w:szCs w:val="24"/>
        </w:rPr>
        <w:t xml:space="preserve">, </w:t>
      </w:r>
      <w:r w:rsidRPr="0051706E">
        <w:rPr>
          <w:rFonts w:eastAsia="Arial Unicode MS" w:cs="Times New Roman"/>
          <w:szCs w:val="24"/>
        </w:rPr>
        <w:t xml:space="preserve">such as bureaucratic, </w:t>
      </w:r>
      <w:r w:rsidRPr="0051706E">
        <w:rPr>
          <w:rFonts w:eastAsia="Arial Unicode MS" w:cs="Times New Roman"/>
          <w:szCs w:val="24"/>
        </w:rPr>
        <w:lastRenderedPageBreak/>
        <w:t>participative, and autocratic</w:t>
      </w:r>
      <w:r>
        <w:rPr>
          <w:rFonts w:eastAsia="Arial Unicode MS" w:cs="Times New Roman"/>
          <w:szCs w:val="24"/>
        </w:rPr>
        <w:t xml:space="preserve">, </w:t>
      </w:r>
      <w:r w:rsidRPr="0051706E">
        <w:rPr>
          <w:rFonts w:eastAsia="Arial Unicode MS" w:cs="Times New Roman"/>
          <w:szCs w:val="24"/>
        </w:rPr>
        <w:t xml:space="preserve">are known to affect performance in diverse ways (Sofi &amp; Devanadhen, 2015; Mohammad et al., 2017), their specific role in moderating the </w:t>
      </w:r>
      <w:r w:rsidR="00307014">
        <w:rPr>
          <w:rFonts w:eastAsia="Arial Unicode MS" w:cs="Times New Roman"/>
          <w:szCs w:val="24"/>
        </w:rPr>
        <w:t xml:space="preserve">relationship between GHRM practices and performance of devolved healthcare services </w:t>
      </w:r>
      <w:r w:rsidRPr="0051706E">
        <w:rPr>
          <w:rFonts w:eastAsia="Arial Unicode MS" w:cs="Times New Roman"/>
          <w:szCs w:val="24"/>
        </w:rPr>
        <w:t xml:space="preserve">remains </w:t>
      </w:r>
      <w:r w:rsidR="00307014">
        <w:rPr>
          <w:rFonts w:eastAsia="Arial Unicode MS" w:cs="Times New Roman"/>
          <w:szCs w:val="24"/>
        </w:rPr>
        <w:t>under-researched</w:t>
      </w:r>
      <w:r w:rsidRPr="0051706E">
        <w:rPr>
          <w:rFonts w:eastAsia="Arial Unicode MS" w:cs="Times New Roman"/>
          <w:szCs w:val="24"/>
        </w:rPr>
        <w:t xml:space="preserve">. By addressing this empirical gap, the study offers </w:t>
      </w:r>
      <w:r w:rsidR="009C4BBD">
        <w:rPr>
          <w:rFonts w:eastAsia="Arial Unicode MS" w:cs="Times New Roman"/>
          <w:szCs w:val="24"/>
        </w:rPr>
        <w:t>important</w:t>
      </w:r>
      <w:r w:rsidRPr="0051706E">
        <w:rPr>
          <w:rFonts w:eastAsia="Arial Unicode MS" w:cs="Times New Roman"/>
          <w:szCs w:val="24"/>
        </w:rPr>
        <w:t xml:space="preserve"> insights </w:t>
      </w:r>
      <w:r w:rsidR="0024196B">
        <w:rPr>
          <w:rFonts w:eastAsia="Arial Unicode MS" w:cs="Times New Roman"/>
          <w:szCs w:val="24"/>
        </w:rPr>
        <w:t xml:space="preserve">on the type of management style to apply in </w:t>
      </w:r>
      <w:r w:rsidRPr="0051706E">
        <w:rPr>
          <w:rFonts w:eastAsia="Arial Unicode MS" w:cs="Times New Roman"/>
          <w:szCs w:val="24"/>
        </w:rPr>
        <w:t>design</w:t>
      </w:r>
      <w:r w:rsidR="0024196B">
        <w:rPr>
          <w:rFonts w:eastAsia="Arial Unicode MS" w:cs="Times New Roman"/>
          <w:szCs w:val="24"/>
        </w:rPr>
        <w:t>ing</w:t>
      </w:r>
      <w:r w:rsidRPr="0051706E">
        <w:rPr>
          <w:rFonts w:eastAsia="Arial Unicode MS" w:cs="Times New Roman"/>
          <w:szCs w:val="24"/>
        </w:rPr>
        <w:t xml:space="preserve"> and implement</w:t>
      </w:r>
      <w:r w:rsidR="0024196B">
        <w:rPr>
          <w:rFonts w:eastAsia="Arial Unicode MS" w:cs="Times New Roman"/>
          <w:szCs w:val="24"/>
        </w:rPr>
        <w:t xml:space="preserve">ing </w:t>
      </w:r>
      <w:r w:rsidRPr="0051706E">
        <w:rPr>
          <w:rFonts w:eastAsia="Arial Unicode MS" w:cs="Times New Roman"/>
          <w:szCs w:val="24"/>
        </w:rPr>
        <w:t>robust green HR</w:t>
      </w:r>
      <w:r w:rsidR="009C4BBD">
        <w:rPr>
          <w:rFonts w:eastAsia="Arial Unicode MS" w:cs="Times New Roman"/>
          <w:szCs w:val="24"/>
        </w:rPr>
        <w:t>M</w:t>
      </w:r>
      <w:r w:rsidRPr="0051706E">
        <w:rPr>
          <w:rFonts w:eastAsia="Arial Unicode MS" w:cs="Times New Roman"/>
          <w:szCs w:val="24"/>
        </w:rPr>
        <w:t xml:space="preserve"> policies </w:t>
      </w:r>
      <w:r w:rsidR="009C4BBD">
        <w:rPr>
          <w:rFonts w:eastAsia="Arial Unicode MS" w:cs="Times New Roman"/>
          <w:szCs w:val="24"/>
        </w:rPr>
        <w:t xml:space="preserve">and practices </w:t>
      </w:r>
      <w:r w:rsidRPr="0051706E">
        <w:rPr>
          <w:rFonts w:eastAsia="Arial Unicode MS" w:cs="Times New Roman"/>
          <w:szCs w:val="24"/>
        </w:rPr>
        <w:t>that enhance the overall efficiency</w:t>
      </w:r>
      <w:r w:rsidR="00EE2F6F">
        <w:rPr>
          <w:rFonts w:eastAsia="Arial Unicode MS" w:cs="Times New Roman"/>
          <w:szCs w:val="24"/>
        </w:rPr>
        <w:t xml:space="preserve"> devolved hea</w:t>
      </w:r>
      <w:r w:rsidRPr="0051706E">
        <w:rPr>
          <w:rFonts w:eastAsia="Arial Unicode MS" w:cs="Times New Roman"/>
          <w:szCs w:val="24"/>
        </w:rPr>
        <w:t>lthcare s</w:t>
      </w:r>
      <w:r w:rsidR="00EE2F6F">
        <w:rPr>
          <w:rFonts w:eastAsia="Arial Unicode MS" w:cs="Times New Roman"/>
          <w:szCs w:val="24"/>
        </w:rPr>
        <w:t xml:space="preserve">ervices </w:t>
      </w:r>
      <w:r w:rsidRPr="0051706E">
        <w:rPr>
          <w:rFonts w:eastAsia="Arial Unicode MS" w:cs="Times New Roman"/>
          <w:szCs w:val="24"/>
        </w:rPr>
        <w:t>in Kenya</w:t>
      </w:r>
      <w:r>
        <w:rPr>
          <w:rFonts w:eastAsia="Arial Unicode MS" w:cs="Times New Roman"/>
          <w:szCs w:val="24"/>
        </w:rPr>
        <w:t>.</w:t>
      </w:r>
    </w:p>
    <w:p w14:paraId="3A050EA9" w14:textId="77777777" w:rsidR="009F33CD" w:rsidRPr="00872657" w:rsidRDefault="00E40740" w:rsidP="000E48A9">
      <w:pPr>
        <w:pStyle w:val="Heading2"/>
      </w:pPr>
      <w:bookmarkStart w:id="104" w:name="_Toc224237656"/>
      <w:bookmarkEnd w:id="97"/>
      <w:r w:rsidRPr="00872657">
        <w:t xml:space="preserve">1.3 </w:t>
      </w:r>
      <w:r w:rsidRPr="000E48A9">
        <w:t>Objectives</w:t>
      </w:r>
      <w:r w:rsidRPr="00872657">
        <w:t xml:space="preserve"> of the Study</w:t>
      </w:r>
      <w:bookmarkEnd w:id="98"/>
      <w:bookmarkEnd w:id="99"/>
      <w:bookmarkEnd w:id="100"/>
      <w:bookmarkEnd w:id="104"/>
    </w:p>
    <w:p w14:paraId="6F102AF4" w14:textId="77777777" w:rsidR="009F33CD" w:rsidRDefault="00E40740">
      <w:pPr>
        <w:spacing w:after="240"/>
      </w:pPr>
      <w:bookmarkStart w:id="105" w:name="_Toc11329110"/>
      <w:bookmarkStart w:id="106" w:name="_Toc4148567"/>
      <w:bookmarkStart w:id="107" w:name="_Toc523765976"/>
      <w:bookmarkStart w:id="108" w:name="_Toc416329845"/>
      <w:bookmarkStart w:id="109" w:name="_Toc418015882"/>
      <w:bookmarkStart w:id="110" w:name="_Toc398128748"/>
      <w:bookmarkStart w:id="111" w:name="_Toc523764140"/>
      <w:bookmarkStart w:id="112" w:name="_Toc33469818"/>
      <w:bookmarkStart w:id="113" w:name="_Toc529121457"/>
      <w:bookmarkStart w:id="114" w:name="_Toc398130146"/>
      <w:bookmarkStart w:id="115" w:name="_Toc5651588"/>
      <w:bookmarkStart w:id="116" w:name="_Toc398129156"/>
      <w:bookmarkStart w:id="117" w:name="_Toc523762490"/>
      <w:bookmarkStart w:id="118" w:name="_Toc529115516"/>
      <w:bookmarkStart w:id="119" w:name="_Toc398131797"/>
      <w:bookmarkStart w:id="120" w:name="_Toc33440962"/>
      <w:r>
        <w:t>This study was guided by the following general and specific objectives.</w:t>
      </w:r>
      <w:bookmarkStart w:id="121" w:name="_Toc398131798"/>
      <w:bookmarkStart w:id="122" w:name="_Toc529121458"/>
      <w:bookmarkStart w:id="123" w:name="_Toc398129157"/>
      <w:bookmarkStart w:id="124" w:name="_Toc4148568"/>
      <w:bookmarkStart w:id="125" w:name="_Toc398130147"/>
      <w:bookmarkStart w:id="126" w:name="_Toc398128749"/>
      <w:bookmarkStart w:id="127" w:name="_Toc529115517"/>
      <w:bookmarkStart w:id="128" w:name="_Toc418015883"/>
      <w:bookmarkStart w:id="129" w:name="_Toc565158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A4CD05E" w14:textId="77777777" w:rsidR="009F33CD" w:rsidRPr="00872657" w:rsidRDefault="00E40740" w:rsidP="000E48A9">
      <w:pPr>
        <w:pStyle w:val="Heading3"/>
      </w:pPr>
      <w:bookmarkStart w:id="130" w:name="_Toc187080771"/>
      <w:bookmarkStart w:id="131" w:name="_Toc165626309"/>
      <w:bookmarkStart w:id="132" w:name="_Toc33469819"/>
      <w:bookmarkStart w:id="133" w:name="_Toc178944211"/>
      <w:bookmarkStart w:id="134" w:name="_Toc178942554"/>
      <w:bookmarkStart w:id="135" w:name="_Toc165623528"/>
      <w:bookmarkStart w:id="136" w:name="_Toc11329111"/>
      <w:bookmarkStart w:id="137" w:name="_Toc178940513"/>
      <w:bookmarkStart w:id="138" w:name="_Toc185614001"/>
      <w:bookmarkStart w:id="139" w:name="_Toc33440963"/>
      <w:bookmarkStart w:id="140" w:name="_Toc147950175"/>
      <w:bookmarkStart w:id="141" w:name="_Toc178939559"/>
      <w:bookmarkStart w:id="142" w:name="_Toc178944963"/>
      <w:bookmarkStart w:id="143" w:name="_Toc224237657"/>
      <w:r w:rsidRPr="00872657">
        <w:t>1.3.1 General Objective</w:t>
      </w:r>
      <w:bookmarkEnd w:id="101"/>
      <w:bookmarkEnd w:id="10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FE29E8F" w14:textId="77777777" w:rsidR="009F33CD" w:rsidRDefault="00E40740">
      <w:pPr>
        <w:pStyle w:val="ListParagraph"/>
        <w:autoSpaceDE w:val="0"/>
        <w:autoSpaceDN w:val="0"/>
        <w:adjustRightInd w:val="0"/>
        <w:spacing w:after="240" w:line="360" w:lineRule="auto"/>
        <w:ind w:left="0"/>
        <w:rPr>
          <w:rFonts w:ascii="Times New Roman" w:hAnsi="Times New Roman" w:cs="Times New Roman"/>
          <w:sz w:val="24"/>
          <w:szCs w:val="24"/>
        </w:rPr>
      </w:pPr>
      <w:r>
        <w:rPr>
          <w:rFonts w:ascii="Times New Roman" w:hAnsi="Times New Roman" w:cs="Times New Roman"/>
          <w:sz w:val="24"/>
          <w:szCs w:val="24"/>
        </w:rPr>
        <w:t xml:space="preserve">The general objective of this study was to assess the effect of green </w:t>
      </w:r>
      <w:r>
        <w:rPr>
          <w:rFonts w:ascii="Times New Roman" w:hAnsi="Times New Roman" w:cs="Times New Roman"/>
          <w:bCs w:val="0"/>
          <w:sz w:val="24"/>
          <w:szCs w:val="24"/>
        </w:rPr>
        <w:t xml:space="preserve">human resource management practices on the performance of devolved healthcare services in Kenya. </w:t>
      </w:r>
    </w:p>
    <w:p w14:paraId="43E9A9D1" w14:textId="77777777" w:rsidR="009F33CD" w:rsidRPr="00872657" w:rsidRDefault="00E40740" w:rsidP="000E21E2">
      <w:pPr>
        <w:pStyle w:val="Heading3"/>
        <w:rPr>
          <w:rStyle w:val="label2"/>
        </w:rPr>
      </w:pPr>
      <w:bookmarkStart w:id="144" w:name="_Toc178940514"/>
      <w:bookmarkStart w:id="145" w:name="_Toc178944964"/>
      <w:bookmarkStart w:id="146" w:name="_Toc4148569"/>
      <w:bookmarkStart w:id="147" w:name="_Toc178939560"/>
      <w:bookmarkStart w:id="148" w:name="_Toc187080772"/>
      <w:bookmarkStart w:id="149" w:name="_Toc185614002"/>
      <w:bookmarkStart w:id="150" w:name="_Toc178942555"/>
      <w:bookmarkStart w:id="151" w:name="_Toc178944212"/>
      <w:bookmarkStart w:id="152" w:name="_Toc165623529"/>
      <w:bookmarkStart w:id="153" w:name="_Toc147950176"/>
      <w:bookmarkStart w:id="154" w:name="_Toc5651590"/>
      <w:bookmarkStart w:id="155" w:name="_Toc529115518"/>
      <w:bookmarkStart w:id="156" w:name="_Toc165626310"/>
      <w:bookmarkStart w:id="157" w:name="_Toc529121459"/>
      <w:bookmarkStart w:id="158" w:name="_Toc224237658"/>
      <w:r w:rsidRPr="00872657">
        <w:t>1.3.2 Specific Objectives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62496E8" w14:textId="77777777" w:rsidR="009F33CD" w:rsidRDefault="00E40740" w:rsidP="000E21E2">
      <w:pPr>
        <w:rPr>
          <w:rFonts w:cs="Times New Roman"/>
          <w:szCs w:val="24"/>
        </w:rPr>
      </w:pPr>
      <w:r>
        <w:rPr>
          <w:rFonts w:cs="Times New Roman"/>
          <w:szCs w:val="24"/>
        </w:rPr>
        <w:t>This study was guided by the following specific objectives:</w:t>
      </w:r>
    </w:p>
    <w:p w14:paraId="74BE3644" w14:textId="77777777" w:rsidR="009F33CD" w:rsidRDefault="00E40740" w:rsidP="000E21E2">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To determine effect of green employee resourcing on performance of devolved healthcare services in Kenya.</w:t>
      </w:r>
    </w:p>
    <w:p w14:paraId="4034D5CD" w14:textId="77777777" w:rsidR="009F33CD" w:rsidRDefault="00E40740" w:rsidP="000E21E2">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evaluate effect of green training on </w:t>
      </w:r>
      <w:r>
        <w:rPr>
          <w:rFonts w:ascii="Times New Roman" w:hAnsi="Times New Roman" w:cs="Times New Roman"/>
          <w:bCs w:val="0"/>
          <w:sz w:val="24"/>
          <w:szCs w:val="24"/>
        </w:rPr>
        <w:t>performance of devolved healthcare services in Kenya.</w:t>
      </w:r>
    </w:p>
    <w:p w14:paraId="45FAE021" w14:textId="77777777" w:rsidR="009F33CD" w:rsidRDefault="00E40740" w:rsidP="000E21E2">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examine effect of green occupational safety and health on </w:t>
      </w:r>
      <w:r>
        <w:rPr>
          <w:rFonts w:ascii="Times New Roman" w:hAnsi="Times New Roman" w:cs="Times New Roman"/>
          <w:bCs w:val="0"/>
          <w:sz w:val="24"/>
          <w:szCs w:val="24"/>
        </w:rPr>
        <w:t>performance of devolved healthcare services in Kenya</w:t>
      </w:r>
      <w:r>
        <w:rPr>
          <w:rFonts w:ascii="Times New Roman" w:hAnsi="Times New Roman" w:cs="Times New Roman"/>
          <w:sz w:val="24"/>
          <w:szCs w:val="24"/>
        </w:rPr>
        <w:t>.</w:t>
      </w:r>
    </w:p>
    <w:p w14:paraId="447536D8" w14:textId="77777777" w:rsidR="009F33CD" w:rsidRDefault="00E40740" w:rsidP="000E21E2">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investigate effect of green performance evaluation on </w:t>
      </w:r>
      <w:r>
        <w:rPr>
          <w:rFonts w:ascii="Times New Roman" w:hAnsi="Times New Roman" w:cs="Times New Roman"/>
          <w:bCs w:val="0"/>
          <w:sz w:val="24"/>
          <w:szCs w:val="24"/>
        </w:rPr>
        <w:t>performance of devolved healthcare services in Kenya</w:t>
      </w:r>
      <w:r>
        <w:rPr>
          <w:rFonts w:ascii="Times New Roman" w:hAnsi="Times New Roman" w:cs="Times New Roman"/>
          <w:sz w:val="24"/>
          <w:szCs w:val="24"/>
        </w:rPr>
        <w:t>.</w:t>
      </w:r>
    </w:p>
    <w:p w14:paraId="5FC5C2AD" w14:textId="77777777" w:rsidR="009F33CD" w:rsidRPr="00DF4E8C" w:rsidRDefault="00E40740" w:rsidP="000E21E2">
      <w:pPr>
        <w:pStyle w:val="ListParagraph"/>
        <w:numPr>
          <w:ilvl w:val="0"/>
          <w:numId w:val="1"/>
        </w:numPr>
        <w:spacing w:before="0" w:beforeAutospacing="0" w:afterAutospacing="0"/>
        <w:rPr>
          <w:rFonts w:cs="Times New Roman"/>
          <w:b/>
          <w:szCs w:val="24"/>
          <w:lang w:eastAsia="af-ZA"/>
        </w:rPr>
      </w:pPr>
      <w:r>
        <w:rPr>
          <w:rFonts w:ascii="Times New Roman" w:hAnsi="Times New Roman" w:cs="Times New Roman"/>
          <w:sz w:val="24"/>
          <w:szCs w:val="24"/>
        </w:rPr>
        <w:t xml:space="preserve">To assess the moderating effect of management style on the relationship between green human resource management practices and </w:t>
      </w:r>
      <w:r>
        <w:rPr>
          <w:rFonts w:ascii="Times New Roman" w:hAnsi="Times New Roman" w:cs="Times New Roman"/>
          <w:bCs w:val="0"/>
          <w:sz w:val="24"/>
          <w:szCs w:val="24"/>
        </w:rPr>
        <w:t>performance of devolved healthcare services in Kenya</w:t>
      </w:r>
      <w:r>
        <w:rPr>
          <w:rFonts w:ascii="Times New Roman" w:hAnsi="Times New Roman" w:cs="Times New Roman"/>
          <w:sz w:val="24"/>
          <w:szCs w:val="24"/>
        </w:rPr>
        <w:t>.</w:t>
      </w:r>
    </w:p>
    <w:p w14:paraId="40CA4841" w14:textId="77777777" w:rsidR="00DF4E8C" w:rsidRDefault="00DF4E8C" w:rsidP="00DF4E8C">
      <w:pPr>
        <w:spacing w:before="0" w:beforeAutospacing="0" w:afterAutospacing="0"/>
        <w:jc w:val="left"/>
        <w:rPr>
          <w:rFonts w:cs="Times New Roman"/>
          <w:b/>
          <w:szCs w:val="24"/>
          <w:lang w:eastAsia="af-ZA"/>
        </w:rPr>
      </w:pPr>
    </w:p>
    <w:p w14:paraId="2B42C48D" w14:textId="77777777" w:rsidR="00DF4E8C" w:rsidRPr="00DF4E8C" w:rsidRDefault="00DF4E8C" w:rsidP="00DF4E8C">
      <w:pPr>
        <w:spacing w:before="0" w:beforeAutospacing="0" w:afterAutospacing="0"/>
        <w:jc w:val="left"/>
        <w:rPr>
          <w:rFonts w:cs="Times New Roman"/>
          <w:b/>
          <w:szCs w:val="24"/>
          <w:lang w:eastAsia="af-ZA"/>
        </w:rPr>
      </w:pPr>
    </w:p>
    <w:p w14:paraId="3B7B0E05" w14:textId="77777777" w:rsidR="009F33CD" w:rsidRDefault="00E40740" w:rsidP="000E48A9">
      <w:pPr>
        <w:pStyle w:val="Heading2"/>
        <w:rPr>
          <w:lang w:val="en-GB"/>
        </w:rPr>
      </w:pPr>
      <w:bookmarkStart w:id="159" w:name="_Toc224237659"/>
      <w:r>
        <w:rPr>
          <w:lang w:val="en-GB"/>
        </w:rPr>
        <w:lastRenderedPageBreak/>
        <w:t xml:space="preserve">1.4 Research </w:t>
      </w:r>
      <w:r w:rsidRPr="000E48A9">
        <w:t>Hypotheses</w:t>
      </w:r>
      <w:bookmarkEnd w:id="159"/>
    </w:p>
    <w:p w14:paraId="7AD5A384" w14:textId="77777777" w:rsidR="009F33CD" w:rsidRDefault="00E40740" w:rsidP="000E48A9">
      <w:r>
        <w:t>The study seeks to test the following hypotheses:</w:t>
      </w:r>
    </w:p>
    <w:p w14:paraId="70EEE6A7" w14:textId="77777777" w:rsidR="009F33CD" w:rsidRDefault="00E40740" w:rsidP="000E48A9">
      <w:pPr>
        <w:spacing w:before="0" w:beforeAutospacing="0" w:after="0" w:afterAutospacing="0"/>
        <w:ind w:left="993" w:hanging="567"/>
      </w:pPr>
      <w:bookmarkStart w:id="160" w:name="_Toc33440965"/>
      <w:bookmarkStart w:id="161" w:name="_Toc139980624"/>
      <w:bookmarkStart w:id="162" w:name="_Toc11329113"/>
      <w:bookmarkStart w:id="163" w:name="_Toc33440547"/>
      <w:bookmarkStart w:id="164" w:name="_Toc33469821"/>
      <w:r>
        <w:rPr>
          <w:b/>
        </w:rPr>
        <w:t>H</w:t>
      </w:r>
      <w:r>
        <w:rPr>
          <w:b/>
          <w:vertAlign w:val="subscript"/>
        </w:rPr>
        <w:t>01</w:t>
      </w:r>
      <w:r>
        <w:rPr>
          <w:b/>
        </w:rPr>
        <w:t>:</w:t>
      </w:r>
      <w:r>
        <w:t xml:space="preserve"> Green employee resourcing has no significant effect on performance of devolved healthcare services in Kenya.</w:t>
      </w:r>
      <w:bookmarkEnd w:id="160"/>
      <w:bookmarkEnd w:id="161"/>
      <w:bookmarkEnd w:id="162"/>
      <w:bookmarkEnd w:id="163"/>
      <w:bookmarkEnd w:id="164"/>
    </w:p>
    <w:p w14:paraId="18137D7F" w14:textId="77777777" w:rsidR="009F33CD" w:rsidRDefault="00E40740" w:rsidP="000E48A9">
      <w:pPr>
        <w:spacing w:before="0" w:beforeAutospacing="0" w:after="0" w:afterAutospacing="0"/>
        <w:ind w:left="993" w:hanging="567"/>
      </w:pPr>
      <w:bookmarkStart w:id="165" w:name="_Toc11329114"/>
      <w:bookmarkStart w:id="166" w:name="_Toc33440548"/>
      <w:bookmarkStart w:id="167" w:name="_Toc139980625"/>
      <w:bookmarkStart w:id="168" w:name="_Toc33440966"/>
      <w:bookmarkStart w:id="169" w:name="_Toc33469822"/>
      <w:r>
        <w:rPr>
          <w:b/>
        </w:rPr>
        <w:t>H</w:t>
      </w:r>
      <w:r>
        <w:rPr>
          <w:b/>
          <w:vertAlign w:val="subscript"/>
        </w:rPr>
        <w:t>02</w:t>
      </w:r>
      <w:r>
        <w:rPr>
          <w:b/>
        </w:rPr>
        <w:t>:</w:t>
      </w:r>
      <w:r>
        <w:t xml:space="preserve"> Green training has no significant effect on performance of devolved healthcare services in Kenya.</w:t>
      </w:r>
      <w:bookmarkEnd w:id="165"/>
      <w:bookmarkEnd w:id="166"/>
      <w:bookmarkEnd w:id="167"/>
      <w:bookmarkEnd w:id="168"/>
      <w:bookmarkEnd w:id="169"/>
    </w:p>
    <w:p w14:paraId="3EC2291C" w14:textId="77777777" w:rsidR="009F33CD" w:rsidRDefault="00E40740" w:rsidP="000E48A9">
      <w:pPr>
        <w:spacing w:before="0" w:beforeAutospacing="0" w:after="0" w:afterAutospacing="0"/>
        <w:ind w:left="993" w:hanging="567"/>
      </w:pPr>
      <w:bookmarkStart w:id="170" w:name="_Hlk139367904"/>
      <w:bookmarkStart w:id="171" w:name="_Toc139980626"/>
      <w:bookmarkStart w:id="172" w:name="_Toc33440967"/>
      <w:bookmarkStart w:id="173" w:name="_Toc33440549"/>
      <w:bookmarkStart w:id="174" w:name="_Toc33469823"/>
      <w:bookmarkStart w:id="175" w:name="_Toc11329115"/>
      <w:r>
        <w:rPr>
          <w:b/>
        </w:rPr>
        <w:t>H</w:t>
      </w:r>
      <w:r>
        <w:rPr>
          <w:b/>
          <w:vertAlign w:val="subscript"/>
        </w:rPr>
        <w:t>03</w:t>
      </w:r>
      <w:r>
        <w:rPr>
          <w:b/>
        </w:rPr>
        <w:t>:</w:t>
      </w:r>
      <w:r>
        <w:t xml:space="preserve"> Green occupational safety and health has no significant effect on performance of devolved healthcare services in Kenya</w:t>
      </w:r>
      <w:bookmarkEnd w:id="170"/>
      <w:r>
        <w:t>.</w:t>
      </w:r>
      <w:bookmarkEnd w:id="171"/>
      <w:bookmarkEnd w:id="172"/>
      <w:bookmarkEnd w:id="173"/>
      <w:bookmarkEnd w:id="174"/>
      <w:bookmarkEnd w:id="175"/>
      <w:r>
        <w:t xml:space="preserve"> </w:t>
      </w:r>
    </w:p>
    <w:p w14:paraId="39AFE4F3" w14:textId="77777777" w:rsidR="009F33CD" w:rsidRDefault="00E40740" w:rsidP="000E48A9">
      <w:pPr>
        <w:spacing w:before="0" w:beforeAutospacing="0" w:after="0" w:afterAutospacing="0"/>
        <w:ind w:left="993" w:hanging="567"/>
      </w:pPr>
      <w:bookmarkStart w:id="176" w:name="_Toc139980627"/>
      <w:bookmarkStart w:id="177" w:name="_Toc33469824"/>
      <w:bookmarkStart w:id="178" w:name="_Toc33440550"/>
      <w:bookmarkStart w:id="179" w:name="_Toc11329116"/>
      <w:bookmarkStart w:id="180" w:name="_Toc33440968"/>
      <w:bookmarkStart w:id="181" w:name="_Hlk139370000"/>
      <w:r>
        <w:rPr>
          <w:b/>
        </w:rPr>
        <w:t>H</w:t>
      </w:r>
      <w:r>
        <w:rPr>
          <w:b/>
          <w:vertAlign w:val="subscript"/>
        </w:rPr>
        <w:t>04</w:t>
      </w:r>
      <w:r>
        <w:rPr>
          <w:b/>
        </w:rPr>
        <w:t>:</w:t>
      </w:r>
      <w:r>
        <w:t xml:space="preserve"> Green performance evaluation has no significant effect on performance of devolved healthcare services in Kenya.</w:t>
      </w:r>
      <w:bookmarkEnd w:id="176"/>
      <w:bookmarkEnd w:id="177"/>
      <w:bookmarkEnd w:id="178"/>
      <w:bookmarkEnd w:id="179"/>
      <w:bookmarkEnd w:id="180"/>
    </w:p>
    <w:p w14:paraId="2BEF0696" w14:textId="77777777" w:rsidR="009F33CD" w:rsidRDefault="00E40740" w:rsidP="000E48A9">
      <w:pPr>
        <w:spacing w:before="0" w:beforeAutospacing="0" w:after="0" w:afterAutospacing="0"/>
        <w:ind w:left="993" w:hanging="567"/>
      </w:pPr>
      <w:bookmarkStart w:id="182" w:name="_Toc33440969"/>
      <w:bookmarkStart w:id="183" w:name="_Toc33469825"/>
      <w:bookmarkStart w:id="184" w:name="_Toc33440551"/>
      <w:bookmarkStart w:id="185" w:name="_Toc139980628"/>
      <w:bookmarkStart w:id="186" w:name="_Toc11329117"/>
      <w:bookmarkStart w:id="187" w:name="_Hlk139371895"/>
      <w:bookmarkEnd w:id="181"/>
      <w:r>
        <w:rPr>
          <w:b/>
        </w:rPr>
        <w:t>H</w:t>
      </w:r>
      <w:r>
        <w:rPr>
          <w:b/>
          <w:vertAlign w:val="subscript"/>
        </w:rPr>
        <w:t>05</w:t>
      </w:r>
      <w:r>
        <w:rPr>
          <w:b/>
        </w:rPr>
        <w:t>:</w:t>
      </w:r>
      <w:r>
        <w:t xml:space="preserve"> Management style has no significant moderating effect on the relationship between green human resource management practices and performance of devolved healthcare services in Kenya.</w:t>
      </w:r>
      <w:bookmarkEnd w:id="182"/>
      <w:bookmarkEnd w:id="183"/>
      <w:bookmarkEnd w:id="184"/>
      <w:bookmarkEnd w:id="185"/>
      <w:bookmarkEnd w:id="186"/>
    </w:p>
    <w:p w14:paraId="0BDC66D6" w14:textId="77777777" w:rsidR="009F33CD" w:rsidRDefault="00E40740" w:rsidP="000E48A9">
      <w:pPr>
        <w:pStyle w:val="Heading2"/>
        <w:rPr>
          <w:lang w:val="en-GB"/>
        </w:rPr>
      </w:pPr>
      <w:bookmarkStart w:id="188" w:name="_Toc418015886"/>
      <w:bookmarkStart w:id="189" w:name="_Toc398128752"/>
      <w:bookmarkStart w:id="190" w:name="_Toc398129160"/>
      <w:bookmarkStart w:id="191" w:name="_Toc275416732"/>
      <w:bookmarkStart w:id="192" w:name="_Toc274142827"/>
      <w:bookmarkStart w:id="193" w:name="_Toc224237660"/>
      <w:bookmarkEnd w:id="187"/>
      <w:r>
        <w:rPr>
          <w:lang w:val="en-GB"/>
        </w:rPr>
        <w:t>1.5 Significance of the Study</w:t>
      </w:r>
      <w:bookmarkEnd w:id="188"/>
      <w:bookmarkEnd w:id="189"/>
      <w:bookmarkEnd w:id="190"/>
      <w:bookmarkEnd w:id="191"/>
      <w:bookmarkEnd w:id="192"/>
      <w:bookmarkEnd w:id="193"/>
    </w:p>
    <w:p w14:paraId="2161D804" w14:textId="77777777" w:rsidR="009F33CD" w:rsidRDefault="00E40740">
      <w:pPr>
        <w:spacing w:after="240"/>
        <w:rPr>
          <w:rFonts w:cs="Times New Roman"/>
          <w:bCs/>
          <w:szCs w:val="24"/>
          <w:lang w:eastAsia="en-GB" w:bidi="th-TH"/>
        </w:rPr>
      </w:pPr>
      <w:r>
        <w:rPr>
          <w:rFonts w:cs="Times New Roman"/>
          <w:bCs/>
          <w:szCs w:val="24"/>
          <w:lang w:eastAsia="en-GB" w:bidi="th-TH"/>
        </w:rPr>
        <w:t xml:space="preserve">The purpose of this study was to investigate the effect of green Human Resource Management practices on the </w:t>
      </w:r>
      <w:r>
        <w:rPr>
          <w:rFonts w:eastAsia="Arial Unicode MS" w:cs="Times New Roman"/>
          <w:szCs w:val="24"/>
        </w:rPr>
        <w:t>performance of devolved healthcare services in Kenya</w:t>
      </w:r>
      <w:r>
        <w:rPr>
          <w:rFonts w:cs="Times New Roman"/>
          <w:bCs/>
          <w:szCs w:val="24"/>
          <w:lang w:eastAsia="en-GB" w:bidi="th-TH"/>
        </w:rPr>
        <w:t xml:space="preserve">. </w:t>
      </w:r>
      <w:r>
        <w:rPr>
          <w:rFonts w:cs="Times New Roman"/>
          <w:bCs/>
          <w:szCs w:val="24"/>
        </w:rPr>
        <w:t>The major implication of this research is to assist and encourage the County Government Health management particularly administrators of Level Five Hospitals, and other healthcare stakeholders to identify, develop, align, and implement green initiatives with HRM practices to improve the performance of devolved healthcare services and enhance environmental</w:t>
      </w:r>
      <w:r>
        <w:rPr>
          <w:rFonts w:cs="Times New Roman"/>
          <w:bCs/>
          <w:iCs/>
          <w:szCs w:val="24"/>
        </w:rPr>
        <w:t xml:space="preserve"> sustainability.</w:t>
      </w:r>
      <w:r>
        <w:rPr>
          <w:rFonts w:eastAsia="Arial Unicode MS" w:cs="Times New Roman"/>
          <w:szCs w:val="24"/>
        </w:rPr>
        <w:t xml:space="preserve"> </w:t>
      </w:r>
      <w:r>
        <w:rPr>
          <w:rFonts w:cs="Times New Roman"/>
          <w:bCs/>
          <w:szCs w:val="24"/>
          <w:lang w:eastAsia="en-GB" w:bidi="th-TH"/>
        </w:rPr>
        <w:t xml:space="preserve">The study findings are important to Level Five hospital managers, scholars, employees, and other stakeholders as explained in the sections that follow. </w:t>
      </w:r>
    </w:p>
    <w:p w14:paraId="41A8D4BD" w14:textId="77777777" w:rsidR="009F33CD" w:rsidRDefault="00E40740" w:rsidP="000E48A9">
      <w:pPr>
        <w:pStyle w:val="Heading3"/>
        <w:rPr>
          <w:lang w:bidi="th-TH"/>
        </w:rPr>
      </w:pPr>
      <w:bookmarkStart w:id="194" w:name="_Toc178942558"/>
      <w:bookmarkStart w:id="195" w:name="_Toc178939563"/>
      <w:bookmarkStart w:id="196" w:name="_Toc187080775"/>
      <w:bookmarkStart w:id="197" w:name="_Toc188442537"/>
      <w:bookmarkStart w:id="198" w:name="_Toc188443911"/>
      <w:bookmarkStart w:id="199" w:name="_Toc185614005"/>
      <w:bookmarkStart w:id="200" w:name="_Toc178944967"/>
      <w:bookmarkStart w:id="201" w:name="_Toc178944215"/>
      <w:bookmarkStart w:id="202" w:name="_Toc188130564"/>
      <w:bookmarkStart w:id="203" w:name="_Toc178940517"/>
      <w:bookmarkStart w:id="204" w:name="_Toc224160601"/>
      <w:bookmarkStart w:id="205" w:name="_Toc224237661"/>
      <w:r>
        <w:rPr>
          <w:lang w:bidi="th-TH"/>
        </w:rPr>
        <w:t>1.5.1 Managers of Devolved Healthcare Services</w:t>
      </w:r>
      <w:bookmarkEnd w:id="194"/>
      <w:bookmarkEnd w:id="195"/>
      <w:bookmarkEnd w:id="196"/>
      <w:bookmarkEnd w:id="197"/>
      <w:bookmarkEnd w:id="198"/>
      <w:bookmarkEnd w:id="199"/>
      <w:bookmarkEnd w:id="200"/>
      <w:bookmarkEnd w:id="201"/>
      <w:bookmarkEnd w:id="202"/>
      <w:bookmarkEnd w:id="203"/>
      <w:bookmarkEnd w:id="204"/>
      <w:bookmarkEnd w:id="205"/>
      <w:r>
        <w:rPr>
          <w:lang w:bidi="th-TH"/>
        </w:rPr>
        <w:t xml:space="preserve"> </w:t>
      </w:r>
    </w:p>
    <w:p w14:paraId="04F634D9" w14:textId="77777777" w:rsidR="009F33CD" w:rsidRDefault="00E40740">
      <w:pPr>
        <w:spacing w:before="240"/>
        <w:rPr>
          <w:rFonts w:cs="Times New Roman"/>
          <w:bCs/>
          <w:szCs w:val="24"/>
          <w:lang w:eastAsia="en-GB" w:bidi="th-TH"/>
        </w:rPr>
      </w:pPr>
      <w:r>
        <w:rPr>
          <w:rFonts w:cs="Times New Roman"/>
          <w:bCs/>
          <w:szCs w:val="24"/>
          <w:lang w:eastAsia="en-GB" w:bidi="th-TH"/>
        </w:rPr>
        <w:t xml:space="preserve">The study may help county healthcare managers and leaders to know the effect of green HRM practices on the performance of devolved healthcare services and therefore develop innovative strategies to improve these practices for quality healthcare delivery and environmental sustainability.  Study findings will encourage </w:t>
      </w:r>
      <w:r>
        <w:rPr>
          <w:rFonts w:cs="Times New Roman"/>
          <w:bCs/>
          <w:szCs w:val="24"/>
          <w:lang w:eastAsia="en-GB" w:bidi="th-TH"/>
        </w:rPr>
        <w:lastRenderedPageBreak/>
        <w:t xml:space="preserve">county healthcare Managers to pay attention to developing effective or strong green HRM practices that are aligned with healthcare performance and sustainability. The healthcare leaders at the county government may use the study findings to formulate strong and supportive green HRM policies that may reduce operational costs and enhance the performance of devolved healthcare services and environmental sustainability. County Healthcare managers can also learn the need to recruit and select employees, whose values are aligned with the goals of the hospitals related to environmental conservation and protection. The hospitals may focus more on green training, green occupational health and safety, and continuous green performance appraisal of employees. These practices will motivate and retain employees who are effective in healthcare performance while at the same time being environmentally friendly.     </w:t>
      </w:r>
    </w:p>
    <w:p w14:paraId="745628AB" w14:textId="77777777" w:rsidR="009F33CD" w:rsidRDefault="00E40740" w:rsidP="000E48A9">
      <w:pPr>
        <w:pStyle w:val="Heading3"/>
        <w:rPr>
          <w:lang w:bidi="th-TH"/>
        </w:rPr>
      </w:pPr>
      <w:bookmarkStart w:id="206" w:name="_Toc188443912"/>
      <w:bookmarkStart w:id="207" w:name="_Toc185614006"/>
      <w:bookmarkStart w:id="208" w:name="_Toc178940518"/>
      <w:bookmarkStart w:id="209" w:name="_Toc178939564"/>
      <w:bookmarkStart w:id="210" w:name="_Toc188442538"/>
      <w:bookmarkStart w:id="211" w:name="_Toc187080776"/>
      <w:bookmarkStart w:id="212" w:name="_Toc178942559"/>
      <w:bookmarkStart w:id="213" w:name="_Toc178944216"/>
      <w:bookmarkStart w:id="214" w:name="_Toc178944968"/>
      <w:bookmarkStart w:id="215" w:name="_Toc188130565"/>
      <w:bookmarkStart w:id="216" w:name="_Toc224160602"/>
      <w:bookmarkStart w:id="217" w:name="_Toc224237662"/>
      <w:r>
        <w:rPr>
          <w:lang w:bidi="th-TH"/>
        </w:rPr>
        <w:t>1.5.2 Scholars</w:t>
      </w:r>
      <w:bookmarkEnd w:id="206"/>
      <w:bookmarkEnd w:id="207"/>
      <w:bookmarkEnd w:id="208"/>
      <w:bookmarkEnd w:id="209"/>
      <w:bookmarkEnd w:id="210"/>
      <w:bookmarkEnd w:id="211"/>
      <w:bookmarkEnd w:id="212"/>
      <w:bookmarkEnd w:id="213"/>
      <w:bookmarkEnd w:id="214"/>
      <w:bookmarkEnd w:id="215"/>
      <w:bookmarkEnd w:id="216"/>
      <w:bookmarkEnd w:id="217"/>
    </w:p>
    <w:p w14:paraId="28631F09" w14:textId="77777777" w:rsidR="009F33CD" w:rsidRDefault="00E40740">
      <w:pPr>
        <w:spacing w:before="240"/>
        <w:rPr>
          <w:rFonts w:cs="Times New Roman"/>
          <w:szCs w:val="24"/>
        </w:rPr>
      </w:pPr>
      <w:r>
        <w:rPr>
          <w:rFonts w:cs="Times New Roman"/>
          <w:bCs/>
          <w:szCs w:val="24"/>
          <w:lang w:eastAsia="en-GB" w:bidi="th-TH"/>
        </w:rPr>
        <w:t xml:space="preserve">This study's results would add to the body of research knowledge about the effect of green HRM practices on the performance of devolved healthcare services in Kenya. </w:t>
      </w:r>
      <w:r>
        <w:rPr>
          <w:rFonts w:cs="Times New Roman"/>
          <w:szCs w:val="24"/>
        </w:rPr>
        <w:t xml:space="preserve">This study provides empirical findings on green HRM practices (especially green employee resourcing, green training, green occupational safety and health, and green performance evaluation) which </w:t>
      </w:r>
      <w:r w:rsidR="003E27F6">
        <w:rPr>
          <w:rFonts w:cs="Times New Roman"/>
          <w:szCs w:val="24"/>
        </w:rPr>
        <w:t xml:space="preserve">research </w:t>
      </w:r>
      <w:r>
        <w:rPr>
          <w:rFonts w:cs="Times New Roman"/>
          <w:szCs w:val="24"/>
        </w:rPr>
        <w:t xml:space="preserve">scholars can use to replicate similar studies in other sectors of the economy. Future </w:t>
      </w:r>
      <w:r w:rsidR="003E27F6">
        <w:rPr>
          <w:rFonts w:cs="Times New Roman"/>
          <w:szCs w:val="24"/>
        </w:rPr>
        <w:t xml:space="preserve">research </w:t>
      </w:r>
      <w:r>
        <w:rPr>
          <w:rFonts w:cs="Times New Roman"/>
          <w:szCs w:val="24"/>
        </w:rPr>
        <w:t xml:space="preserve">scholars and academicians can use this study as a foundation for further research in the health sector to fill literature gaps. Relevant green HR practices and concepts in the healthcare sector can also be developed from this study which could be useful for reference. </w:t>
      </w:r>
    </w:p>
    <w:p w14:paraId="7DAA59EF" w14:textId="77777777" w:rsidR="009F33CD" w:rsidRPr="00273302" w:rsidRDefault="00E40740" w:rsidP="00BA3B94">
      <w:pPr>
        <w:pStyle w:val="Heading3"/>
      </w:pPr>
      <w:bookmarkStart w:id="218" w:name="_Toc188130566"/>
      <w:bookmarkStart w:id="219" w:name="_Toc178944217"/>
      <w:bookmarkStart w:id="220" w:name="_Toc185614007"/>
      <w:bookmarkStart w:id="221" w:name="_Toc188443913"/>
      <w:bookmarkStart w:id="222" w:name="_Toc188442539"/>
      <w:bookmarkStart w:id="223" w:name="_Toc187080777"/>
      <w:bookmarkStart w:id="224" w:name="_Toc178940519"/>
      <w:bookmarkStart w:id="225" w:name="_Toc178944969"/>
      <w:bookmarkStart w:id="226" w:name="_Toc178939565"/>
      <w:bookmarkStart w:id="227" w:name="_Toc178942560"/>
      <w:bookmarkStart w:id="228" w:name="_Toc224160603"/>
      <w:bookmarkStart w:id="229" w:name="_Toc224237663"/>
      <w:r w:rsidRPr="00273302">
        <w:t>1.5.3 Employees</w:t>
      </w:r>
      <w:bookmarkEnd w:id="218"/>
      <w:bookmarkEnd w:id="219"/>
      <w:bookmarkEnd w:id="220"/>
      <w:bookmarkEnd w:id="221"/>
      <w:bookmarkEnd w:id="222"/>
      <w:bookmarkEnd w:id="223"/>
      <w:bookmarkEnd w:id="224"/>
      <w:bookmarkEnd w:id="225"/>
      <w:bookmarkEnd w:id="226"/>
      <w:bookmarkEnd w:id="227"/>
      <w:r w:rsidR="003E27F6" w:rsidRPr="00273302">
        <w:t xml:space="preserve"> of Devolved </w:t>
      </w:r>
      <w:r w:rsidR="00BA3B94" w:rsidRPr="00273302">
        <w:t xml:space="preserve">Healthcare </w:t>
      </w:r>
      <w:r w:rsidR="003E27F6" w:rsidRPr="00273302">
        <w:t>Services</w:t>
      </w:r>
      <w:bookmarkEnd w:id="228"/>
      <w:bookmarkEnd w:id="229"/>
      <w:r w:rsidRPr="00273302">
        <w:t xml:space="preserve"> </w:t>
      </w:r>
    </w:p>
    <w:p w14:paraId="0B491279" w14:textId="77777777" w:rsidR="009F33CD" w:rsidRDefault="00E40740">
      <w:pPr>
        <w:spacing w:before="240"/>
        <w:rPr>
          <w:rFonts w:cs="Times New Roman"/>
          <w:szCs w:val="24"/>
        </w:rPr>
      </w:pPr>
      <w:r>
        <w:rPr>
          <w:rFonts w:cs="Times New Roman"/>
          <w:szCs w:val="24"/>
        </w:rPr>
        <w:t xml:space="preserve">The research findings may help employees of devolved healthcare services in terms of integrating their human activities with the environmental concerns that affect their performance at work. The research results may empower employees of Level Five Hospitals to voice their concerns regarding the management of the devolved healthcare services so that GHRM policy makers can make changes to improve healthcare service delivery that is environmentally responsive. The green behaviours of devolved healthcare employees will spillover to their homes as they transfer pro-environmental </w:t>
      </w:r>
      <w:r>
        <w:rPr>
          <w:rFonts w:cs="Times New Roman"/>
          <w:szCs w:val="24"/>
        </w:rPr>
        <w:lastRenderedPageBreak/>
        <w:t xml:space="preserve">values and demonstrate them through their contribution and involvement in environmental conservation and protection processes at home and community. </w:t>
      </w:r>
    </w:p>
    <w:p w14:paraId="0D566E1F" w14:textId="77777777" w:rsidR="009F33CD" w:rsidRDefault="00E40740" w:rsidP="000E48A9">
      <w:pPr>
        <w:pStyle w:val="Heading3"/>
      </w:pPr>
      <w:bookmarkStart w:id="230" w:name="_Toc188130567"/>
      <w:bookmarkStart w:id="231" w:name="_Toc187080778"/>
      <w:bookmarkStart w:id="232" w:name="_Toc178944218"/>
      <w:bookmarkStart w:id="233" w:name="_Toc178944970"/>
      <w:bookmarkStart w:id="234" w:name="_Toc188442540"/>
      <w:bookmarkStart w:id="235" w:name="_Toc178940520"/>
      <w:bookmarkStart w:id="236" w:name="_Toc185614008"/>
      <w:bookmarkStart w:id="237" w:name="_Toc178939566"/>
      <w:bookmarkStart w:id="238" w:name="_Toc178942561"/>
      <w:bookmarkStart w:id="239" w:name="_Toc188443914"/>
      <w:bookmarkStart w:id="240" w:name="_Toc224160604"/>
      <w:bookmarkStart w:id="241" w:name="_Toc224237664"/>
      <w:r>
        <w:t>1.5.4 Development Partners</w:t>
      </w:r>
      <w:bookmarkEnd w:id="230"/>
      <w:bookmarkEnd w:id="231"/>
      <w:bookmarkEnd w:id="232"/>
      <w:bookmarkEnd w:id="233"/>
      <w:bookmarkEnd w:id="234"/>
      <w:bookmarkEnd w:id="235"/>
      <w:bookmarkEnd w:id="236"/>
      <w:bookmarkEnd w:id="237"/>
      <w:bookmarkEnd w:id="238"/>
      <w:bookmarkEnd w:id="239"/>
      <w:r w:rsidR="003E27F6">
        <w:t xml:space="preserve"> in Health</w:t>
      </w:r>
      <w:r w:rsidR="00F56EAB">
        <w:t>care Services</w:t>
      </w:r>
      <w:bookmarkEnd w:id="240"/>
      <w:bookmarkEnd w:id="241"/>
    </w:p>
    <w:p w14:paraId="47CB5DA6" w14:textId="77777777" w:rsidR="009F33CD" w:rsidRDefault="00E40740">
      <w:pPr>
        <w:spacing w:before="240" w:after="240"/>
        <w:rPr>
          <w:rFonts w:eastAsia="Times New Roman" w:cs="Times New Roman"/>
          <w:bCs/>
          <w:szCs w:val="24"/>
        </w:rPr>
      </w:pPr>
      <w:r>
        <w:rPr>
          <w:rFonts w:eastAsia="Times New Roman" w:cs="Times New Roman"/>
          <w:bCs/>
          <w:szCs w:val="24"/>
        </w:rPr>
        <w:t>One of the pillars of healthcare services in any country is the health workforce. Development partners in the health sector shall use the study findings as a source of information to allocate and channel their financial aid to specific areas of devolved healthcare services that are eco-friendly such as green training of employees and provision of equipment that enhance online diagnosis and treatment of patients. In addition, development partners can use the results to support agenda-four for achieving sustainable universal healthcare and climate resilience. The development partners should ensure that the tools, equipment, and drugs that they may provide to healthcare facilities are environmentally</w:t>
      </w:r>
      <w:bookmarkStart w:id="242" w:name="_Toc398129161"/>
      <w:bookmarkStart w:id="243" w:name="_Toc418015887"/>
      <w:bookmarkStart w:id="244" w:name="_Toc398128753"/>
      <w:r>
        <w:rPr>
          <w:rFonts w:eastAsia="Times New Roman" w:cs="Times New Roman"/>
          <w:bCs/>
          <w:szCs w:val="24"/>
        </w:rPr>
        <w:t xml:space="preserve"> friendly in usage and disposal to minimize carbon footprints.</w:t>
      </w:r>
    </w:p>
    <w:p w14:paraId="5FD48098" w14:textId="77777777" w:rsidR="009F33CD" w:rsidRDefault="00E40740">
      <w:pPr>
        <w:pStyle w:val="Heading2"/>
        <w:rPr>
          <w:rFonts w:eastAsia="Times New Roman"/>
          <w:lang w:val="en-GB" w:eastAsia="en-GB" w:bidi="th-TH"/>
        </w:rPr>
      </w:pPr>
      <w:bookmarkStart w:id="245" w:name="_Toc224237665"/>
      <w:r>
        <w:rPr>
          <w:lang w:val="en-GB"/>
        </w:rPr>
        <w:t>1.6 Scope of the Study</w:t>
      </w:r>
      <w:bookmarkEnd w:id="242"/>
      <w:bookmarkEnd w:id="243"/>
      <w:bookmarkEnd w:id="244"/>
      <w:bookmarkEnd w:id="245"/>
    </w:p>
    <w:p w14:paraId="76563882" w14:textId="77777777" w:rsidR="005E66E3" w:rsidRDefault="00E40740">
      <w:pPr>
        <w:spacing w:after="240"/>
        <w:rPr>
          <w:rFonts w:cs="Times New Roman"/>
          <w:bCs/>
          <w:szCs w:val="24"/>
          <w:lang w:eastAsia="en-GB" w:bidi="th-TH"/>
        </w:rPr>
      </w:pPr>
      <w:r>
        <w:rPr>
          <w:rFonts w:cs="Times New Roman"/>
          <w:bCs/>
          <w:szCs w:val="24"/>
          <w:lang w:eastAsia="en-GB" w:bidi="th-TH"/>
        </w:rPr>
        <w:t xml:space="preserve">The study investigated the effect of Green Human Resource Management practices on the performance of devolved healthcare services in Kenya. The independent variables of this study were: green employee resourcing, green training, green occupational safety and health, and green performance evaluation; the moderating variable was management style, while, the dependent variable was: the performance of devolved healthcare services. The hospitals that were picked are: Embu Level Five hospital, Machakos Level Five hospital, Nakuru Level Five hospital, and Mama Lucy Kibaki Level Five hospital. </w:t>
      </w:r>
    </w:p>
    <w:p w14:paraId="64C2C5A4" w14:textId="77777777" w:rsidR="009F33CD" w:rsidRDefault="00E40740">
      <w:pPr>
        <w:spacing w:after="240"/>
        <w:rPr>
          <w:rFonts w:cs="Times New Roman"/>
          <w:bCs/>
          <w:szCs w:val="24"/>
          <w:lang w:eastAsia="en-GB" w:bidi="th-TH"/>
        </w:rPr>
      </w:pPr>
      <w:r>
        <w:rPr>
          <w:rFonts w:cs="Times New Roman"/>
          <w:bCs/>
          <w:szCs w:val="24"/>
          <w:lang w:eastAsia="en-GB" w:bidi="th-TH"/>
        </w:rPr>
        <w:t>Level Five Hospitals were very important in the study and the nation because they are referral centers for healthcare service delivery in their counties and surrounding counties. These hospitals are significant in this study because they receive substantial financial support and specialized pieces of equipment from both national and county governments (Ministry of Health- Health Sector Budgetary Allocation and Spending, 2011).</w:t>
      </w:r>
      <w:r>
        <w:rPr>
          <w:rFonts w:ascii="DM Sans" w:hAnsi="DM Sans"/>
          <w:sz w:val="21"/>
          <w:szCs w:val="21"/>
          <w:shd w:val="clear" w:color="auto" w:fill="FFFFFF"/>
        </w:rPr>
        <w:t xml:space="preserve"> </w:t>
      </w:r>
      <w:r>
        <w:rPr>
          <w:rFonts w:cs="Times New Roman"/>
          <w:bCs/>
          <w:szCs w:val="24"/>
          <w:lang w:eastAsia="en-GB" w:bidi="th-TH"/>
        </w:rPr>
        <w:t xml:space="preserve">This equipment often includes advanced medical devices and technology aimed </w:t>
      </w:r>
      <w:r>
        <w:rPr>
          <w:rFonts w:cs="Times New Roman"/>
          <w:bCs/>
          <w:szCs w:val="24"/>
          <w:lang w:eastAsia="en-GB" w:bidi="th-TH"/>
        </w:rPr>
        <w:lastRenderedPageBreak/>
        <w:t>at improving the quality of healthcare services available to the community (Ministry of Health- National Health Sector Strategic Plan (NHSSP) III 2013</w:t>
      </w:r>
      <w:r>
        <w:rPr>
          <w:rFonts w:cs="Times New Roman"/>
          <w:bCs/>
          <w:szCs w:val="24"/>
          <w:lang w:eastAsia="en-GB" w:bidi="th-TH"/>
        </w:rPr>
        <w:noBreakHyphen/>
        <w:t>2018, 2014)</w:t>
      </w:r>
    </w:p>
    <w:p w14:paraId="1F250C82" w14:textId="77777777" w:rsidR="009F33CD" w:rsidRDefault="00E40740">
      <w:pPr>
        <w:pStyle w:val="Heading2"/>
        <w:rPr>
          <w:lang w:val="en-GB"/>
        </w:rPr>
      </w:pPr>
      <w:bookmarkStart w:id="246" w:name="_Toc224237666"/>
      <w:r>
        <w:rPr>
          <w:lang w:val="en-GB"/>
        </w:rPr>
        <w:t>1.7 Limitations of the Study</w:t>
      </w:r>
      <w:bookmarkEnd w:id="246"/>
    </w:p>
    <w:p w14:paraId="6B5D883A" w14:textId="77777777" w:rsidR="009F33CD" w:rsidRDefault="00E40740">
      <w:pPr>
        <w:autoSpaceDE/>
        <w:autoSpaceDN/>
        <w:adjustRightInd/>
        <w:spacing w:after="200"/>
        <w:rPr>
          <w:rFonts w:cs="Times New Roman"/>
          <w:bCs/>
          <w:szCs w:val="24"/>
          <w:lang w:eastAsia="en-GB" w:bidi="th-TH"/>
        </w:rPr>
      </w:pPr>
      <w:r>
        <w:rPr>
          <w:rFonts w:cs="Times New Roman"/>
          <w:bCs/>
          <w:szCs w:val="24"/>
          <w:lang w:eastAsia="en-GB" w:bidi="th-TH"/>
        </w:rPr>
        <w:t>This research was not free from some challenges.</w:t>
      </w:r>
      <w:r>
        <w:rPr>
          <w:rFonts w:cs="Times New Roman"/>
          <w:bCs/>
          <w:color w:val="FF0000"/>
          <w:szCs w:val="24"/>
          <w:lang w:eastAsia="en-GB" w:bidi="th-TH"/>
        </w:rPr>
        <w:t xml:space="preserve"> </w:t>
      </w:r>
      <w:r>
        <w:rPr>
          <w:rFonts w:cs="Times New Roman"/>
          <w:bCs/>
          <w:szCs w:val="24"/>
          <w:lang w:eastAsia="en-GB" w:bidi="th-TH"/>
        </w:rPr>
        <w:t xml:space="preserve">Some respondents were reluctant to fill out the questionnaire as they claimed to be too busy. This limitation was overcome by giving the respondents more time to fill out the questionnaire and pick it up within an agreed timeframe. </w:t>
      </w:r>
      <w:r w:rsidR="008461A2">
        <w:rPr>
          <w:rFonts w:cs="Times New Roman"/>
          <w:bCs/>
          <w:szCs w:val="24"/>
          <w:lang w:eastAsia="en-GB" w:bidi="th-TH"/>
        </w:rPr>
        <w:t>Further, t</w:t>
      </w:r>
      <w:r>
        <w:rPr>
          <w:rFonts w:cs="Times New Roman"/>
          <w:bCs/>
          <w:szCs w:val="24"/>
          <w:lang w:eastAsia="en-GB" w:bidi="th-TH"/>
        </w:rPr>
        <w:t xml:space="preserve">his challenge was dealt with by explaining to the respondents that the research targeted </w:t>
      </w:r>
      <w:r w:rsidR="0093691A">
        <w:rPr>
          <w:rFonts w:cs="Times New Roman"/>
          <w:bCs/>
          <w:szCs w:val="24"/>
          <w:lang w:eastAsia="en-GB" w:bidi="th-TH"/>
        </w:rPr>
        <w:t xml:space="preserve">only </w:t>
      </w:r>
      <w:r>
        <w:rPr>
          <w:rFonts w:cs="Times New Roman"/>
          <w:bCs/>
          <w:szCs w:val="24"/>
          <w:lang w:eastAsia="en-GB" w:bidi="th-TH"/>
        </w:rPr>
        <w:t xml:space="preserve">those </w:t>
      </w:r>
      <w:r w:rsidR="0093691A">
        <w:rPr>
          <w:rFonts w:cs="Times New Roman"/>
          <w:bCs/>
          <w:szCs w:val="24"/>
          <w:lang w:eastAsia="en-GB" w:bidi="th-TH"/>
        </w:rPr>
        <w:t xml:space="preserve">staff </w:t>
      </w:r>
      <w:r>
        <w:rPr>
          <w:rFonts w:cs="Times New Roman"/>
          <w:bCs/>
          <w:szCs w:val="24"/>
          <w:lang w:eastAsia="en-GB" w:bidi="th-TH"/>
        </w:rPr>
        <w:t>in management because they are the ones who implement GHRM policies and practices. The respondents who refused to fill out the questionnaire without any apparent reason were assured that the data provided was anonymous</w:t>
      </w:r>
      <w:r w:rsidR="0093691A">
        <w:rPr>
          <w:rFonts w:cs="Times New Roman"/>
          <w:bCs/>
          <w:szCs w:val="24"/>
          <w:lang w:eastAsia="en-GB" w:bidi="th-TH"/>
        </w:rPr>
        <w:t xml:space="preserve">, confidential </w:t>
      </w:r>
      <w:r>
        <w:rPr>
          <w:rFonts w:cs="Times New Roman"/>
          <w:bCs/>
          <w:szCs w:val="24"/>
          <w:lang w:eastAsia="en-GB" w:bidi="th-TH"/>
        </w:rPr>
        <w:t>and for academic study. Some respondents in charge of the finance department of some hospitals did not provide their revenue collection estimates for the period 2014-2019. This limitation was tackled by assuring the respondents of their privacy and confidentiality of the revenue collection data they provided.</w:t>
      </w:r>
    </w:p>
    <w:p w14:paraId="7E401154" w14:textId="77777777" w:rsidR="009F33CD" w:rsidRDefault="00E40740">
      <w:pPr>
        <w:autoSpaceDE/>
        <w:autoSpaceDN/>
        <w:adjustRightInd/>
        <w:spacing w:after="200"/>
        <w:rPr>
          <w:rFonts w:cs="Times New Roman"/>
          <w:bCs/>
          <w:szCs w:val="24"/>
          <w:lang w:eastAsia="en-GB" w:bidi="th-TH"/>
        </w:rPr>
      </w:pPr>
      <w:r>
        <w:rPr>
          <w:rFonts w:cs="Times New Roman"/>
          <w:bCs/>
          <w:szCs w:val="24"/>
          <w:lang w:eastAsia="en-GB" w:bidi="th-TH"/>
        </w:rPr>
        <w:t xml:space="preserve">Although this assurance was given and repeatedly followed up, some Level Five Hospitals’ finance departments did not provide any revenue collection data and therefore the researcher resolved to use only the available data from those hospitals that responded. Accessibility to key respondents for an interview was limited due to the nature of their busy work schedule. This forced the researcher to re-book these respondents and visit the health facility more than twice or thrice in order to interview them. It took a long time for the study to get formal authority to access the respondents because every Level Five hospital is managed differently through their county health departments. This limitation forced the researcher to extend the data collection period per Level Five Hospital. Further, to solve this challenge, the researcher kept calling the respective hospital’s human resource office for feedback. </w:t>
      </w:r>
    </w:p>
    <w:p w14:paraId="7AE5B1E2" w14:textId="77777777" w:rsidR="000E48A9" w:rsidRDefault="000E48A9">
      <w:pPr>
        <w:autoSpaceDE/>
        <w:autoSpaceDN/>
        <w:adjustRightInd/>
        <w:spacing w:before="0" w:beforeAutospacing="0" w:after="0" w:afterAutospacing="0" w:line="240" w:lineRule="auto"/>
        <w:jc w:val="left"/>
        <w:rPr>
          <w:rFonts w:cs="Times New Roman"/>
          <w:bCs/>
          <w:szCs w:val="24"/>
          <w:lang w:eastAsia="en-GB" w:bidi="th-TH"/>
        </w:rPr>
      </w:pPr>
      <w:r>
        <w:rPr>
          <w:rFonts w:cs="Times New Roman"/>
          <w:bCs/>
          <w:szCs w:val="24"/>
          <w:lang w:eastAsia="en-GB" w:bidi="th-TH"/>
        </w:rPr>
        <w:br w:type="page"/>
      </w:r>
    </w:p>
    <w:p w14:paraId="58E61A5E" w14:textId="77777777" w:rsidR="009F33CD" w:rsidRDefault="00E40740">
      <w:pPr>
        <w:pStyle w:val="Heading1"/>
      </w:pPr>
      <w:bookmarkStart w:id="247" w:name="_Toc224237667"/>
      <w:bookmarkStart w:id="248" w:name="_Toc274142831"/>
      <w:bookmarkStart w:id="249" w:name="_Toc398129163"/>
      <w:bookmarkStart w:id="250" w:name="_Toc398128755"/>
      <w:bookmarkStart w:id="251" w:name="_Toc275416736"/>
      <w:r>
        <w:lastRenderedPageBreak/>
        <w:t>CHAPTER TWO</w:t>
      </w:r>
      <w:bookmarkEnd w:id="247"/>
    </w:p>
    <w:p w14:paraId="0E8E7E50" w14:textId="77777777" w:rsidR="009F33CD" w:rsidRDefault="00E40740">
      <w:pPr>
        <w:pStyle w:val="Heading1"/>
      </w:pPr>
      <w:bookmarkStart w:id="252" w:name="_Toc224237668"/>
      <w:r>
        <w:t>LITERATURE REVIEW</w:t>
      </w:r>
      <w:bookmarkEnd w:id="252"/>
    </w:p>
    <w:p w14:paraId="0B9087B3" w14:textId="77777777" w:rsidR="009F33CD" w:rsidRDefault="00E40740">
      <w:pPr>
        <w:pStyle w:val="Heading2"/>
        <w:rPr>
          <w:lang w:val="en-GB"/>
        </w:rPr>
      </w:pPr>
      <w:bookmarkStart w:id="253" w:name="_Toc224237669"/>
      <w:r>
        <w:rPr>
          <w:lang w:val="en-GB"/>
        </w:rPr>
        <w:t>2.1 Introduction</w:t>
      </w:r>
      <w:bookmarkEnd w:id="253"/>
    </w:p>
    <w:p w14:paraId="42B2A030" w14:textId="77777777" w:rsidR="009F33CD" w:rsidRDefault="00E40740">
      <w:pPr>
        <w:spacing w:before="240"/>
        <w:rPr>
          <w:rFonts w:cs="Times New Roman"/>
          <w:bCs/>
          <w:iCs/>
          <w:szCs w:val="24"/>
        </w:rPr>
      </w:pPr>
      <w:r>
        <w:rPr>
          <w:rFonts w:cs="Times New Roman"/>
          <w:bCs/>
          <w:iCs/>
          <w:szCs w:val="24"/>
        </w:rPr>
        <w:t xml:space="preserve">This chapter presents a theoretical framework, conceptual framework, and empirical review, critic of existing literature, research gap, and ends with a summary. </w:t>
      </w:r>
    </w:p>
    <w:p w14:paraId="59B83A30" w14:textId="77777777" w:rsidR="009F33CD" w:rsidRDefault="00E40740">
      <w:pPr>
        <w:pStyle w:val="Heading2"/>
        <w:spacing w:before="240"/>
        <w:rPr>
          <w:lang w:val="en-GB"/>
        </w:rPr>
      </w:pPr>
      <w:bookmarkStart w:id="254" w:name="_Toc224237670"/>
      <w:r>
        <w:rPr>
          <w:lang w:val="en-GB"/>
        </w:rPr>
        <w:t>2.2 Theoretical Framework</w:t>
      </w:r>
      <w:bookmarkEnd w:id="254"/>
    </w:p>
    <w:p w14:paraId="0B9D1ABC" w14:textId="77777777" w:rsidR="009F33CD" w:rsidRDefault="00E40740">
      <w:pPr>
        <w:spacing w:before="240"/>
        <w:rPr>
          <w:rFonts w:cs="Times New Roman"/>
          <w:bCs/>
          <w:iCs/>
          <w:szCs w:val="24"/>
        </w:rPr>
      </w:pPr>
      <w:r>
        <w:rPr>
          <w:rFonts w:cs="Times New Roman"/>
          <w:bCs/>
          <w:iCs/>
          <w:szCs w:val="24"/>
        </w:rPr>
        <w:t xml:space="preserve"> This section presents theories that underpin this study. According to Bacharach (1989), a theory is a statement of relations among concepts within a set of boundary assumptions and constraints. A theory explains what a phenomenon is and how it works (Torraco, 1997). The theories used in this study are: social exchange theory; human capital theory; Ability, Motivation, and Opportunity theory; and Resource-based theory.  </w:t>
      </w:r>
    </w:p>
    <w:p w14:paraId="251742DD" w14:textId="77777777" w:rsidR="009F33CD" w:rsidRDefault="00E40740" w:rsidP="00542524">
      <w:pPr>
        <w:pStyle w:val="Heading3"/>
      </w:pPr>
      <w:bookmarkStart w:id="255" w:name="_Toc178939573"/>
      <w:bookmarkStart w:id="256" w:name="_Toc178942568"/>
      <w:bookmarkStart w:id="257" w:name="_Toc178944977"/>
      <w:bookmarkStart w:id="258" w:name="_Toc4148577"/>
      <w:bookmarkStart w:id="259" w:name="_Toc178940527"/>
      <w:bookmarkStart w:id="260" w:name="_Toc185614015"/>
      <w:bookmarkStart w:id="261" w:name="_Toc165623538"/>
      <w:bookmarkStart w:id="262" w:name="_Toc178944225"/>
      <w:bookmarkStart w:id="263" w:name="_Toc147950183"/>
      <w:bookmarkStart w:id="264" w:name="_Toc187080785"/>
      <w:bookmarkStart w:id="265" w:name="_Toc165626319"/>
      <w:bookmarkStart w:id="266" w:name="_Toc224237671"/>
      <w:bookmarkStart w:id="267" w:name="_Toc529121468"/>
      <w:bookmarkStart w:id="268" w:name="_Toc529115527"/>
      <w:r>
        <w:t>2.2.1 Social Exchange Theory</w:t>
      </w:r>
      <w:bookmarkEnd w:id="255"/>
      <w:bookmarkEnd w:id="256"/>
      <w:bookmarkEnd w:id="257"/>
      <w:bookmarkEnd w:id="258"/>
      <w:bookmarkEnd w:id="259"/>
      <w:bookmarkEnd w:id="260"/>
      <w:bookmarkEnd w:id="261"/>
      <w:bookmarkEnd w:id="262"/>
      <w:bookmarkEnd w:id="263"/>
      <w:bookmarkEnd w:id="264"/>
      <w:bookmarkEnd w:id="265"/>
      <w:bookmarkEnd w:id="266"/>
    </w:p>
    <w:bookmarkEnd w:id="267"/>
    <w:bookmarkEnd w:id="268"/>
    <w:p w14:paraId="086CE457" w14:textId="77777777" w:rsidR="009F33CD" w:rsidRDefault="00E40740">
      <w:pPr>
        <w:spacing w:before="240"/>
        <w:rPr>
          <w:rFonts w:cs="Times New Roman"/>
          <w:bCs/>
          <w:szCs w:val="24"/>
        </w:rPr>
      </w:pPr>
      <w:r>
        <w:rPr>
          <w:rFonts w:cs="Times New Roman"/>
          <w:bCs/>
          <w:szCs w:val="24"/>
        </w:rPr>
        <w:t xml:space="preserve">Social exchange theory was formulated by Blau (1964) and is based on the premise that the social interaction of human beings is an exchange of activity, tangible and intangible, and it involves rewards and costs. However, Schein (1965) developed social exchange theory as an analytical framework. The notion of a psychological contract implies that there is an unwritten set of expectations operating at all times between every member of an organization and the various managers and others in that organization. The theory is based on the assumption that employees form general perceptions about the intentions and attitudes of their management towards them in terms of policies and procedures enacted by managers of the organization. These policies and procedures that form HR practices send messages to employees that will strengthen or weaken the relationship between the employee and the organization. </w:t>
      </w:r>
    </w:p>
    <w:p w14:paraId="54809F18" w14:textId="77777777" w:rsidR="009F33CD" w:rsidRDefault="00E40740">
      <w:pPr>
        <w:autoSpaceDE/>
        <w:autoSpaceDN/>
        <w:adjustRightInd/>
        <w:rPr>
          <w:rFonts w:cs="Times New Roman"/>
          <w:bCs/>
          <w:szCs w:val="24"/>
        </w:rPr>
      </w:pPr>
      <w:r>
        <w:rPr>
          <w:rFonts w:cs="Times New Roman"/>
          <w:bCs/>
          <w:szCs w:val="24"/>
        </w:rPr>
        <w:t xml:space="preserve">According to Blau, (1964), social exchanges just like economic exchanges have some expectation of some future returns for contributions between the exchange partners although the exact nature of the returns is not known. Unlike economic exchanges, </w:t>
      </w:r>
      <w:r>
        <w:rPr>
          <w:rFonts w:cs="Times New Roman"/>
          <w:bCs/>
          <w:szCs w:val="24"/>
        </w:rPr>
        <w:lastRenderedPageBreak/>
        <w:t xml:space="preserve">social exchanges are characterized by long-term fairness as opposed to short-term fairness. Whitener </w:t>
      </w:r>
      <w:r>
        <w:rPr>
          <w:rFonts w:cs="Times New Roman"/>
          <w:bCs/>
          <w:i/>
          <w:szCs w:val="24"/>
        </w:rPr>
        <w:t xml:space="preserve">et al </w:t>
      </w:r>
      <w:r>
        <w:rPr>
          <w:rFonts w:cs="Times New Roman"/>
          <w:bCs/>
          <w:szCs w:val="24"/>
        </w:rPr>
        <w:t xml:space="preserve">(1998) note that exchanges may involve economic benefits or utility and further argue that the latter may have a significant impact on the social dimension of the relationship such as between the organization's employees and the community members. Employees according to Armstrong (2016) may expect to be treated fairly as human beings, to be provided with work that uses their abilities, to be rewarded equitably in accordance with their relative contribution, to display competence, to have opportunities for further growth, to know what is expected of them and to be given feedback on their performance. </w:t>
      </w:r>
    </w:p>
    <w:p w14:paraId="65642C1D" w14:textId="77777777" w:rsidR="009F33CD" w:rsidRDefault="00E40740">
      <w:pPr>
        <w:autoSpaceDE/>
        <w:autoSpaceDN/>
        <w:adjustRightInd/>
        <w:rPr>
          <w:rFonts w:cs="Times New Roman"/>
          <w:bCs/>
          <w:szCs w:val="24"/>
        </w:rPr>
      </w:pPr>
      <w:r>
        <w:rPr>
          <w:rFonts w:cs="Times New Roman"/>
          <w:bCs/>
          <w:szCs w:val="24"/>
        </w:rPr>
        <w:t xml:space="preserve">In this study, this theory has a relationship with green training and green employee resourcing in devolved healthcare services. This is because employees who are continuously trained are likely to be efficient and effective in discharging better healthcare services to clients which will form a social exchange for the organization’s training. </w:t>
      </w:r>
      <w:r>
        <w:rPr>
          <w:rFonts w:cs="Times New Roman"/>
          <w:bCs/>
          <w:color w:val="231F20"/>
          <w:szCs w:val="24"/>
        </w:rPr>
        <w:t>Hiring employees from the community around the hospital may encourage the hired employees to exhibit green behaviour in their work performance.</w:t>
      </w:r>
      <w:r>
        <w:rPr>
          <w:rFonts w:cs="Times New Roman"/>
          <w:bCs/>
          <w:szCs w:val="24"/>
        </w:rPr>
        <w:t xml:space="preserve"> In linking this theory to green employee resourcing to devolved healthcare services, one should note that a positive relationship between employees and hospital management that implements green activities may influence employees to speak well about their green hospital, attract patients, and be cautious of their patients’ feedback, especially on matters of environmental conservation. This argument is supported by a study carried out by Boon (2008) which found the existence of a positive relationship between selective hiring and organizational citizen behaviour. If health workers were recruited from the communities where hospitals are located, there is a likelihood of improved performance from those employees as they will be encouraged to give effective services back to their community citizens on an eco-friendly and sustained basis. </w:t>
      </w:r>
    </w:p>
    <w:p w14:paraId="4EFD50EA" w14:textId="77777777" w:rsidR="009F33CD" w:rsidRDefault="00E40740">
      <w:pPr>
        <w:rPr>
          <w:rFonts w:cs="Times New Roman"/>
          <w:bCs/>
          <w:szCs w:val="24"/>
        </w:rPr>
      </w:pPr>
      <w:r>
        <w:rPr>
          <w:rFonts w:cs="Times New Roman"/>
          <w:bCs/>
          <w:szCs w:val="24"/>
        </w:rPr>
        <w:t xml:space="preserve">Applying this theory to the objective of green performance evaluation on the performance of devolved healthcare services means that the greater the value placed on performance feedback, the greater the level of effort that will be expended in a given situation. </w:t>
      </w:r>
      <w:r>
        <w:rPr>
          <w:rFonts w:cs="Times New Roman"/>
          <w:szCs w:val="24"/>
        </w:rPr>
        <w:t xml:space="preserve">According to Nzivo (2012), the tendency to act in a certain way depends on the strength of the expectation that the act will be followed by a certain outcome and on the attractiveness of that outcome to the individual. Bhatnagar and </w:t>
      </w:r>
      <w:r>
        <w:rPr>
          <w:rFonts w:cs="Times New Roman"/>
          <w:szCs w:val="24"/>
        </w:rPr>
        <w:lastRenderedPageBreak/>
        <w:t>Aggarwal (2020) allude that social exchange theory dynamics have a strong relationship between green work climate and eco-initiatives of employees on the job. Employees who are concerned about environmental sustainability while serving their clients, for example in save energy programs, minimal and efficient water use, and creative flower offices, among others should be paid special recognition allowance.</w:t>
      </w:r>
      <w:r>
        <w:rPr>
          <w:rFonts w:cs="Times New Roman"/>
          <w:bCs/>
          <w:szCs w:val="24"/>
        </w:rPr>
        <w:t xml:space="preserve"> When organizations provide support for green initiatives, such as training, resources, and recognition, employees are more likely to engage in green behaviours. This support can be seen as a form of social exchange where the organization invests in its employees, and in return, employees contribute to the organization's green performance.</w:t>
      </w:r>
    </w:p>
    <w:p w14:paraId="67160EED" w14:textId="77777777" w:rsidR="009F33CD" w:rsidRDefault="00E40740" w:rsidP="00542524">
      <w:pPr>
        <w:pStyle w:val="Heading3"/>
        <w:rPr>
          <w:i/>
        </w:rPr>
      </w:pPr>
      <w:bookmarkStart w:id="269" w:name="_Toc529121473"/>
      <w:bookmarkStart w:id="270" w:name="_Toc529115532"/>
      <w:bookmarkStart w:id="271" w:name="_Toc4148579"/>
      <w:bookmarkStart w:id="272" w:name="_Toc185614016"/>
      <w:bookmarkStart w:id="273" w:name="_Toc178939574"/>
      <w:bookmarkStart w:id="274" w:name="_Toc178940528"/>
      <w:bookmarkStart w:id="275" w:name="_Toc187080786"/>
      <w:bookmarkStart w:id="276" w:name="_Toc165626320"/>
      <w:bookmarkStart w:id="277" w:name="_Toc178944226"/>
      <w:bookmarkStart w:id="278" w:name="_Toc147950184"/>
      <w:bookmarkStart w:id="279" w:name="_Toc178942569"/>
      <w:bookmarkStart w:id="280" w:name="_Toc178944978"/>
      <w:bookmarkStart w:id="281" w:name="_Toc165623539"/>
      <w:bookmarkStart w:id="282" w:name="_Toc224237672"/>
      <w:r>
        <w:rPr>
          <w:iCs/>
        </w:rPr>
        <w:t>2.2.</w:t>
      </w:r>
      <w:bookmarkStart w:id="283" w:name="_Toc529121474"/>
      <w:bookmarkStart w:id="284" w:name="_Toc4148580"/>
      <w:bookmarkStart w:id="285" w:name="_Toc529115533"/>
      <w:bookmarkEnd w:id="269"/>
      <w:bookmarkEnd w:id="270"/>
      <w:bookmarkEnd w:id="271"/>
      <w:r>
        <w:rPr>
          <w:iCs/>
        </w:rPr>
        <w:t>2</w:t>
      </w:r>
      <w:r>
        <w:t xml:space="preserve"> Human Capital Theory</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544785D8" w14:textId="77777777" w:rsidR="009F33CD" w:rsidRDefault="00E40740">
      <w:pPr>
        <w:rPr>
          <w:rFonts w:cs="Times New Roman"/>
          <w:bCs/>
          <w:szCs w:val="24"/>
        </w:rPr>
      </w:pPr>
      <w:r>
        <w:rPr>
          <w:rFonts w:cs="Times New Roman"/>
          <w:bCs/>
          <w:szCs w:val="24"/>
        </w:rPr>
        <w:t xml:space="preserve">This theory was founded by Schultz (1961) who elaborated the concept of human capital in 1981 as consisting of all human abilities, either innate or acquired, as attributes that are valuable and can be augmented by appropriate investment. </w:t>
      </w:r>
      <w:r>
        <w:rPr>
          <w:rFonts w:cs="Times New Roman"/>
          <w:szCs w:val="24"/>
        </w:rPr>
        <w:t xml:space="preserve">Bontis </w:t>
      </w:r>
      <w:r>
        <w:rPr>
          <w:rFonts w:cs="Times New Roman"/>
          <w:i/>
          <w:iCs/>
          <w:szCs w:val="24"/>
        </w:rPr>
        <w:t xml:space="preserve">et al </w:t>
      </w:r>
      <w:r>
        <w:rPr>
          <w:rFonts w:cs="Times New Roman"/>
          <w:szCs w:val="24"/>
        </w:rPr>
        <w:t xml:space="preserve">(1999) defined </w:t>
      </w:r>
      <w:r>
        <w:rPr>
          <w:rFonts w:cs="Times New Roman"/>
          <w:bCs/>
          <w:szCs w:val="24"/>
        </w:rPr>
        <w:t xml:space="preserve">Human capital as representing the human factor in terms of combined intelligence, skills, and expertise that give the organization its distinctive character. According to Armstrong (2013), human capital theory views people as the most valued assets of the organization and that organizations that invest in people improve their performance. The human elements of the organization are those that are capable of learning, changing, innovating, and providing the creative thrust which if properly motivated can ensure the long-term survival of the organization. </w:t>
      </w:r>
    </w:p>
    <w:p w14:paraId="56E690F3" w14:textId="77777777" w:rsidR="009F33CD" w:rsidRDefault="00E40740">
      <w:pPr>
        <w:rPr>
          <w:rFonts w:eastAsia="TimesNewRomanPSMT" w:cs="Times New Roman"/>
          <w:bCs/>
          <w:szCs w:val="24"/>
        </w:rPr>
      </w:pPr>
      <w:r>
        <w:rPr>
          <w:rFonts w:cs="Times New Roman"/>
          <w:bCs/>
          <w:szCs w:val="24"/>
        </w:rPr>
        <w:t xml:space="preserve">Armstrong (2016) adds that individuals generate, retain, and use knowledge and skill which is human capital, and create intellectual capital. Their knowledge is enhanced by the interactions between them, that is, social capital, and generates the institutionalized knowledge possessed by an organization, that is, organizational capital. </w:t>
      </w:r>
      <w:r>
        <w:rPr>
          <w:rFonts w:eastAsia="TimesNewRoman" w:cs="Times New Roman"/>
          <w:bCs/>
          <w:szCs w:val="24"/>
        </w:rPr>
        <w:t>Some studies in the past such as Chen (2008) found that intellectual capital which refers to the total stocks of all intangible assets, knowledge, and capabilities of a firm has a positive influence on the competitive advantage of firms and this helps firms achieve excellent goals.</w:t>
      </w:r>
      <w:r>
        <w:rPr>
          <w:rFonts w:cs="Times New Roman"/>
          <w:bCs/>
          <w:szCs w:val="24"/>
        </w:rPr>
        <w:t xml:space="preserve"> </w:t>
      </w:r>
      <w:r>
        <w:rPr>
          <w:rFonts w:eastAsia="TimesNewRomanPSMT" w:cs="Times New Roman"/>
          <w:bCs/>
          <w:szCs w:val="24"/>
        </w:rPr>
        <w:t xml:space="preserve">Torrington (2008) explains that human capital signifies the combined intelligence and experience of staff as a source of competitive advantage </w:t>
      </w:r>
      <w:r>
        <w:rPr>
          <w:rFonts w:eastAsia="TimesNewRomanPSMT" w:cs="Times New Roman"/>
          <w:bCs/>
          <w:szCs w:val="24"/>
        </w:rPr>
        <w:lastRenderedPageBreak/>
        <w:t xml:space="preserve">that cannot be initiated by competitors. He specifically indicates that effective HRM practices are an organization’s source of competitive advantage. </w:t>
      </w:r>
    </w:p>
    <w:p w14:paraId="6653A02E" w14:textId="77777777" w:rsidR="009F33CD" w:rsidRDefault="00E40740">
      <w:pPr>
        <w:rPr>
          <w:rFonts w:eastAsia="TimesNewRoman" w:cs="Times New Roman"/>
          <w:bCs/>
          <w:szCs w:val="24"/>
        </w:rPr>
      </w:pPr>
      <w:r>
        <w:rPr>
          <w:rFonts w:eastAsia="TimesNewRomanPSMT" w:cs="Times New Roman"/>
          <w:bCs/>
          <w:szCs w:val="24"/>
        </w:rPr>
        <w:t xml:space="preserve">This theory has cross-cutting significance in this study because green HRM practices that include green training, green employee resourcing, and green performance evaluation do help organizations enhance performance and sustainability. </w:t>
      </w:r>
      <w:r>
        <w:rPr>
          <w:rFonts w:cs="Times New Roman"/>
          <w:bCs/>
          <w:color w:val="000000"/>
          <w:szCs w:val="24"/>
        </w:rPr>
        <w:t xml:space="preserve">Human capital theory when applied to health worker green training in devolved healthcare services; considers health workers as assets and stresses that investment by hospitals in employees will generate worthwhile returns. Hospitals, therefore, </w:t>
      </w:r>
      <w:r>
        <w:rPr>
          <w:rFonts w:cs="Times New Roman"/>
          <w:szCs w:val="24"/>
        </w:rPr>
        <w:t>should constantly evaluate their workforce on environmental management to ensure that they have the right individuals with the right abilities and skills in the right jobs to guarantee sustained competitive advantage, especially on matters of environmental sustainability. Rawashdeh (2018</w:t>
      </w:r>
      <w:r>
        <w:rPr>
          <w:rFonts w:eastAsia="TimesNewRoman" w:cs="Times New Roman"/>
          <w:bCs/>
          <w:szCs w:val="24"/>
        </w:rPr>
        <w:t xml:space="preserve">) found that scholars believe that green human resource management practice is a very effective tool for developing capable green human capital for sustainable performance and green competitive advantage. </w:t>
      </w:r>
    </w:p>
    <w:p w14:paraId="3134DFC0" w14:textId="77777777" w:rsidR="009F33CD" w:rsidRDefault="00E40740">
      <w:pPr>
        <w:rPr>
          <w:rFonts w:cs="Times New Roman"/>
          <w:szCs w:val="24"/>
        </w:rPr>
      </w:pPr>
      <w:r>
        <w:rPr>
          <w:rFonts w:cs="Times New Roman"/>
          <w:bCs/>
          <w:szCs w:val="24"/>
        </w:rPr>
        <w:t xml:space="preserve">Armstrong (2016) quoting Boxall (1996) </w:t>
      </w:r>
      <w:r>
        <w:rPr>
          <w:rFonts w:cs="Times New Roman"/>
          <w:bCs/>
          <w:color w:val="000000"/>
          <w:szCs w:val="24"/>
        </w:rPr>
        <w:t>refers to this situation as one that confers ‘human capital advantage’. Human capital advantage results from employing people with competitively valuable knowledge and skills, much of it tacit. Human process advantage follows from the establishment of difficult-to-imitate, highly evolved processes within the firm, such as cross-departmental cooperation and executive development. Careful and sufficient green training, green hiring, and fair green performance evaluation can enhance performance and environmental sustainability. Favourable green workplace conditions consisting of reasonable workload, garden flowers, natural ventilation, better tools of work, and supportive supervision can improve intellectual capital, social capital, and organizational capital.</w:t>
      </w:r>
    </w:p>
    <w:p w14:paraId="547896D3" w14:textId="77777777" w:rsidR="009F33CD" w:rsidRDefault="00E40740">
      <w:pPr>
        <w:spacing w:before="240"/>
        <w:rPr>
          <w:rFonts w:cs="Times New Roman"/>
          <w:bCs/>
          <w:szCs w:val="24"/>
        </w:rPr>
      </w:pPr>
      <w:r>
        <w:rPr>
          <w:rFonts w:cs="Times New Roman"/>
          <w:bCs/>
          <w:szCs w:val="24"/>
        </w:rPr>
        <w:t xml:space="preserve">In this study, Human resources for Health are considered an important human capital in devolved healthcare services. Human Capital theory confirms that employees of devolved healthcare services can generate, retain, and use skills, knowledge, and abilities to improve organization and environmental performance. Doctors, Nurses, Clinical Officers, laboratory technicians, information technology, and in general health workers and administrators have the knowledge and skills that are needed to be </w:t>
      </w:r>
      <w:r>
        <w:rPr>
          <w:rFonts w:cs="Times New Roman"/>
          <w:bCs/>
          <w:szCs w:val="24"/>
        </w:rPr>
        <w:lastRenderedPageBreak/>
        <w:t xml:space="preserve">developed into green because these abilities and skills add value to green-devolved healthcare services. Green healthcare service providers (hospitals) should therefore focus on attracting, selecting, retaining, and developing green human resources for health who can generate, retain, and use skills, knowledge, and abilities to generate positive environmental results for the hospitals and ecological conservation. These abilities and skills should include eco-friendly management practices, such as saving energy practices, water minimization, and paperless hospital </w:t>
      </w:r>
      <w:r w:rsidR="00BA3B94">
        <w:rPr>
          <w:rFonts w:cs="Times New Roman"/>
          <w:bCs/>
          <w:szCs w:val="24"/>
        </w:rPr>
        <w:t>operations that</w:t>
      </w:r>
      <w:r>
        <w:rPr>
          <w:rFonts w:cs="Times New Roman"/>
          <w:bCs/>
          <w:szCs w:val="24"/>
        </w:rPr>
        <w:t xml:space="preserve"> can enhance the hospital’s reputation on the aspect of environmental responsibility and performance.</w:t>
      </w:r>
    </w:p>
    <w:p w14:paraId="313F00D5" w14:textId="77777777" w:rsidR="009F33CD" w:rsidRDefault="00E40740" w:rsidP="00542524">
      <w:pPr>
        <w:pStyle w:val="Heading3"/>
      </w:pPr>
      <w:bookmarkStart w:id="286" w:name="_Toc529115534"/>
      <w:bookmarkStart w:id="287" w:name="_Toc529121475"/>
      <w:bookmarkStart w:id="288" w:name="_Toc4148581"/>
      <w:bookmarkStart w:id="289" w:name="_Toc147950185"/>
      <w:bookmarkStart w:id="290" w:name="_Toc178944979"/>
      <w:bookmarkStart w:id="291" w:name="_Toc178940529"/>
      <w:bookmarkStart w:id="292" w:name="_Toc178939575"/>
      <w:bookmarkStart w:id="293" w:name="_Toc165626321"/>
      <w:bookmarkStart w:id="294" w:name="_Toc178942570"/>
      <w:bookmarkStart w:id="295" w:name="_Toc178944227"/>
      <w:bookmarkStart w:id="296" w:name="_Toc185614017"/>
      <w:bookmarkStart w:id="297" w:name="_Toc187080787"/>
      <w:bookmarkStart w:id="298" w:name="_Toc165623540"/>
      <w:bookmarkStart w:id="299" w:name="_Toc224237673"/>
      <w:r>
        <w:t>2.2.</w:t>
      </w:r>
      <w:bookmarkEnd w:id="286"/>
      <w:bookmarkEnd w:id="287"/>
      <w:bookmarkEnd w:id="288"/>
      <w:r>
        <w:t>3 Ability, Motivation, and Opportunity theory</w:t>
      </w:r>
      <w:bookmarkEnd w:id="289"/>
      <w:bookmarkEnd w:id="290"/>
      <w:bookmarkEnd w:id="291"/>
      <w:bookmarkEnd w:id="292"/>
      <w:bookmarkEnd w:id="293"/>
      <w:bookmarkEnd w:id="294"/>
      <w:bookmarkEnd w:id="295"/>
      <w:bookmarkEnd w:id="296"/>
      <w:bookmarkEnd w:id="297"/>
      <w:bookmarkEnd w:id="298"/>
      <w:bookmarkEnd w:id="299"/>
      <w:r>
        <w:t xml:space="preserve"> </w:t>
      </w:r>
    </w:p>
    <w:p w14:paraId="590FBF99" w14:textId="77777777" w:rsidR="009F33CD" w:rsidRDefault="00E40740">
      <w:pPr>
        <w:spacing w:before="240"/>
        <w:rPr>
          <w:rFonts w:cs="Times New Roman"/>
          <w:bCs/>
          <w:szCs w:val="24"/>
        </w:rPr>
      </w:pPr>
      <w:r>
        <w:rPr>
          <w:rFonts w:cs="Times New Roman"/>
          <w:bCs/>
          <w:szCs w:val="24"/>
        </w:rPr>
        <w:t>According to Vroom (1964), the effect of motivation on organizational performance is dependent on the level of ability of the worker, and the relationship of ability to performance is dependent on the extent of motivation of the worker. The effects of ability and motivation on performance are not additive but interactive. The data presently available on this question suggest something more closely resembling the multiplicative relationship depicted in the formula: Performance = ƒ (Ability × Motivation). Vroom (1964) therefore suggests that people need both ability and motivation to perform well and that if either ability or motivation is zero there will be no effective performance. Employees in devolved Healthcare services can be motivated to improve performance if they are encouraged to use discretionary effort; their skills are developed and provided with the opportunity to perform. AMO theory stresses that employees’ abilities, motivations, and opportunities can contribute to organizational performance; through an integrative perspective to promote firm performance.</w:t>
      </w:r>
    </w:p>
    <w:p w14:paraId="4C3630B7" w14:textId="77777777" w:rsidR="009F33CD" w:rsidRDefault="00E40740">
      <w:pPr>
        <w:spacing w:before="240"/>
        <w:rPr>
          <w:rFonts w:cs="Times New Roman"/>
          <w:bCs/>
          <w:color w:val="000000"/>
          <w:szCs w:val="24"/>
        </w:rPr>
      </w:pPr>
      <w:r>
        <w:rPr>
          <w:rFonts w:cs="Times New Roman"/>
          <w:bCs/>
          <w:color w:val="000000"/>
          <w:szCs w:val="24"/>
        </w:rPr>
        <w:t>In this study, since employee performance is also a function of ability, motivation, and opportunity, it makes sense to have a bundle of GHRM practices</w:t>
      </w:r>
      <w:r>
        <w:rPr>
          <w:rFonts w:cs="Times New Roman"/>
          <w:bCs/>
          <w:szCs w:val="24"/>
        </w:rPr>
        <w:t>, green occupational safety and health, and green performance evaluation</w:t>
      </w:r>
      <w:r>
        <w:rPr>
          <w:rFonts w:cs="Times New Roman"/>
          <w:bCs/>
          <w:color w:val="FF0000"/>
          <w:szCs w:val="24"/>
        </w:rPr>
        <w:t xml:space="preserve"> </w:t>
      </w:r>
      <w:r>
        <w:rPr>
          <w:rFonts w:cs="Times New Roman"/>
          <w:bCs/>
          <w:color w:val="000000"/>
          <w:szCs w:val="24"/>
        </w:rPr>
        <w:t xml:space="preserve">aimed at enhancing AMO. </w:t>
      </w:r>
      <w:r>
        <w:rPr>
          <w:rFonts w:cs="Times New Roman"/>
          <w:bCs/>
          <w:szCs w:val="24"/>
        </w:rPr>
        <w:t xml:space="preserve">GHRM is one of the ways through which a healthcare organization can enhance the green ability of employees by recruiting those individuals with awareness of environmental protection and providing certain training programs about </w:t>
      </w:r>
      <w:r>
        <w:rPr>
          <w:rFonts w:cs="Times New Roman"/>
          <w:bCs/>
          <w:szCs w:val="24"/>
        </w:rPr>
        <w:lastRenderedPageBreak/>
        <w:t xml:space="preserve">environmentally friendly skills, inspiring motivation among employees to engage themselves in green activities. AMO formula- Performance = Ability + Motivation + Opportunity to Participate provides the basis for developing HR systems that attend to employees’ interests, namely: their skill requirements, motivation, and nature of their job (Boxall &amp; Purcell, 2003). </w:t>
      </w:r>
      <w:r>
        <w:rPr>
          <w:rFonts w:cs="Times New Roman"/>
          <w:bCs/>
          <w:color w:val="000000"/>
          <w:szCs w:val="24"/>
        </w:rPr>
        <w:t xml:space="preserve">Thus, there are several ways in which employees providing devolved healthcare services can acquire needed green skills, for example, through careful green recruitment and selection and green training.  </w:t>
      </w:r>
    </w:p>
    <w:p w14:paraId="55F7B80B" w14:textId="77777777" w:rsidR="009F33CD" w:rsidRDefault="00E40740">
      <w:pPr>
        <w:spacing w:before="240"/>
        <w:rPr>
          <w:rFonts w:cs="Times New Roman"/>
          <w:bCs/>
          <w:szCs w:val="24"/>
        </w:rPr>
      </w:pPr>
      <w:r>
        <w:rPr>
          <w:rFonts w:cs="Times New Roman"/>
          <w:bCs/>
          <w:szCs w:val="24"/>
        </w:rPr>
        <w:t xml:space="preserve">Vroom’s AMO theory is relevant in this study because it has a cross-cutting application to green training, green employee resourcing, green occupational safety, and health and green performance evaluation. This theory has three dimensions that are relevant to this study as explained hereunder. Ability-enhancing GHRM practices include selective hiring where individuals with environmental awareness are employed, and workers are provided with green skills through training in devolved healthcare. This theory asserts that green recruitment and selection refers to the selective hiring of employees based on knowledge, skills, and behaviour related to the environment. Green training gives the employees green ability, skills, and knowledge that motivate them to understand and enhance environmental protection and reduce pollution of the environment. This gives employees the opportunity to learn environmental protection skills and build an environmentally friendly organization. </w:t>
      </w:r>
      <w:r>
        <w:rPr>
          <w:rFonts w:cs="Times New Roman"/>
          <w:bCs/>
          <w:color w:val="000000"/>
          <w:szCs w:val="24"/>
        </w:rPr>
        <w:t>Motivation-enhancing GHRM practices include green performance appraisal based on green performance standards and practices</w:t>
      </w:r>
      <w:r>
        <w:rPr>
          <w:rFonts w:cs="Times New Roman"/>
          <w:bCs/>
          <w:szCs w:val="24"/>
        </w:rPr>
        <w:t xml:space="preserve"> (Bysted &amp; Hansen, 2015)</w:t>
      </w:r>
      <w:r>
        <w:rPr>
          <w:rFonts w:cs="Times New Roman"/>
          <w:bCs/>
          <w:color w:val="000000"/>
          <w:szCs w:val="24"/>
        </w:rPr>
        <w:t xml:space="preserve"> </w:t>
      </w:r>
      <w:r>
        <w:rPr>
          <w:rFonts w:cs="Times New Roman"/>
          <w:bCs/>
          <w:szCs w:val="24"/>
        </w:rPr>
        <w:t xml:space="preserve">and providing occupational safety and health environment for work. </w:t>
      </w:r>
    </w:p>
    <w:p w14:paraId="1B5C567D" w14:textId="77777777" w:rsidR="009F33CD" w:rsidRDefault="00E40740">
      <w:pPr>
        <w:spacing w:before="240"/>
        <w:rPr>
          <w:rFonts w:cs="Times New Roman"/>
          <w:bCs/>
          <w:szCs w:val="24"/>
        </w:rPr>
      </w:pPr>
      <w:r>
        <w:rPr>
          <w:rFonts w:cs="Times New Roman"/>
          <w:bCs/>
          <w:color w:val="000000"/>
          <w:szCs w:val="24"/>
        </w:rPr>
        <w:t xml:space="preserve">Green performance evaluation means a system of evaluating performance standards and practices of employees in the specific areas of implementing activities in an environmental management system, while, green occupational safety and health refers to a workplace that is free from hazards and occupational diseases that may affect employee health. </w:t>
      </w:r>
      <w:r>
        <w:rPr>
          <w:rFonts w:cs="Times New Roman"/>
          <w:bCs/>
          <w:szCs w:val="24"/>
        </w:rPr>
        <w:t xml:space="preserve">Opportunity-enhancing GHRM practices can be described as green involvement, green supervision, and green employee passion all of which create a platform for employees to engage in environmental management as they deliver quality healthcare services to their clients. A supportive management style inspires and motivates employee creativity, while employee green passion is encouraged and drives </w:t>
      </w:r>
      <w:r>
        <w:rPr>
          <w:rFonts w:cs="Times New Roman"/>
          <w:bCs/>
          <w:szCs w:val="24"/>
        </w:rPr>
        <w:lastRenderedPageBreak/>
        <w:t xml:space="preserve">employees towards performance and environmental management. </w:t>
      </w:r>
      <w:r>
        <w:t xml:space="preserve">AMO framework provides a structured approach for assessing GHRM efficacy to ensure that employees have the ability and are motivated to participate in eco-friendly activities (Kellner </w:t>
      </w:r>
      <w:r>
        <w:rPr>
          <w:i/>
          <w:iCs/>
        </w:rPr>
        <w:t>et al</w:t>
      </w:r>
      <w:r>
        <w:t xml:space="preserve">., 2016). </w:t>
      </w:r>
      <w:r>
        <w:rPr>
          <w:rFonts w:cs="Times New Roman"/>
          <w:bCs/>
          <w:szCs w:val="24"/>
        </w:rPr>
        <w:t>Some studies that have successfully used AMO theory are Pham, Tuckova, and Plan (2019), Alnajdawi, Emeagwali, and Elrhail (2017), and Mwita (2019).</w:t>
      </w:r>
    </w:p>
    <w:p w14:paraId="406EC0BE" w14:textId="77777777" w:rsidR="009F33CD" w:rsidRDefault="00E40740" w:rsidP="00542524">
      <w:pPr>
        <w:pStyle w:val="Heading3"/>
      </w:pPr>
      <w:bookmarkStart w:id="300" w:name="_Toc187080788"/>
      <w:bookmarkStart w:id="301" w:name="_Toc178942571"/>
      <w:bookmarkStart w:id="302" w:name="_Toc165623541"/>
      <w:bookmarkStart w:id="303" w:name="_Toc178944228"/>
      <w:bookmarkStart w:id="304" w:name="_Toc165626322"/>
      <w:bookmarkStart w:id="305" w:name="_Toc185614018"/>
      <w:bookmarkStart w:id="306" w:name="_Toc178939576"/>
      <w:bookmarkStart w:id="307" w:name="_Toc147950186"/>
      <w:bookmarkStart w:id="308" w:name="_Toc178940530"/>
      <w:bookmarkStart w:id="309" w:name="_Toc178944980"/>
      <w:bookmarkStart w:id="310" w:name="_Toc224237674"/>
      <w:r>
        <w:t>2.2.4 Resource-Based Theory</w:t>
      </w:r>
      <w:bookmarkEnd w:id="300"/>
      <w:bookmarkEnd w:id="301"/>
      <w:bookmarkEnd w:id="302"/>
      <w:bookmarkEnd w:id="303"/>
      <w:bookmarkEnd w:id="304"/>
      <w:bookmarkEnd w:id="305"/>
      <w:bookmarkEnd w:id="306"/>
      <w:bookmarkEnd w:id="307"/>
      <w:bookmarkEnd w:id="308"/>
      <w:bookmarkEnd w:id="309"/>
      <w:bookmarkEnd w:id="310"/>
    </w:p>
    <w:p w14:paraId="73E50FDD" w14:textId="77777777" w:rsidR="009F33CD" w:rsidRDefault="00E40740">
      <w:pPr>
        <w:rPr>
          <w:rFonts w:eastAsia="TimesNewRomanPSMT" w:cs="Times New Roman"/>
          <w:bCs/>
          <w:szCs w:val="24"/>
        </w:rPr>
      </w:pPr>
      <w:r>
        <w:rPr>
          <w:rFonts w:cs="Times New Roman"/>
          <w:bCs/>
          <w:szCs w:val="24"/>
        </w:rPr>
        <w:t xml:space="preserve">The resource-based theory was formulated by </w:t>
      </w:r>
      <w:r>
        <w:rPr>
          <w:rFonts w:cs="Times New Roman"/>
          <w:szCs w:val="24"/>
        </w:rPr>
        <w:t xml:space="preserve">Grant (1991). </w:t>
      </w:r>
      <w:r>
        <w:rPr>
          <w:rFonts w:cs="Times New Roman"/>
          <w:bCs/>
          <w:szCs w:val="24"/>
        </w:rPr>
        <w:t xml:space="preserve">Resource-based theory refers to the range of resources that an organization has, including its human resources, which produces its unique character and creates a competitive advantage </w:t>
      </w:r>
      <w:r>
        <w:rPr>
          <w:rFonts w:cs="Times New Roman"/>
          <w:szCs w:val="24"/>
        </w:rPr>
        <w:t>(</w:t>
      </w:r>
      <w:r>
        <w:rPr>
          <w:rFonts w:cs="Times New Roman"/>
          <w:bCs/>
          <w:szCs w:val="24"/>
        </w:rPr>
        <w:t xml:space="preserve">Hamel &amp; Prahalad, 1989). The key to a resource-based approach is to understand the relationships between resources, capabilities, profitability, and competitive advantage. Developing a sustained competitive advantage depends on the unique resources and capabilities that a firm brings to competition in its business environment (Armstrong, 2016). These resources include all the knowledge, experience, risk-taking propensity, judgment, and wisdom of individuals associated with a firm. The firm’s resource must have four attributes to have the potential for creating sustained competitive advantage namely: the resource must be valuable, rare, imperfectly imitable, and non-substitutable. </w:t>
      </w:r>
    </w:p>
    <w:p w14:paraId="359E7F22" w14:textId="77777777" w:rsidR="009F33CD" w:rsidRDefault="00E40740">
      <w:pPr>
        <w:spacing w:before="240"/>
        <w:rPr>
          <w:rFonts w:cs="Times New Roman"/>
          <w:bCs/>
          <w:szCs w:val="24"/>
        </w:rPr>
      </w:pPr>
      <w:r>
        <w:rPr>
          <w:rFonts w:cs="Times New Roman"/>
          <w:bCs/>
          <w:szCs w:val="24"/>
        </w:rPr>
        <w:t xml:space="preserve">Resource-based theory posits that the main drivers of organizational strategic performance are its resources (Salman, Ganie &amp; Saleem, 2020).  Armstrong (2013) suggested three important components of HRM that constitute a resource for the firm. These are: the human capital pool comprising of stock of employee knowledge, skills, motivation, and behaviours; the flow of human capital through the firm; and the dynamic processes through which organizations change themselves. The significance of the resource-based view of the firm is that it highlights the importance of a human capital management approach to HRM and provides the justification for investing in people through resourcing, talent management, and training programs. </w:t>
      </w:r>
      <w:r>
        <w:rPr>
          <w:rFonts w:cs="Times New Roman"/>
          <w:szCs w:val="24"/>
        </w:rPr>
        <w:t xml:space="preserve">The incorporation of environmental concerns into the culture of the organization may deliver environmental capabilities that competitors would find hard to imitate which would give a firm an advantage over competitors (Russo &amp; Fouts, 1997). </w:t>
      </w:r>
      <w:r>
        <w:rPr>
          <w:rFonts w:eastAsia="TimesNewRoman" w:cs="Times New Roman"/>
          <w:bCs/>
          <w:szCs w:val="24"/>
        </w:rPr>
        <w:t xml:space="preserve">Ployhart </w:t>
      </w:r>
      <w:r>
        <w:rPr>
          <w:rFonts w:eastAsia="TimesNewRoman" w:cs="Times New Roman"/>
          <w:bCs/>
          <w:szCs w:val="24"/>
        </w:rPr>
        <w:lastRenderedPageBreak/>
        <w:t xml:space="preserve">(2012) states that synergy can be achieved by managing firm resources in such a way that enables a company to create positive performance and thus become a market leader. </w:t>
      </w:r>
    </w:p>
    <w:p w14:paraId="1C7FF9EB" w14:textId="77777777" w:rsidR="009F33CD" w:rsidRDefault="00E40740">
      <w:pPr>
        <w:spacing w:before="240"/>
        <w:rPr>
          <w:rFonts w:cs="Times New Roman"/>
          <w:szCs w:val="24"/>
        </w:rPr>
      </w:pPr>
      <w:r>
        <w:rPr>
          <w:rFonts w:cs="Times New Roman"/>
          <w:szCs w:val="24"/>
        </w:rPr>
        <w:t xml:space="preserve">Devolved healthcare service organizations require resources for employees who are committed to the general welfare and health of their communities and fellow employees. To achieve this, the management should pay attention to recruiting and selecting employees who have skills, knowledge, and behaviour that are shared by devolved healthcare services’ environmental management culture and values (Jackson et al., 2011), This practice is called green employee resourcing. This means acquiring green employees helps organizations have resources that are the source of competitive advantage for better organizational performance. This entails how green recruitment and selection are crucial in ensuring that firms have human resources with sufficient green knowledge and skills that cannot be imitated by rival firms (Mwita &amp; Kinemo, 2018). The implication is that acquiring green employees will enable organizations to have unique human capital that will be a source of competitive advantage for the performance of such organizations.  </w:t>
      </w:r>
    </w:p>
    <w:p w14:paraId="74A3798B" w14:textId="77777777" w:rsidR="009F33CD" w:rsidRDefault="00E40740">
      <w:pPr>
        <w:spacing w:before="240"/>
        <w:rPr>
          <w:rFonts w:cs="Times New Roman"/>
          <w:szCs w:val="24"/>
        </w:rPr>
      </w:pPr>
      <w:r>
        <w:rPr>
          <w:rFonts w:eastAsia="TimesNewRomanPSMT" w:cs="Times New Roman"/>
          <w:bCs/>
          <w:szCs w:val="24"/>
        </w:rPr>
        <w:t>Conferring to the resource-based theory to this study, devolved healthcare services through Level Five Hospitals can be strategized to create value for green hospitals and produce synergy in the resources of the hospital including green human resources for improved productivity and competitive advantage over their competitors. For Level Five Hospitals to create a sustained competitive advantage over other hospitals, they should adopt green HRM practices that emphasize environmental management issues particularly, green training, green employee resourcing, green occupational safety and health, and green performance evaluation. Investment in greening the health workers is likely to increase their value in healthcare service delivery to Level Five Hospitals enhance the performance of devolved healthcare services and improve reputation on matters of environmental management.</w:t>
      </w:r>
      <w:r>
        <w:rPr>
          <w:rFonts w:cs="Times New Roman"/>
          <w:szCs w:val="24"/>
        </w:rPr>
        <w:t xml:space="preserve"> This aligns with The Kenya Constitution 2010, which champions conservation for the benefit of both humanity and the earth, and this calls for adaptable environmental regulatory policies that can foster green attitudes across all facets of human life (Borgen Report, 2016).</w:t>
      </w:r>
    </w:p>
    <w:p w14:paraId="3E7ACD25" w14:textId="77777777" w:rsidR="009F33CD" w:rsidRDefault="00E40740">
      <w:pPr>
        <w:pStyle w:val="Heading2"/>
        <w:spacing w:before="240" w:after="0"/>
        <w:rPr>
          <w:lang w:val="en-GB"/>
        </w:rPr>
      </w:pPr>
      <w:bookmarkStart w:id="311" w:name="_Toc523764166"/>
      <w:bookmarkStart w:id="312" w:name="_Toc418015892"/>
      <w:bookmarkStart w:id="313" w:name="_Toc224237675"/>
      <w:bookmarkStart w:id="314" w:name="_Toc398128771"/>
      <w:bookmarkStart w:id="315" w:name="_Toc274142849"/>
      <w:bookmarkStart w:id="316" w:name="_Toc275416742"/>
      <w:bookmarkStart w:id="317" w:name="_Toc398129179"/>
      <w:r>
        <w:rPr>
          <w:lang w:val="en-GB"/>
        </w:rPr>
        <w:lastRenderedPageBreak/>
        <w:t>2.3 Conceptual Framework</w:t>
      </w:r>
      <w:bookmarkEnd w:id="311"/>
      <w:bookmarkEnd w:id="312"/>
      <w:bookmarkEnd w:id="313"/>
    </w:p>
    <w:p w14:paraId="081CE3D4" w14:textId="77777777" w:rsidR="009F33CD" w:rsidRDefault="00E40740">
      <w:pPr>
        <w:rPr>
          <w:rFonts w:cs="Times New Roman"/>
          <w:szCs w:val="24"/>
        </w:rPr>
      </w:pPr>
      <w:bookmarkStart w:id="318" w:name="_Hlk174342545"/>
      <w:r>
        <w:rPr>
          <w:rFonts w:cs="Times New Roman"/>
          <w:szCs w:val="24"/>
        </w:rPr>
        <w:t>A conceptual framework is a logical structure that provides a picture of how a researcher views the relationship between the research variables in the study (Grant &amp; Osanloo, 2014). It is a reasoned-out set of prepositions that are derived from and supported by data or evidence (Kombo &amp; Tromp, 2006). Bogdan and Biklen (2007) opine that it is a basic structure that consists of certain abstract blocks that represent the observational, experiential, and analytical aspects of a process or system being conceived. The interconnection of these blocks completes the framework for certain expected outcomes.</w:t>
      </w:r>
    </w:p>
    <w:p w14:paraId="575CF842" w14:textId="77777777" w:rsidR="009F33CD" w:rsidRDefault="00E40740">
      <w:pPr>
        <w:rPr>
          <w:rFonts w:cs="Times New Roman"/>
          <w:szCs w:val="24"/>
        </w:rPr>
      </w:pPr>
      <w:r>
        <w:rPr>
          <w:rFonts w:cs="Times New Roman"/>
          <w:szCs w:val="24"/>
        </w:rPr>
        <w:t>An Independent variable is the presumed cause of the dependent variable and whenever the independent variable changes, it causes changes in the dependent variable. The dependent variable on the other hand is the presumed effect thought of as a consequence of the change in the independent variable (Kothari, 2019). According to this study, the researcher conceptualizes green human resource management dimensions as the independent variable and the performance of devolved healthcare services as the dependent variable. The researcher assumes that the identified independent variables (green training, green employee resourcing, green occupational safety and health, and green performance evaluation) have no significant effect on the dependent variable (performance of devolved healthcare services). The researcher also assumes that the moderating factor (management style) has no significant effect on the relationship between GHRM practices and the performance of devolved healthcare services. Figure 2.1 is the conceptual framework of this study.</w:t>
      </w:r>
    </w:p>
    <w:bookmarkEnd w:id="318"/>
    <w:p w14:paraId="24ACD751" w14:textId="77777777" w:rsidR="009F33CD" w:rsidRDefault="00BA3B94" w:rsidP="00DF4E8C">
      <w:pPr>
        <w:autoSpaceDE/>
        <w:autoSpaceDN/>
        <w:adjustRightInd/>
        <w:rPr>
          <w:rFonts w:cs="Times New Roman"/>
          <w:b/>
          <w:szCs w:val="24"/>
        </w:rPr>
      </w:pPr>
      <w:r>
        <w:rPr>
          <w:rFonts w:eastAsia="Times New Roman" w:cs="Times New Roman"/>
          <w:b/>
          <w:bCs/>
          <w:noProof/>
          <w:szCs w:val="24"/>
          <w:lang w:val="en-US"/>
        </w:rPr>
        <w:lastRenderedPageBreak/>
        <mc:AlternateContent>
          <mc:Choice Requires="wps">
            <w:drawing>
              <wp:anchor distT="0" distB="0" distL="114300" distR="114300" simplePos="0" relativeHeight="251673600" behindDoc="0" locked="0" layoutInCell="1" allowOverlap="1" wp14:anchorId="3015D29A" wp14:editId="503D226E">
                <wp:simplePos x="0" y="0"/>
                <wp:positionH relativeFrom="column">
                  <wp:posOffset>2986405</wp:posOffset>
                </wp:positionH>
                <wp:positionV relativeFrom="paragraph">
                  <wp:posOffset>1712513</wp:posOffset>
                </wp:positionV>
                <wp:extent cx="462673" cy="0"/>
                <wp:effectExtent l="0" t="76200" r="13970" b="95250"/>
                <wp:wrapNone/>
                <wp:docPr id="14" name="Straight Arrow Connector 14"/>
                <wp:cNvGraphicFramePr/>
                <a:graphic xmlns:a="http://schemas.openxmlformats.org/drawingml/2006/main">
                  <a:graphicData uri="http://schemas.microsoft.com/office/word/2010/wordprocessingShape">
                    <wps:wsp>
                      <wps:cNvCnPr/>
                      <wps:spPr>
                        <a:xfrm>
                          <a:off x="0" y="0"/>
                          <a:ext cx="4626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0C06C6" id="_x0000_t32" coordsize="21600,21600" o:spt="32" o:oned="t" path="m,l21600,21600e" filled="f">
                <v:path arrowok="t" fillok="f" o:connecttype="none"/>
                <o:lock v:ext="edit" shapetype="t"/>
              </v:shapetype>
              <v:shape id="Straight Arrow Connector 14" o:spid="_x0000_s1026" type="#_x0000_t32" style="position:absolute;margin-left:235.15pt;margin-top:134.85pt;width:36.4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" strokecolor="black [3040]">
                <v:stroke endarrow="block"/>
              </v:shape>
            </w:pict>
          </mc:Fallback>
        </mc:AlternateContent>
      </w:r>
      <w:r w:rsidR="00E40740">
        <w:rPr>
          <w:rFonts w:eastAsia="Times New Roman" w:cs="Times New Roman"/>
          <w:b/>
          <w:bCs/>
          <w:noProof/>
          <w:szCs w:val="24"/>
          <w:lang w:val="en-US"/>
        </w:rPr>
        <mc:AlternateContent>
          <mc:Choice Requires="wpg">
            <w:drawing>
              <wp:inline distT="0" distB="0" distL="0" distR="0" wp14:anchorId="545EB08C" wp14:editId="4FA7DBDA">
                <wp:extent cx="5352468" cy="4407100"/>
                <wp:effectExtent l="0" t="0" r="19685" b="12700"/>
                <wp:docPr id="4" name="Group 124"/>
                <wp:cNvGraphicFramePr/>
                <a:graphic xmlns:a="http://schemas.openxmlformats.org/drawingml/2006/main">
                  <a:graphicData uri="http://schemas.microsoft.com/office/word/2010/wordprocessingGroup">
                    <wpg:wgp>
                      <wpg:cNvGrpSpPr/>
                      <wpg:grpSpPr>
                        <a:xfrm>
                          <a:off x="0" y="0"/>
                          <a:ext cx="5352468" cy="4407100"/>
                          <a:chOff x="1558" y="4958"/>
                          <a:chExt cx="6871" cy="6848"/>
                        </a:xfrm>
                      </wpg:grpSpPr>
                      <wps:wsp>
                        <wps:cNvPr id="10" name="AutoShape 104"/>
                        <wps:cNvCnPr>
                          <a:cxnSpLocks noChangeShapeType="1"/>
                        </wps:cNvCnPr>
                        <wps:spPr bwMode="auto">
                          <a:xfrm>
                            <a:off x="5384" y="5490"/>
                            <a:ext cx="0" cy="4737"/>
                          </a:xfrm>
                          <a:prstGeom prst="straightConnector1">
                            <a:avLst/>
                          </a:prstGeom>
                          <a:noFill/>
                          <a:ln w="9525">
                            <a:solidFill>
                              <a:srgbClr val="000000"/>
                            </a:solidFill>
                            <a:round/>
                          </a:ln>
                        </wps:spPr>
                        <wps:bodyPr/>
                      </wps:wsp>
                      <wps:wsp>
                        <wps:cNvPr id="11" name="Text Box 105"/>
                        <wps:cNvSpPr txBox="1">
                          <a:spLocks noChangeArrowheads="1"/>
                        </wps:cNvSpPr>
                        <wps:spPr bwMode="auto">
                          <a:xfrm>
                            <a:off x="1558" y="9484"/>
                            <a:ext cx="2959" cy="1244"/>
                          </a:xfrm>
                          <a:prstGeom prst="rect">
                            <a:avLst/>
                          </a:prstGeom>
                          <a:solidFill>
                            <a:srgbClr val="FFFFFF"/>
                          </a:solidFill>
                          <a:ln w="9525">
                            <a:solidFill>
                              <a:srgbClr val="000000"/>
                            </a:solidFill>
                            <a:miter lim="800000"/>
                          </a:ln>
                        </wps:spPr>
                        <wps:txbx>
                          <w:txbxContent>
                            <w:p w14:paraId="175F1CC9" w14:textId="77777777" w:rsidR="0051366D" w:rsidRDefault="0051366D">
                              <w:pPr>
                                <w:spacing w:before="0" w:beforeAutospacing="0" w:after="0" w:afterAutospacing="0" w:line="240" w:lineRule="auto"/>
                                <w:rPr>
                                  <w:rFonts w:cs="Times New Roman"/>
                                  <w:b/>
                                  <w:sz w:val="20"/>
                                </w:rPr>
                              </w:pPr>
                              <w:r>
                                <w:rPr>
                                  <w:rFonts w:cs="Times New Roman"/>
                                  <w:b/>
                                  <w:sz w:val="20"/>
                                </w:rPr>
                                <w:t>Green Performance Evaluation</w:t>
                              </w:r>
                            </w:p>
                            <w:p w14:paraId="36DFFA00" w14:textId="77777777" w:rsidR="0051366D" w:rsidRDefault="0051366D">
                              <w:pPr>
                                <w:pStyle w:val="ListParagraph"/>
                                <w:numPr>
                                  <w:ilvl w:val="0"/>
                                  <w:numId w:val="2"/>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Green objectives</w:t>
                              </w:r>
                            </w:p>
                            <w:p w14:paraId="4986A791" w14:textId="77777777" w:rsidR="0051366D" w:rsidRDefault="0051366D">
                              <w:pPr>
                                <w:pStyle w:val="ListParagraph"/>
                                <w:numPr>
                                  <w:ilvl w:val="0"/>
                                  <w:numId w:val="2"/>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E-evaluation instruments</w:t>
                              </w:r>
                            </w:p>
                            <w:p w14:paraId="4DD75026" w14:textId="77777777" w:rsidR="0051366D" w:rsidRDefault="0051366D">
                              <w:pPr>
                                <w:pStyle w:val="ListParagraph"/>
                                <w:numPr>
                                  <w:ilvl w:val="0"/>
                                  <w:numId w:val="2"/>
                                </w:numPr>
                                <w:spacing w:after="0"/>
                                <w:ind w:left="426"/>
                                <w:rPr>
                                  <w:rFonts w:ascii="Times New Roman" w:hAnsi="Times New Roman" w:cs="Times New Roman"/>
                                  <w:sz w:val="20"/>
                                </w:rPr>
                              </w:pPr>
                              <w:r>
                                <w:rPr>
                                  <w:rFonts w:ascii="Times New Roman" w:hAnsi="Times New Roman" w:cs="Times New Roman"/>
                                  <w:sz w:val="20"/>
                                </w:rPr>
                                <w:t>Green innovation</w:t>
                              </w:r>
                            </w:p>
                          </w:txbxContent>
                        </wps:txbx>
                        <wps:bodyPr rot="0" vert="horz" wrap="square" lIns="91440" tIns="45720" rIns="91440" bIns="45720" anchor="t" anchorCtr="0" upright="1">
                          <a:noAutofit/>
                        </wps:bodyPr>
                      </wps:wsp>
                      <wps:wsp>
                        <wps:cNvPr id="23" name="Text Box 106"/>
                        <wps:cNvSpPr txBox="1">
                          <a:spLocks noChangeArrowheads="1"/>
                        </wps:cNvSpPr>
                        <wps:spPr bwMode="auto">
                          <a:xfrm>
                            <a:off x="1558" y="4958"/>
                            <a:ext cx="2971" cy="1142"/>
                          </a:xfrm>
                          <a:prstGeom prst="rect">
                            <a:avLst/>
                          </a:prstGeom>
                          <a:solidFill>
                            <a:srgbClr val="FFFFFF"/>
                          </a:solidFill>
                          <a:ln w="9525">
                            <a:solidFill>
                              <a:srgbClr val="000000"/>
                            </a:solidFill>
                            <a:miter lim="800000"/>
                          </a:ln>
                        </wps:spPr>
                        <wps:txbx>
                          <w:txbxContent>
                            <w:p w14:paraId="7645B33D" w14:textId="77777777" w:rsidR="0051366D" w:rsidRDefault="0051366D">
                              <w:pPr>
                                <w:spacing w:before="0" w:beforeAutospacing="0" w:after="0" w:afterAutospacing="0" w:line="240" w:lineRule="auto"/>
                                <w:rPr>
                                  <w:rFonts w:cs="Times New Roman"/>
                                  <w:b/>
                                  <w:sz w:val="20"/>
                                </w:rPr>
                              </w:pPr>
                              <w:r>
                                <w:rPr>
                                  <w:rFonts w:cs="Times New Roman"/>
                                  <w:b/>
                                  <w:sz w:val="20"/>
                                </w:rPr>
                                <w:t>Green Employee Resourcing</w:t>
                              </w:r>
                            </w:p>
                            <w:p w14:paraId="6AFA2631" w14:textId="77777777" w:rsidR="0051366D" w:rsidRDefault="0051366D">
                              <w:pPr>
                                <w:pStyle w:val="ListParagraph"/>
                                <w:numPr>
                                  <w:ilvl w:val="0"/>
                                  <w:numId w:val="3"/>
                                </w:numPr>
                                <w:spacing w:before="0" w:beforeAutospacing="0" w:after="0" w:afterAutospacing="0" w:line="240" w:lineRule="auto"/>
                                <w:ind w:left="426" w:hanging="284"/>
                                <w:rPr>
                                  <w:rFonts w:ascii="Times New Roman" w:hAnsi="Times New Roman" w:cs="Times New Roman"/>
                                  <w:sz w:val="20"/>
                                </w:rPr>
                              </w:pPr>
                              <w:r>
                                <w:rPr>
                                  <w:rFonts w:ascii="Times New Roman" w:hAnsi="Times New Roman" w:cs="Times New Roman"/>
                                  <w:sz w:val="20"/>
                                </w:rPr>
                                <w:t xml:space="preserve">Green recruitment methods </w:t>
                              </w:r>
                            </w:p>
                            <w:p w14:paraId="19980988" w14:textId="77777777" w:rsidR="0051366D" w:rsidRDefault="0051366D">
                              <w:pPr>
                                <w:pStyle w:val="ListParagraph"/>
                                <w:numPr>
                                  <w:ilvl w:val="0"/>
                                  <w:numId w:val="3"/>
                                </w:numPr>
                                <w:spacing w:line="240" w:lineRule="auto"/>
                                <w:ind w:left="426" w:hanging="284"/>
                                <w:rPr>
                                  <w:rFonts w:ascii="Times New Roman" w:hAnsi="Times New Roman" w:cs="Times New Roman"/>
                                  <w:sz w:val="20"/>
                                </w:rPr>
                              </w:pPr>
                              <w:r>
                                <w:rPr>
                                  <w:rFonts w:ascii="Times New Roman" w:hAnsi="Times New Roman" w:cs="Times New Roman"/>
                                  <w:sz w:val="20"/>
                                </w:rPr>
                                <w:t>Green Selection method</w:t>
                              </w:r>
                            </w:p>
                            <w:p w14:paraId="78B27740" w14:textId="77777777" w:rsidR="0051366D" w:rsidRDefault="0051366D">
                              <w:pPr>
                                <w:pStyle w:val="ListParagraph"/>
                                <w:numPr>
                                  <w:ilvl w:val="0"/>
                                  <w:numId w:val="3"/>
                                </w:numPr>
                                <w:spacing w:line="240" w:lineRule="auto"/>
                                <w:ind w:left="426" w:hanging="284"/>
                                <w:rPr>
                                  <w:rFonts w:ascii="Times New Roman" w:hAnsi="Times New Roman" w:cs="Times New Roman"/>
                                  <w:sz w:val="20"/>
                                </w:rPr>
                              </w:pPr>
                              <w:r>
                                <w:rPr>
                                  <w:rFonts w:ascii="Times New Roman" w:hAnsi="Times New Roman" w:cs="Times New Roman"/>
                                  <w:sz w:val="20"/>
                                </w:rPr>
                                <w:t>Selection criteria</w:t>
                              </w:r>
                            </w:p>
                          </w:txbxContent>
                        </wps:txbx>
                        <wps:bodyPr rot="0" vert="horz" wrap="square" lIns="91440" tIns="45720" rIns="91440" bIns="45720" anchor="t" anchorCtr="0" upright="1">
                          <a:noAutofit/>
                        </wps:bodyPr>
                      </wps:wsp>
                      <wps:wsp>
                        <wps:cNvPr id="28" name="Text Box 107"/>
                        <wps:cNvSpPr txBox="1">
                          <a:spLocks noChangeArrowheads="1"/>
                        </wps:cNvSpPr>
                        <wps:spPr bwMode="auto">
                          <a:xfrm>
                            <a:off x="6015" y="6845"/>
                            <a:ext cx="2414" cy="1473"/>
                          </a:xfrm>
                          <a:prstGeom prst="rect">
                            <a:avLst/>
                          </a:prstGeom>
                          <a:solidFill>
                            <a:srgbClr val="FFFFFF"/>
                          </a:solidFill>
                          <a:ln w="9525">
                            <a:solidFill>
                              <a:srgbClr val="000000"/>
                            </a:solidFill>
                            <a:miter lim="800000"/>
                          </a:ln>
                        </wps:spPr>
                        <wps:txbx>
                          <w:txbxContent>
                            <w:p w14:paraId="1BA91E9D" w14:textId="77777777" w:rsidR="0051366D" w:rsidRDefault="0051366D">
                              <w:pPr>
                                <w:spacing w:before="0" w:beforeAutospacing="0" w:after="0" w:afterAutospacing="0" w:line="240" w:lineRule="auto"/>
                                <w:rPr>
                                  <w:rFonts w:cs="Times New Roman"/>
                                  <w:b/>
                                  <w:sz w:val="20"/>
                                </w:rPr>
                              </w:pPr>
                              <w:r>
                                <w:rPr>
                                  <w:rFonts w:cs="Times New Roman"/>
                                  <w:b/>
                                  <w:sz w:val="20"/>
                                </w:rPr>
                                <w:t>Performance of Devolved Healthcare services</w:t>
                              </w:r>
                            </w:p>
                            <w:p w14:paraId="42081C51" w14:textId="77777777" w:rsidR="0051366D" w:rsidRDefault="0051366D">
                              <w:pPr>
                                <w:pStyle w:val="ListParagraph"/>
                                <w:numPr>
                                  <w:ilvl w:val="0"/>
                                  <w:numId w:val="4"/>
                                </w:numPr>
                                <w:spacing w:before="0" w:beforeAutospacing="0" w:after="0" w:afterAutospacing="0" w:line="240" w:lineRule="auto"/>
                                <w:ind w:left="284"/>
                                <w:rPr>
                                  <w:rFonts w:ascii="Times New Roman" w:hAnsi="Times New Roman" w:cs="Times New Roman"/>
                                  <w:sz w:val="20"/>
                                </w:rPr>
                              </w:pPr>
                              <w:r>
                                <w:rPr>
                                  <w:rFonts w:ascii="Times New Roman" w:hAnsi="Times New Roman" w:cs="Times New Roman"/>
                                  <w:sz w:val="20"/>
                                </w:rPr>
                                <w:t xml:space="preserve">Number of clients attended to </w:t>
                              </w:r>
                            </w:p>
                            <w:p w14:paraId="4C331A81" w14:textId="77777777" w:rsidR="0051366D" w:rsidRDefault="0051366D">
                              <w:pPr>
                                <w:pStyle w:val="ListParagraph"/>
                                <w:numPr>
                                  <w:ilvl w:val="0"/>
                                  <w:numId w:val="4"/>
                                </w:numPr>
                                <w:spacing w:line="240" w:lineRule="auto"/>
                                <w:ind w:left="284"/>
                                <w:rPr>
                                  <w:rFonts w:ascii="Times New Roman" w:hAnsi="Times New Roman" w:cs="Times New Roman"/>
                                  <w:sz w:val="20"/>
                                </w:rPr>
                              </w:pPr>
                              <w:r>
                                <w:rPr>
                                  <w:rFonts w:ascii="Times New Roman" w:hAnsi="Times New Roman" w:cs="Times New Roman"/>
                                  <w:sz w:val="20"/>
                                </w:rPr>
                                <w:t>Client satisfaction</w:t>
                              </w:r>
                            </w:p>
                            <w:p w14:paraId="5F8CA0DA" w14:textId="77777777" w:rsidR="0051366D" w:rsidRDefault="0051366D">
                              <w:pPr>
                                <w:pStyle w:val="ListParagraph"/>
                                <w:numPr>
                                  <w:ilvl w:val="0"/>
                                  <w:numId w:val="4"/>
                                </w:numPr>
                                <w:spacing w:line="240" w:lineRule="auto"/>
                                <w:ind w:left="284"/>
                                <w:rPr>
                                  <w:rFonts w:ascii="Times New Roman" w:hAnsi="Times New Roman" w:cs="Times New Roman"/>
                                  <w:sz w:val="20"/>
                                </w:rPr>
                              </w:pPr>
                              <w:r>
                                <w:rPr>
                                  <w:rFonts w:ascii="Times New Roman" w:hAnsi="Times New Roman" w:cs="Times New Roman"/>
                                  <w:sz w:val="20"/>
                                </w:rPr>
                                <w:t>Revenue collection</w:t>
                              </w:r>
                            </w:p>
                          </w:txbxContent>
                        </wps:txbx>
                        <wps:bodyPr rot="0" vert="horz" wrap="square" lIns="91440" tIns="45720" rIns="91440" bIns="45720" anchor="t" anchorCtr="0" upright="1">
                          <a:noAutofit/>
                        </wps:bodyPr>
                      </wps:wsp>
                      <wps:wsp>
                        <wps:cNvPr id="33" name="Text Box 108"/>
                        <wps:cNvSpPr txBox="1">
                          <a:spLocks noChangeArrowheads="1"/>
                        </wps:cNvSpPr>
                        <wps:spPr bwMode="auto">
                          <a:xfrm>
                            <a:off x="1558" y="6273"/>
                            <a:ext cx="2959" cy="1383"/>
                          </a:xfrm>
                          <a:prstGeom prst="rect">
                            <a:avLst/>
                          </a:prstGeom>
                          <a:solidFill>
                            <a:srgbClr val="FFFFFF"/>
                          </a:solidFill>
                          <a:ln w="9525">
                            <a:solidFill>
                              <a:srgbClr val="000000"/>
                            </a:solidFill>
                            <a:miter lim="800000"/>
                          </a:ln>
                        </wps:spPr>
                        <wps:txbx>
                          <w:txbxContent>
                            <w:p w14:paraId="74BC71FB" w14:textId="77777777" w:rsidR="0051366D" w:rsidRDefault="0051366D">
                              <w:pPr>
                                <w:spacing w:before="0" w:beforeAutospacing="0" w:after="0" w:afterAutospacing="0" w:line="240" w:lineRule="auto"/>
                                <w:rPr>
                                  <w:rFonts w:cs="Times New Roman"/>
                                  <w:b/>
                                  <w:sz w:val="20"/>
                                </w:rPr>
                              </w:pPr>
                              <w:r>
                                <w:rPr>
                                  <w:rFonts w:cs="Times New Roman"/>
                                  <w:b/>
                                  <w:sz w:val="20"/>
                                </w:rPr>
                                <w:t>Green Training</w:t>
                              </w:r>
                            </w:p>
                            <w:p w14:paraId="7C6D9F85" w14:textId="77777777" w:rsidR="0051366D" w:rsidRDefault="0051366D">
                              <w:pPr>
                                <w:pStyle w:val="ListParagraph"/>
                                <w:numPr>
                                  <w:ilvl w:val="0"/>
                                  <w:numId w:val="5"/>
                                </w:numPr>
                                <w:spacing w:before="0" w:beforeAutospacing="0" w:after="0" w:afterAutospacing="0" w:line="240" w:lineRule="auto"/>
                                <w:ind w:left="426"/>
                                <w:jc w:val="left"/>
                                <w:rPr>
                                  <w:rFonts w:ascii="Times New Roman" w:hAnsi="Times New Roman" w:cs="Times New Roman"/>
                                  <w:sz w:val="20"/>
                                </w:rPr>
                              </w:pPr>
                              <w:r>
                                <w:rPr>
                                  <w:rFonts w:ascii="Times New Roman" w:hAnsi="Times New Roman" w:cs="Times New Roman"/>
                                  <w:sz w:val="20"/>
                                </w:rPr>
                                <w:t xml:space="preserve">Green Training needs assessment </w:t>
                              </w:r>
                            </w:p>
                            <w:p w14:paraId="148D9C8B" w14:textId="77777777" w:rsidR="0051366D" w:rsidRDefault="0051366D">
                              <w:pPr>
                                <w:pStyle w:val="ListParagraph"/>
                                <w:numPr>
                                  <w:ilvl w:val="0"/>
                                  <w:numId w:val="5"/>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Green Training programs</w:t>
                              </w:r>
                            </w:p>
                            <w:p w14:paraId="17BB3147" w14:textId="77777777" w:rsidR="0051366D" w:rsidRDefault="0051366D">
                              <w:pPr>
                                <w:pStyle w:val="ListParagraph"/>
                                <w:numPr>
                                  <w:ilvl w:val="0"/>
                                  <w:numId w:val="5"/>
                                </w:numPr>
                                <w:spacing w:line="240" w:lineRule="auto"/>
                                <w:ind w:left="426"/>
                                <w:rPr>
                                  <w:rFonts w:ascii="Times New Roman" w:hAnsi="Times New Roman" w:cs="Times New Roman"/>
                                  <w:sz w:val="20"/>
                                </w:rPr>
                              </w:pPr>
                              <w:r>
                                <w:rPr>
                                  <w:rFonts w:ascii="Times New Roman" w:hAnsi="Times New Roman" w:cs="Times New Roman"/>
                                  <w:sz w:val="20"/>
                                </w:rPr>
                                <w:t>Evaluating Training</w:t>
                              </w:r>
                            </w:p>
                          </w:txbxContent>
                        </wps:txbx>
                        <wps:bodyPr rot="0" vert="horz" wrap="square" lIns="91440" tIns="45720" rIns="91440" bIns="45720" anchor="t" anchorCtr="0" upright="1">
                          <a:noAutofit/>
                        </wps:bodyPr>
                      </wps:wsp>
                      <wps:wsp>
                        <wps:cNvPr id="34" name="Text Box 109"/>
                        <wps:cNvSpPr txBox="1">
                          <a:spLocks noChangeArrowheads="1"/>
                        </wps:cNvSpPr>
                        <wps:spPr bwMode="auto">
                          <a:xfrm>
                            <a:off x="1558" y="7774"/>
                            <a:ext cx="2947" cy="1477"/>
                          </a:xfrm>
                          <a:prstGeom prst="rect">
                            <a:avLst/>
                          </a:prstGeom>
                          <a:solidFill>
                            <a:srgbClr val="FFFFFF"/>
                          </a:solidFill>
                          <a:ln w="9525">
                            <a:solidFill>
                              <a:srgbClr val="000000"/>
                            </a:solidFill>
                            <a:miter lim="800000"/>
                          </a:ln>
                        </wps:spPr>
                        <wps:txbx>
                          <w:txbxContent>
                            <w:p w14:paraId="4F0F4C50" w14:textId="77777777" w:rsidR="0051366D" w:rsidRDefault="0051366D">
                              <w:pPr>
                                <w:spacing w:before="0" w:beforeAutospacing="0" w:after="0" w:afterAutospacing="0" w:line="240" w:lineRule="auto"/>
                                <w:rPr>
                                  <w:rFonts w:cs="Times New Roman"/>
                                  <w:b/>
                                  <w:sz w:val="20"/>
                                </w:rPr>
                              </w:pPr>
                              <w:r>
                                <w:rPr>
                                  <w:rFonts w:cs="Times New Roman"/>
                                  <w:b/>
                                  <w:sz w:val="20"/>
                                </w:rPr>
                                <w:t>Green Occupational Safety and Health</w:t>
                              </w:r>
                            </w:p>
                            <w:p w14:paraId="18EF802B" w14:textId="77777777" w:rsidR="0051366D" w:rsidRDefault="0051366D">
                              <w:pPr>
                                <w:pStyle w:val="ListParagraph"/>
                                <w:numPr>
                                  <w:ilvl w:val="0"/>
                                  <w:numId w:val="6"/>
                                </w:numPr>
                                <w:spacing w:before="0" w:beforeAutospacing="0" w:after="0" w:afterAutospacing="0" w:line="240" w:lineRule="auto"/>
                                <w:ind w:left="426"/>
                                <w:rPr>
                                  <w:rFonts w:ascii="Times New Roman" w:hAnsi="Times New Roman" w:cs="Times New Roman"/>
                                  <w:color w:val="323232"/>
                                  <w:sz w:val="20"/>
                                </w:rPr>
                              </w:pPr>
                              <w:r>
                                <w:rPr>
                                  <w:rFonts w:ascii="Times New Roman" w:hAnsi="Times New Roman" w:cs="Times New Roman"/>
                                  <w:color w:val="323232"/>
                                  <w:sz w:val="20"/>
                                </w:rPr>
                                <w:t>Waste disposal method</w:t>
                              </w:r>
                            </w:p>
                            <w:p w14:paraId="3714A2B3" w14:textId="77777777" w:rsidR="0051366D" w:rsidRDefault="0051366D">
                              <w:pPr>
                                <w:pStyle w:val="ListParagraph"/>
                                <w:numPr>
                                  <w:ilvl w:val="0"/>
                                  <w:numId w:val="6"/>
                                </w:numPr>
                                <w:spacing w:after="0" w:line="240" w:lineRule="auto"/>
                                <w:ind w:left="426"/>
                                <w:rPr>
                                  <w:rFonts w:ascii="Times New Roman" w:hAnsi="Times New Roman" w:cs="Times New Roman"/>
                                  <w:sz w:val="20"/>
                                </w:rPr>
                              </w:pPr>
                              <w:r>
                                <w:rPr>
                                  <w:rFonts w:ascii="Times New Roman" w:hAnsi="Times New Roman" w:cs="Times New Roman"/>
                                  <w:sz w:val="20"/>
                                </w:rPr>
                                <w:t xml:space="preserve">Safety measures </w:t>
                              </w:r>
                            </w:p>
                            <w:p w14:paraId="2DB285E5" w14:textId="77777777" w:rsidR="0051366D" w:rsidRDefault="0051366D">
                              <w:pPr>
                                <w:pStyle w:val="ListParagraph"/>
                                <w:numPr>
                                  <w:ilvl w:val="0"/>
                                  <w:numId w:val="6"/>
                                </w:numPr>
                                <w:spacing w:after="0" w:line="240" w:lineRule="auto"/>
                                <w:ind w:left="426"/>
                                <w:rPr>
                                  <w:rFonts w:ascii="Times New Roman" w:hAnsi="Times New Roman" w:cs="Times New Roman"/>
                                  <w:sz w:val="20"/>
                                </w:rPr>
                              </w:pPr>
                              <w:r>
                                <w:rPr>
                                  <w:rFonts w:ascii="Times New Roman" w:hAnsi="Times New Roman" w:cs="Times New Roman"/>
                                  <w:sz w:val="20"/>
                                </w:rPr>
                                <w:t>Green buildings</w:t>
                              </w:r>
                            </w:p>
                          </w:txbxContent>
                        </wps:txbx>
                        <wps:bodyPr rot="0" vert="horz" wrap="square" lIns="91440" tIns="45720" rIns="91440" bIns="45720" anchor="t" anchorCtr="0" upright="1">
                          <a:noAutofit/>
                        </wps:bodyPr>
                      </wps:wsp>
                      <wps:wsp>
                        <wps:cNvPr id="35" name="Text Box 113"/>
                        <wps:cNvSpPr txBox="1">
                          <a:spLocks noChangeArrowheads="1"/>
                        </wps:cNvSpPr>
                        <wps:spPr bwMode="auto">
                          <a:xfrm>
                            <a:off x="4605" y="10556"/>
                            <a:ext cx="2480" cy="1250"/>
                          </a:xfrm>
                          <a:prstGeom prst="rect">
                            <a:avLst/>
                          </a:prstGeom>
                          <a:solidFill>
                            <a:srgbClr val="FFFFFF"/>
                          </a:solidFill>
                          <a:ln w="9525">
                            <a:solidFill>
                              <a:srgbClr val="000000"/>
                            </a:solidFill>
                            <a:miter lim="800000"/>
                          </a:ln>
                        </wps:spPr>
                        <wps:txbx>
                          <w:txbxContent>
                            <w:p w14:paraId="60A0F699" w14:textId="77777777" w:rsidR="0051366D" w:rsidRDefault="0051366D">
                              <w:pPr>
                                <w:spacing w:before="0" w:beforeAutospacing="0" w:after="0" w:afterAutospacing="0" w:line="240" w:lineRule="auto"/>
                                <w:rPr>
                                  <w:rFonts w:cs="Times New Roman"/>
                                  <w:b/>
                                  <w:sz w:val="20"/>
                                </w:rPr>
                              </w:pPr>
                              <w:r>
                                <w:rPr>
                                  <w:rFonts w:cs="Times New Roman"/>
                                  <w:b/>
                                  <w:sz w:val="20"/>
                                </w:rPr>
                                <w:t>Management Style</w:t>
                              </w:r>
                            </w:p>
                            <w:p w14:paraId="1A213B4E" w14:textId="77777777" w:rsidR="0051366D" w:rsidRDefault="0051366D">
                              <w:pPr>
                                <w:pStyle w:val="ListParagraph"/>
                                <w:numPr>
                                  <w:ilvl w:val="0"/>
                                  <w:numId w:val="7"/>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Bureaucratic Management</w:t>
                              </w:r>
                            </w:p>
                            <w:p w14:paraId="07ECCC26" w14:textId="77777777" w:rsidR="0051366D" w:rsidRDefault="0051366D">
                              <w:pPr>
                                <w:pStyle w:val="ListParagraph"/>
                                <w:numPr>
                                  <w:ilvl w:val="0"/>
                                  <w:numId w:val="7"/>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Participative Management</w:t>
                              </w:r>
                            </w:p>
                            <w:p w14:paraId="226072BF" w14:textId="77777777" w:rsidR="0051366D" w:rsidRDefault="0051366D">
                              <w:pPr>
                                <w:pStyle w:val="ListParagraph"/>
                                <w:numPr>
                                  <w:ilvl w:val="0"/>
                                  <w:numId w:val="7"/>
                                </w:numPr>
                                <w:ind w:left="426"/>
                                <w:rPr>
                                  <w:rFonts w:ascii="Times New Roman" w:hAnsi="Times New Roman" w:cs="Times New Roman"/>
                                  <w:sz w:val="20"/>
                                </w:rPr>
                              </w:pPr>
                              <w:r>
                                <w:rPr>
                                  <w:rFonts w:ascii="Times New Roman" w:hAnsi="Times New Roman" w:cs="Times New Roman"/>
                                  <w:sz w:val="20"/>
                                </w:rPr>
                                <w:t>Contingency management</w:t>
                              </w:r>
                            </w:p>
                            <w:p w14:paraId="691ED1EA" w14:textId="77777777" w:rsidR="0051366D" w:rsidRDefault="0051366D">
                              <w:pPr>
                                <w:ind w:left="360"/>
                                <w:rPr>
                                  <w:color w:val="323232"/>
                                  <w:sz w:val="22"/>
                                </w:rPr>
                              </w:pPr>
                            </w:p>
                            <w:p w14:paraId="5E67F79D" w14:textId="77777777" w:rsidR="0051366D" w:rsidRDefault="0051366D"/>
                          </w:txbxContent>
                        </wps:txbx>
                        <wps:bodyPr rot="0" vert="horz" wrap="square" lIns="91440" tIns="45720" rIns="91440" bIns="45720" anchor="t" anchorCtr="0" upright="1">
                          <a:noAutofit/>
                        </wps:bodyPr>
                      </wps:wsp>
                      <wps:wsp>
                        <wps:cNvPr id="36" name="AutoShape 115"/>
                        <wps:cNvCnPr>
                          <a:cxnSpLocks noChangeShapeType="1"/>
                        </wps:cNvCnPr>
                        <wps:spPr bwMode="auto">
                          <a:xfrm flipV="1">
                            <a:off x="5697" y="7599"/>
                            <a:ext cx="0" cy="2928"/>
                          </a:xfrm>
                          <a:prstGeom prst="straightConnector1">
                            <a:avLst/>
                          </a:prstGeom>
                          <a:noFill/>
                          <a:ln w="9525">
                            <a:solidFill>
                              <a:srgbClr val="000000"/>
                            </a:solidFill>
                            <a:round/>
                            <a:tailEnd type="triangle" w="med" len="med"/>
                          </a:ln>
                        </wps:spPr>
                        <wps:bodyPr/>
                      </wps:wsp>
                      <wps:wsp>
                        <wps:cNvPr id="37" name="AutoShape 118"/>
                        <wps:cNvCnPr>
                          <a:cxnSpLocks noChangeShapeType="1"/>
                        </wps:cNvCnPr>
                        <wps:spPr bwMode="auto">
                          <a:xfrm>
                            <a:off x="4529" y="5541"/>
                            <a:ext cx="855" cy="0"/>
                          </a:xfrm>
                          <a:prstGeom prst="straightConnector1">
                            <a:avLst/>
                          </a:prstGeom>
                          <a:noFill/>
                          <a:ln w="9525">
                            <a:solidFill>
                              <a:srgbClr val="000000"/>
                            </a:solidFill>
                            <a:round/>
                            <a:tailEnd type="triangle" w="med" len="med"/>
                          </a:ln>
                        </wps:spPr>
                        <wps:bodyPr/>
                      </wps:wsp>
                      <wps:wsp>
                        <wps:cNvPr id="38" name="AutoShape 119"/>
                        <wps:cNvCnPr>
                          <a:cxnSpLocks noChangeShapeType="1"/>
                        </wps:cNvCnPr>
                        <wps:spPr bwMode="auto">
                          <a:xfrm>
                            <a:off x="4529" y="7022"/>
                            <a:ext cx="791" cy="0"/>
                          </a:xfrm>
                          <a:prstGeom prst="straightConnector1">
                            <a:avLst/>
                          </a:prstGeom>
                          <a:noFill/>
                          <a:ln w="9525">
                            <a:solidFill>
                              <a:srgbClr val="000000"/>
                            </a:solidFill>
                            <a:round/>
                            <a:tailEnd type="triangle" w="med" len="med"/>
                          </a:ln>
                        </wps:spPr>
                        <wps:bodyPr/>
                      </wps:wsp>
                      <wps:wsp>
                        <wps:cNvPr id="39" name="AutoShape 121"/>
                        <wps:cNvCnPr>
                          <a:cxnSpLocks noChangeShapeType="1"/>
                        </wps:cNvCnPr>
                        <wps:spPr bwMode="auto">
                          <a:xfrm>
                            <a:off x="4505" y="8511"/>
                            <a:ext cx="780" cy="0"/>
                          </a:xfrm>
                          <a:prstGeom prst="straightConnector1">
                            <a:avLst/>
                          </a:prstGeom>
                          <a:noFill/>
                          <a:ln w="9525">
                            <a:solidFill>
                              <a:srgbClr val="000000"/>
                            </a:solidFill>
                            <a:round/>
                            <a:tailEnd type="triangle" w="med" len="med"/>
                          </a:ln>
                        </wps:spPr>
                        <wps:bodyPr/>
                      </wps:wsp>
                      <wps:wsp>
                        <wps:cNvPr id="40" name="AutoShape 122"/>
                        <wps:cNvCnPr>
                          <a:cxnSpLocks noChangeShapeType="1"/>
                        </wps:cNvCnPr>
                        <wps:spPr bwMode="auto">
                          <a:xfrm>
                            <a:off x="4542" y="10219"/>
                            <a:ext cx="830" cy="0"/>
                          </a:xfrm>
                          <a:prstGeom prst="straightConnector1">
                            <a:avLst/>
                          </a:prstGeom>
                          <a:noFill/>
                          <a:ln w="9525">
                            <a:solidFill>
                              <a:srgbClr val="000000"/>
                            </a:solidFill>
                            <a:round/>
                            <a:tailEnd type="triangle" w="med" len="med"/>
                          </a:ln>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EB08C" id="Group 124" o:spid="_x0000_s1026" style="width:421.45pt;height:347pt;mso-position-horizontal-relative:char;mso-position-vertical-relative:line" coordorigin="1558,4958" coordsize="687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">
                <v:shapetype id="_x0000_t32" coordsize="21600,21600" o:spt="32" o:oned="t" path="m,l21600,21600e" filled="f">
                  <v:path arrowok="t" fillok="f" o:connecttype="none"/>
                  <o:lock v:ext="edit" shapetype="t"/>
                </v:shapetype>
                <v:shape id="AutoShape 104" o:spid="_x0000_s1027" type="#_x0000_t32" style="position:absolute;left:5384;top:5490;width:0;height:4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type id="_x0000_t202" coordsize="21600,21600" o:spt="202" path="m,l,21600r21600,l21600,xe">
                  <v:stroke joinstyle="miter"/>
                  <v:path gradientshapeok="t" o:connecttype="rect"/>
                </v:shapetype>
                <v:shape id="Text Box 105" o:spid="_x0000_s1028" type="#_x0000_t202" style="position:absolute;left:1558;top:9484;width:295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75F1CC9" w14:textId="77777777" w:rsidR="0051366D" w:rsidRDefault="0051366D">
                        <w:pPr>
                          <w:spacing w:before="0" w:beforeAutospacing="0" w:after="0" w:afterAutospacing="0" w:line="240" w:lineRule="auto"/>
                          <w:rPr>
                            <w:rFonts w:cs="Times New Roman"/>
                            <w:b/>
                            <w:sz w:val="20"/>
                          </w:rPr>
                        </w:pPr>
                        <w:r>
                          <w:rPr>
                            <w:rFonts w:cs="Times New Roman"/>
                            <w:b/>
                            <w:sz w:val="20"/>
                          </w:rPr>
                          <w:t>Green Performance Evaluation</w:t>
                        </w:r>
                      </w:p>
                      <w:p w14:paraId="36DFFA00" w14:textId="77777777" w:rsidR="0051366D" w:rsidRDefault="0051366D">
                        <w:pPr>
                          <w:pStyle w:val="ListParagraph"/>
                          <w:numPr>
                            <w:ilvl w:val="0"/>
                            <w:numId w:val="2"/>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Green objectives</w:t>
                        </w:r>
                      </w:p>
                      <w:p w14:paraId="4986A791" w14:textId="77777777" w:rsidR="0051366D" w:rsidRDefault="0051366D">
                        <w:pPr>
                          <w:pStyle w:val="ListParagraph"/>
                          <w:numPr>
                            <w:ilvl w:val="0"/>
                            <w:numId w:val="2"/>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E-evaluation instruments</w:t>
                        </w:r>
                      </w:p>
                      <w:p w14:paraId="4DD75026" w14:textId="77777777" w:rsidR="0051366D" w:rsidRDefault="0051366D">
                        <w:pPr>
                          <w:pStyle w:val="ListParagraph"/>
                          <w:numPr>
                            <w:ilvl w:val="0"/>
                            <w:numId w:val="2"/>
                          </w:numPr>
                          <w:spacing w:after="0"/>
                          <w:ind w:left="426"/>
                          <w:rPr>
                            <w:rFonts w:ascii="Times New Roman" w:hAnsi="Times New Roman" w:cs="Times New Roman"/>
                            <w:sz w:val="20"/>
                          </w:rPr>
                        </w:pPr>
                        <w:r>
                          <w:rPr>
                            <w:rFonts w:ascii="Times New Roman" w:hAnsi="Times New Roman" w:cs="Times New Roman"/>
                            <w:sz w:val="20"/>
                          </w:rPr>
                          <w:t>Green innovation</w:t>
                        </w:r>
                      </w:p>
                    </w:txbxContent>
                  </v:textbox>
                </v:shape>
                <v:shape id="Text Box 106" o:spid="_x0000_s1029" type="#_x0000_t202" style="position:absolute;left:1558;top:4958;width:2971;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645B33D" w14:textId="77777777" w:rsidR="0051366D" w:rsidRDefault="0051366D">
                        <w:pPr>
                          <w:spacing w:before="0" w:beforeAutospacing="0" w:after="0" w:afterAutospacing="0" w:line="240" w:lineRule="auto"/>
                          <w:rPr>
                            <w:rFonts w:cs="Times New Roman"/>
                            <w:b/>
                            <w:sz w:val="20"/>
                          </w:rPr>
                        </w:pPr>
                        <w:r>
                          <w:rPr>
                            <w:rFonts w:cs="Times New Roman"/>
                            <w:b/>
                            <w:sz w:val="20"/>
                          </w:rPr>
                          <w:t>Green Employee Resourcing</w:t>
                        </w:r>
                      </w:p>
                      <w:p w14:paraId="6AFA2631" w14:textId="77777777" w:rsidR="0051366D" w:rsidRDefault="0051366D">
                        <w:pPr>
                          <w:pStyle w:val="ListParagraph"/>
                          <w:numPr>
                            <w:ilvl w:val="0"/>
                            <w:numId w:val="3"/>
                          </w:numPr>
                          <w:spacing w:before="0" w:beforeAutospacing="0" w:after="0" w:afterAutospacing="0" w:line="240" w:lineRule="auto"/>
                          <w:ind w:left="426" w:hanging="284"/>
                          <w:rPr>
                            <w:rFonts w:ascii="Times New Roman" w:hAnsi="Times New Roman" w:cs="Times New Roman"/>
                            <w:sz w:val="20"/>
                          </w:rPr>
                        </w:pPr>
                        <w:r>
                          <w:rPr>
                            <w:rFonts w:ascii="Times New Roman" w:hAnsi="Times New Roman" w:cs="Times New Roman"/>
                            <w:sz w:val="20"/>
                          </w:rPr>
                          <w:t xml:space="preserve">Green recruitment methods </w:t>
                        </w:r>
                      </w:p>
                      <w:p w14:paraId="19980988" w14:textId="77777777" w:rsidR="0051366D" w:rsidRDefault="0051366D">
                        <w:pPr>
                          <w:pStyle w:val="ListParagraph"/>
                          <w:numPr>
                            <w:ilvl w:val="0"/>
                            <w:numId w:val="3"/>
                          </w:numPr>
                          <w:spacing w:line="240" w:lineRule="auto"/>
                          <w:ind w:left="426" w:hanging="284"/>
                          <w:rPr>
                            <w:rFonts w:ascii="Times New Roman" w:hAnsi="Times New Roman" w:cs="Times New Roman"/>
                            <w:sz w:val="20"/>
                          </w:rPr>
                        </w:pPr>
                        <w:r>
                          <w:rPr>
                            <w:rFonts w:ascii="Times New Roman" w:hAnsi="Times New Roman" w:cs="Times New Roman"/>
                            <w:sz w:val="20"/>
                          </w:rPr>
                          <w:t>Green Selection method</w:t>
                        </w:r>
                      </w:p>
                      <w:p w14:paraId="78B27740" w14:textId="77777777" w:rsidR="0051366D" w:rsidRDefault="0051366D">
                        <w:pPr>
                          <w:pStyle w:val="ListParagraph"/>
                          <w:numPr>
                            <w:ilvl w:val="0"/>
                            <w:numId w:val="3"/>
                          </w:numPr>
                          <w:spacing w:line="240" w:lineRule="auto"/>
                          <w:ind w:left="426" w:hanging="284"/>
                          <w:rPr>
                            <w:rFonts w:ascii="Times New Roman" w:hAnsi="Times New Roman" w:cs="Times New Roman"/>
                            <w:sz w:val="20"/>
                          </w:rPr>
                        </w:pPr>
                        <w:r>
                          <w:rPr>
                            <w:rFonts w:ascii="Times New Roman" w:hAnsi="Times New Roman" w:cs="Times New Roman"/>
                            <w:sz w:val="20"/>
                          </w:rPr>
                          <w:t>Selection criteria</w:t>
                        </w:r>
                      </w:p>
                    </w:txbxContent>
                  </v:textbox>
                </v:shape>
                <v:shape id="Text Box 107" o:spid="_x0000_s1030" type="#_x0000_t202" style="position:absolute;left:6015;top:6845;width:241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1BA91E9D" w14:textId="77777777" w:rsidR="0051366D" w:rsidRDefault="0051366D">
                        <w:pPr>
                          <w:spacing w:before="0" w:beforeAutospacing="0" w:after="0" w:afterAutospacing="0" w:line="240" w:lineRule="auto"/>
                          <w:rPr>
                            <w:rFonts w:cs="Times New Roman"/>
                            <w:b/>
                            <w:sz w:val="20"/>
                          </w:rPr>
                        </w:pPr>
                        <w:r>
                          <w:rPr>
                            <w:rFonts w:cs="Times New Roman"/>
                            <w:b/>
                            <w:sz w:val="20"/>
                          </w:rPr>
                          <w:t>Performance of Devolved Healthcare services</w:t>
                        </w:r>
                      </w:p>
                      <w:p w14:paraId="42081C51" w14:textId="77777777" w:rsidR="0051366D" w:rsidRDefault="0051366D">
                        <w:pPr>
                          <w:pStyle w:val="ListParagraph"/>
                          <w:numPr>
                            <w:ilvl w:val="0"/>
                            <w:numId w:val="4"/>
                          </w:numPr>
                          <w:spacing w:before="0" w:beforeAutospacing="0" w:after="0" w:afterAutospacing="0" w:line="240" w:lineRule="auto"/>
                          <w:ind w:left="284"/>
                          <w:rPr>
                            <w:rFonts w:ascii="Times New Roman" w:hAnsi="Times New Roman" w:cs="Times New Roman"/>
                            <w:sz w:val="20"/>
                          </w:rPr>
                        </w:pPr>
                        <w:r>
                          <w:rPr>
                            <w:rFonts w:ascii="Times New Roman" w:hAnsi="Times New Roman" w:cs="Times New Roman"/>
                            <w:sz w:val="20"/>
                          </w:rPr>
                          <w:t xml:space="preserve">Number of clients attended to </w:t>
                        </w:r>
                      </w:p>
                      <w:p w14:paraId="4C331A81" w14:textId="77777777" w:rsidR="0051366D" w:rsidRDefault="0051366D">
                        <w:pPr>
                          <w:pStyle w:val="ListParagraph"/>
                          <w:numPr>
                            <w:ilvl w:val="0"/>
                            <w:numId w:val="4"/>
                          </w:numPr>
                          <w:spacing w:line="240" w:lineRule="auto"/>
                          <w:ind w:left="284"/>
                          <w:rPr>
                            <w:rFonts w:ascii="Times New Roman" w:hAnsi="Times New Roman" w:cs="Times New Roman"/>
                            <w:sz w:val="20"/>
                          </w:rPr>
                        </w:pPr>
                        <w:r>
                          <w:rPr>
                            <w:rFonts w:ascii="Times New Roman" w:hAnsi="Times New Roman" w:cs="Times New Roman"/>
                            <w:sz w:val="20"/>
                          </w:rPr>
                          <w:t>Client satisfaction</w:t>
                        </w:r>
                      </w:p>
                      <w:p w14:paraId="5F8CA0DA" w14:textId="77777777" w:rsidR="0051366D" w:rsidRDefault="0051366D">
                        <w:pPr>
                          <w:pStyle w:val="ListParagraph"/>
                          <w:numPr>
                            <w:ilvl w:val="0"/>
                            <w:numId w:val="4"/>
                          </w:numPr>
                          <w:spacing w:line="240" w:lineRule="auto"/>
                          <w:ind w:left="284"/>
                          <w:rPr>
                            <w:rFonts w:ascii="Times New Roman" w:hAnsi="Times New Roman" w:cs="Times New Roman"/>
                            <w:sz w:val="20"/>
                          </w:rPr>
                        </w:pPr>
                        <w:r>
                          <w:rPr>
                            <w:rFonts w:ascii="Times New Roman" w:hAnsi="Times New Roman" w:cs="Times New Roman"/>
                            <w:sz w:val="20"/>
                          </w:rPr>
                          <w:t>Revenue collection</w:t>
                        </w:r>
                      </w:p>
                    </w:txbxContent>
                  </v:textbox>
                </v:shape>
                <v:shape id="Text Box 108" o:spid="_x0000_s1031" type="#_x0000_t202" style="position:absolute;left:1558;top:6273;width:295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4BC71FB" w14:textId="77777777" w:rsidR="0051366D" w:rsidRDefault="0051366D">
                        <w:pPr>
                          <w:spacing w:before="0" w:beforeAutospacing="0" w:after="0" w:afterAutospacing="0" w:line="240" w:lineRule="auto"/>
                          <w:rPr>
                            <w:rFonts w:cs="Times New Roman"/>
                            <w:b/>
                            <w:sz w:val="20"/>
                          </w:rPr>
                        </w:pPr>
                        <w:r>
                          <w:rPr>
                            <w:rFonts w:cs="Times New Roman"/>
                            <w:b/>
                            <w:sz w:val="20"/>
                          </w:rPr>
                          <w:t>Green Training</w:t>
                        </w:r>
                      </w:p>
                      <w:p w14:paraId="7C6D9F85" w14:textId="77777777" w:rsidR="0051366D" w:rsidRDefault="0051366D">
                        <w:pPr>
                          <w:pStyle w:val="ListParagraph"/>
                          <w:numPr>
                            <w:ilvl w:val="0"/>
                            <w:numId w:val="5"/>
                          </w:numPr>
                          <w:spacing w:before="0" w:beforeAutospacing="0" w:after="0" w:afterAutospacing="0" w:line="240" w:lineRule="auto"/>
                          <w:ind w:left="426"/>
                          <w:jc w:val="left"/>
                          <w:rPr>
                            <w:rFonts w:ascii="Times New Roman" w:hAnsi="Times New Roman" w:cs="Times New Roman"/>
                            <w:sz w:val="20"/>
                          </w:rPr>
                        </w:pPr>
                        <w:r>
                          <w:rPr>
                            <w:rFonts w:ascii="Times New Roman" w:hAnsi="Times New Roman" w:cs="Times New Roman"/>
                            <w:sz w:val="20"/>
                          </w:rPr>
                          <w:t xml:space="preserve">Green Training needs assessment </w:t>
                        </w:r>
                      </w:p>
                      <w:p w14:paraId="148D9C8B" w14:textId="77777777" w:rsidR="0051366D" w:rsidRDefault="0051366D">
                        <w:pPr>
                          <w:pStyle w:val="ListParagraph"/>
                          <w:numPr>
                            <w:ilvl w:val="0"/>
                            <w:numId w:val="5"/>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Green Training programs</w:t>
                        </w:r>
                      </w:p>
                      <w:p w14:paraId="17BB3147" w14:textId="77777777" w:rsidR="0051366D" w:rsidRDefault="0051366D">
                        <w:pPr>
                          <w:pStyle w:val="ListParagraph"/>
                          <w:numPr>
                            <w:ilvl w:val="0"/>
                            <w:numId w:val="5"/>
                          </w:numPr>
                          <w:spacing w:line="240" w:lineRule="auto"/>
                          <w:ind w:left="426"/>
                          <w:rPr>
                            <w:rFonts w:ascii="Times New Roman" w:hAnsi="Times New Roman" w:cs="Times New Roman"/>
                            <w:sz w:val="20"/>
                          </w:rPr>
                        </w:pPr>
                        <w:r>
                          <w:rPr>
                            <w:rFonts w:ascii="Times New Roman" w:hAnsi="Times New Roman" w:cs="Times New Roman"/>
                            <w:sz w:val="20"/>
                          </w:rPr>
                          <w:t>Evaluating Training</w:t>
                        </w:r>
                      </w:p>
                    </w:txbxContent>
                  </v:textbox>
                </v:shape>
                <v:shape id="Text Box 109" o:spid="_x0000_s1032" type="#_x0000_t202" style="position:absolute;left:1558;top:7774;width:2947;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F0F4C50" w14:textId="77777777" w:rsidR="0051366D" w:rsidRDefault="0051366D">
                        <w:pPr>
                          <w:spacing w:before="0" w:beforeAutospacing="0" w:after="0" w:afterAutospacing="0" w:line="240" w:lineRule="auto"/>
                          <w:rPr>
                            <w:rFonts w:cs="Times New Roman"/>
                            <w:b/>
                            <w:sz w:val="20"/>
                          </w:rPr>
                        </w:pPr>
                        <w:r>
                          <w:rPr>
                            <w:rFonts w:cs="Times New Roman"/>
                            <w:b/>
                            <w:sz w:val="20"/>
                          </w:rPr>
                          <w:t>Green Occupational Safety and Health</w:t>
                        </w:r>
                      </w:p>
                      <w:p w14:paraId="18EF802B" w14:textId="77777777" w:rsidR="0051366D" w:rsidRDefault="0051366D">
                        <w:pPr>
                          <w:pStyle w:val="ListParagraph"/>
                          <w:numPr>
                            <w:ilvl w:val="0"/>
                            <w:numId w:val="6"/>
                          </w:numPr>
                          <w:spacing w:before="0" w:beforeAutospacing="0" w:after="0" w:afterAutospacing="0" w:line="240" w:lineRule="auto"/>
                          <w:ind w:left="426"/>
                          <w:rPr>
                            <w:rFonts w:ascii="Times New Roman" w:hAnsi="Times New Roman" w:cs="Times New Roman"/>
                            <w:color w:val="323232"/>
                            <w:sz w:val="20"/>
                          </w:rPr>
                        </w:pPr>
                        <w:r>
                          <w:rPr>
                            <w:rFonts w:ascii="Times New Roman" w:hAnsi="Times New Roman" w:cs="Times New Roman"/>
                            <w:color w:val="323232"/>
                            <w:sz w:val="20"/>
                          </w:rPr>
                          <w:t>Waste disposal method</w:t>
                        </w:r>
                      </w:p>
                      <w:p w14:paraId="3714A2B3" w14:textId="77777777" w:rsidR="0051366D" w:rsidRDefault="0051366D">
                        <w:pPr>
                          <w:pStyle w:val="ListParagraph"/>
                          <w:numPr>
                            <w:ilvl w:val="0"/>
                            <w:numId w:val="6"/>
                          </w:numPr>
                          <w:spacing w:after="0" w:line="240" w:lineRule="auto"/>
                          <w:ind w:left="426"/>
                          <w:rPr>
                            <w:rFonts w:ascii="Times New Roman" w:hAnsi="Times New Roman" w:cs="Times New Roman"/>
                            <w:sz w:val="20"/>
                          </w:rPr>
                        </w:pPr>
                        <w:r>
                          <w:rPr>
                            <w:rFonts w:ascii="Times New Roman" w:hAnsi="Times New Roman" w:cs="Times New Roman"/>
                            <w:sz w:val="20"/>
                          </w:rPr>
                          <w:t xml:space="preserve">Safety measures </w:t>
                        </w:r>
                      </w:p>
                      <w:p w14:paraId="2DB285E5" w14:textId="77777777" w:rsidR="0051366D" w:rsidRDefault="0051366D">
                        <w:pPr>
                          <w:pStyle w:val="ListParagraph"/>
                          <w:numPr>
                            <w:ilvl w:val="0"/>
                            <w:numId w:val="6"/>
                          </w:numPr>
                          <w:spacing w:after="0" w:line="240" w:lineRule="auto"/>
                          <w:ind w:left="426"/>
                          <w:rPr>
                            <w:rFonts w:ascii="Times New Roman" w:hAnsi="Times New Roman" w:cs="Times New Roman"/>
                            <w:sz w:val="20"/>
                          </w:rPr>
                        </w:pPr>
                        <w:r>
                          <w:rPr>
                            <w:rFonts w:ascii="Times New Roman" w:hAnsi="Times New Roman" w:cs="Times New Roman"/>
                            <w:sz w:val="20"/>
                          </w:rPr>
                          <w:t>Green buildings</w:t>
                        </w:r>
                      </w:p>
                    </w:txbxContent>
                  </v:textbox>
                </v:shape>
                <v:shape id="Text Box 113" o:spid="_x0000_s1033" type="#_x0000_t202" style="position:absolute;left:4605;top:10556;width:248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0A0F699" w14:textId="77777777" w:rsidR="0051366D" w:rsidRDefault="0051366D">
                        <w:pPr>
                          <w:spacing w:before="0" w:beforeAutospacing="0" w:after="0" w:afterAutospacing="0" w:line="240" w:lineRule="auto"/>
                          <w:rPr>
                            <w:rFonts w:cs="Times New Roman"/>
                            <w:b/>
                            <w:sz w:val="20"/>
                          </w:rPr>
                        </w:pPr>
                        <w:r>
                          <w:rPr>
                            <w:rFonts w:cs="Times New Roman"/>
                            <w:b/>
                            <w:sz w:val="20"/>
                          </w:rPr>
                          <w:t>Management Style</w:t>
                        </w:r>
                      </w:p>
                      <w:p w14:paraId="1A213B4E" w14:textId="77777777" w:rsidR="0051366D" w:rsidRDefault="0051366D">
                        <w:pPr>
                          <w:pStyle w:val="ListParagraph"/>
                          <w:numPr>
                            <w:ilvl w:val="0"/>
                            <w:numId w:val="7"/>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Bureaucratic Management</w:t>
                        </w:r>
                      </w:p>
                      <w:p w14:paraId="07ECCC26" w14:textId="77777777" w:rsidR="0051366D" w:rsidRDefault="0051366D">
                        <w:pPr>
                          <w:pStyle w:val="ListParagraph"/>
                          <w:numPr>
                            <w:ilvl w:val="0"/>
                            <w:numId w:val="7"/>
                          </w:numPr>
                          <w:spacing w:before="0" w:beforeAutospacing="0" w:after="0" w:afterAutospacing="0" w:line="240" w:lineRule="auto"/>
                          <w:ind w:left="426"/>
                          <w:rPr>
                            <w:rFonts w:ascii="Times New Roman" w:hAnsi="Times New Roman" w:cs="Times New Roman"/>
                            <w:sz w:val="20"/>
                          </w:rPr>
                        </w:pPr>
                        <w:r>
                          <w:rPr>
                            <w:rFonts w:ascii="Times New Roman" w:hAnsi="Times New Roman" w:cs="Times New Roman"/>
                            <w:sz w:val="20"/>
                          </w:rPr>
                          <w:t>Participative Management</w:t>
                        </w:r>
                      </w:p>
                      <w:p w14:paraId="226072BF" w14:textId="77777777" w:rsidR="0051366D" w:rsidRDefault="0051366D">
                        <w:pPr>
                          <w:pStyle w:val="ListParagraph"/>
                          <w:numPr>
                            <w:ilvl w:val="0"/>
                            <w:numId w:val="7"/>
                          </w:numPr>
                          <w:ind w:left="426"/>
                          <w:rPr>
                            <w:rFonts w:ascii="Times New Roman" w:hAnsi="Times New Roman" w:cs="Times New Roman"/>
                            <w:sz w:val="20"/>
                          </w:rPr>
                        </w:pPr>
                        <w:r>
                          <w:rPr>
                            <w:rFonts w:ascii="Times New Roman" w:hAnsi="Times New Roman" w:cs="Times New Roman"/>
                            <w:sz w:val="20"/>
                          </w:rPr>
                          <w:t>Contingency management</w:t>
                        </w:r>
                      </w:p>
                      <w:p w14:paraId="691ED1EA" w14:textId="77777777" w:rsidR="0051366D" w:rsidRDefault="0051366D">
                        <w:pPr>
                          <w:ind w:left="360"/>
                          <w:rPr>
                            <w:color w:val="323232"/>
                            <w:sz w:val="22"/>
                          </w:rPr>
                        </w:pPr>
                      </w:p>
                      <w:p w14:paraId="5E67F79D" w14:textId="77777777" w:rsidR="0051366D" w:rsidRDefault="0051366D"/>
                    </w:txbxContent>
                  </v:textbox>
                </v:shape>
                <v:shape id="AutoShape 115" o:spid="_x0000_s1034" type="#_x0000_t32" style="position:absolute;left:5697;top:7599;width:0;height:2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AutoShape 118" o:spid="_x0000_s1035" type="#_x0000_t32" style="position:absolute;left:4529;top:5541;width: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19" o:spid="_x0000_s1036" type="#_x0000_t32" style="position:absolute;left:4529;top:7022;width: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21" o:spid="_x0000_s1037" type="#_x0000_t32" style="position:absolute;left:4505;top:851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22" o:spid="_x0000_s1038" type="#_x0000_t32" style="position:absolute;left:4542;top:10219;width: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w10:anchorlock/>
              </v:group>
            </w:pict>
          </mc:Fallback>
        </mc:AlternateContent>
      </w:r>
      <w:r w:rsidR="00E40740">
        <w:rPr>
          <w:rFonts w:cs="Times New Roman"/>
          <w:b/>
          <w:i/>
          <w:noProof/>
          <w:szCs w:val="24"/>
          <w:lang w:val="en-US"/>
        </w:rPr>
        <mc:AlternateContent>
          <mc:Choice Requires="wps">
            <w:drawing>
              <wp:anchor distT="0" distB="0" distL="113665" distR="113665" simplePos="0" relativeHeight="251660288" behindDoc="0" locked="0" layoutInCell="1" allowOverlap="1" wp14:anchorId="75AA10BC" wp14:editId="1850F4A2">
                <wp:simplePos x="0" y="0"/>
                <wp:positionH relativeFrom="column">
                  <wp:posOffset>392430</wp:posOffset>
                </wp:positionH>
                <wp:positionV relativeFrom="paragraph">
                  <wp:posOffset>90805</wp:posOffset>
                </wp:positionV>
                <wp:extent cx="0" cy="0"/>
                <wp:effectExtent l="0" t="0" r="0" b="0"/>
                <wp:wrapNone/>
                <wp:docPr id="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tailEnd type="triangle" w="med" len="med"/>
                        </a:ln>
                      </wps:spPr>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22658" id="AutoShape 102" o:spid="_x0000_s1026" type="#_x0000_t32" style="position:absolute;margin-left:30.9pt;margin-top:7.15pt;width:0;height:0;z-index:25166028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">
                <v:stroke endarrow="block"/>
              </v:shape>
            </w:pict>
          </mc:Fallback>
        </mc:AlternateContent>
      </w:r>
      <w:bookmarkStart w:id="319" w:name="_Hlk139364301"/>
      <w:bookmarkEnd w:id="319"/>
      <w:r w:rsidR="00E40740">
        <w:rPr>
          <w:rFonts w:cs="Times New Roman"/>
          <w:noProof/>
          <w:szCs w:val="24"/>
          <w:lang w:val="en-US"/>
        </w:rPr>
        <mc:AlternateContent>
          <mc:Choice Requires="wps">
            <w:drawing>
              <wp:anchor distT="0" distB="0" distL="114300" distR="114300" simplePos="0" relativeHeight="251661312" behindDoc="0" locked="0" layoutInCell="1" allowOverlap="1" wp14:anchorId="74C5B9E6" wp14:editId="60799E98">
                <wp:simplePos x="0" y="0"/>
                <wp:positionH relativeFrom="column">
                  <wp:posOffset>5153025</wp:posOffset>
                </wp:positionH>
                <wp:positionV relativeFrom="paragraph">
                  <wp:posOffset>10613390</wp:posOffset>
                </wp:positionV>
                <wp:extent cx="2539365" cy="276225"/>
                <wp:effectExtent l="0" t="0" r="0" b="0"/>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76225"/>
                        </a:xfrm>
                        <a:prstGeom prst="rect">
                          <a:avLst/>
                        </a:prstGeom>
                        <a:solidFill>
                          <a:srgbClr val="FFFFFF"/>
                        </a:solidFill>
                        <a:ln w="9525">
                          <a:solidFill>
                            <a:srgbClr val="000000"/>
                          </a:solidFill>
                          <a:miter lim="800000"/>
                        </a:ln>
                      </wps:spPr>
                      <wps:txbx>
                        <w:txbxContent>
                          <w:p w14:paraId="0C3E9CE6" w14:textId="77777777" w:rsidR="0051366D" w:rsidRDefault="0051366D">
                            <w:pPr>
                              <w:jc w:val="center"/>
                            </w:pPr>
                            <w:r>
                              <w:t>Recruitment and Selection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5B9E6" id="Text Box 116" o:spid="_x0000_s1039" type="#_x0000_t202" style="position:absolute;left:0;text-align:left;margin-left:405.75pt;margin-top:835.7pt;width:199.95pt;height:21.7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">
                <v:textbox style="mso-fit-shape-to-text:t">
                  <w:txbxContent>
                    <w:p w14:paraId="0C3E9CE6" w14:textId="77777777" w:rsidR="0051366D" w:rsidRDefault="0051366D">
                      <w:pPr>
                        <w:jc w:val="center"/>
                      </w:pPr>
                      <w:r>
                        <w:t>Recruitment and Selection</w:t>
                      </w:r>
                    </w:p>
                  </w:txbxContent>
                </v:textbox>
              </v:shape>
            </w:pict>
          </mc:Fallback>
        </mc:AlternateContent>
      </w:r>
      <w:r w:rsidR="00542524">
        <w:rPr>
          <w:rFonts w:cs="Times New Roman"/>
          <w:b/>
          <w:szCs w:val="24"/>
        </w:rPr>
        <w:t>Independent Variables</w:t>
      </w:r>
      <w:r w:rsidR="00542524">
        <w:rPr>
          <w:rFonts w:cs="Times New Roman"/>
          <w:b/>
          <w:szCs w:val="24"/>
        </w:rPr>
        <w:tab/>
      </w:r>
      <w:r w:rsidR="005C3CE1">
        <w:rPr>
          <w:rFonts w:cs="Times New Roman"/>
          <w:b/>
          <w:szCs w:val="24"/>
        </w:rPr>
        <w:t xml:space="preserve"> </w:t>
      </w:r>
      <w:r w:rsidR="00DB7804">
        <w:rPr>
          <w:rFonts w:cs="Times New Roman"/>
          <w:b/>
          <w:szCs w:val="24"/>
        </w:rPr>
        <w:t xml:space="preserve">         </w:t>
      </w:r>
      <w:r w:rsidR="005C3CE1">
        <w:rPr>
          <w:rFonts w:cs="Times New Roman"/>
          <w:b/>
          <w:szCs w:val="24"/>
        </w:rPr>
        <w:t xml:space="preserve"> </w:t>
      </w:r>
      <w:r w:rsidR="007A43A2">
        <w:rPr>
          <w:rFonts w:cs="Times New Roman"/>
          <w:b/>
          <w:szCs w:val="24"/>
        </w:rPr>
        <w:t>Moderating Variable</w:t>
      </w:r>
      <w:r w:rsidR="007A43A2">
        <w:rPr>
          <w:rFonts w:cs="Times New Roman"/>
          <w:b/>
          <w:szCs w:val="24"/>
        </w:rPr>
        <w:tab/>
      </w:r>
      <w:r w:rsidR="005C3CE1">
        <w:rPr>
          <w:rFonts w:cs="Times New Roman"/>
          <w:b/>
          <w:szCs w:val="24"/>
        </w:rPr>
        <w:t xml:space="preserve">     </w:t>
      </w:r>
      <w:r w:rsidR="00DB7804">
        <w:rPr>
          <w:rFonts w:cs="Times New Roman"/>
          <w:b/>
          <w:szCs w:val="24"/>
        </w:rPr>
        <w:t xml:space="preserve"> </w:t>
      </w:r>
      <w:r w:rsidR="00E40740">
        <w:rPr>
          <w:rFonts w:cs="Times New Roman"/>
          <w:b/>
          <w:szCs w:val="24"/>
        </w:rPr>
        <w:t xml:space="preserve">Dependent Variable </w:t>
      </w:r>
    </w:p>
    <w:p w14:paraId="15CD0204" w14:textId="77777777" w:rsidR="009F33CD" w:rsidRDefault="00E40740">
      <w:pPr>
        <w:pStyle w:val="Heading5"/>
      </w:pPr>
      <w:bookmarkStart w:id="320" w:name="_Toc139986410"/>
      <w:bookmarkStart w:id="321" w:name="_Toc139987437"/>
      <w:bookmarkStart w:id="322" w:name="_Toc165626324"/>
      <w:bookmarkStart w:id="323" w:name="_Toc185614020"/>
      <w:bookmarkStart w:id="324" w:name="_Toc139980638"/>
      <w:bookmarkStart w:id="325" w:name="_Toc178944982"/>
      <w:bookmarkStart w:id="326" w:name="_Toc178942573"/>
      <w:bookmarkStart w:id="327" w:name="_Toc178939578"/>
      <w:bookmarkStart w:id="328" w:name="_Toc165623543"/>
      <w:bookmarkStart w:id="329" w:name="_Toc187080790"/>
      <w:bookmarkStart w:id="330" w:name="_Toc187996267"/>
      <w:bookmarkStart w:id="331" w:name="_Toc178940532"/>
      <w:bookmarkStart w:id="332" w:name="_Toc178944230"/>
      <w:bookmarkStart w:id="333" w:name="_Toc147950188"/>
      <w:bookmarkStart w:id="334" w:name="_Toc147946849"/>
      <w:r>
        <w:t>Figure 2.1: Conceptual Framework</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4D300C8" w14:textId="77777777" w:rsidR="009F33CD" w:rsidRDefault="00E40740" w:rsidP="00542524">
      <w:pPr>
        <w:pStyle w:val="Heading3"/>
      </w:pPr>
      <w:bookmarkStart w:id="335" w:name="_Toc529121488"/>
      <w:bookmarkStart w:id="336" w:name="_Toc529115547"/>
      <w:bookmarkStart w:id="337" w:name="_Toc523764167"/>
      <w:bookmarkStart w:id="338" w:name="_Toc4148583"/>
      <w:bookmarkStart w:id="339" w:name="_Toc188130579"/>
      <w:bookmarkStart w:id="340" w:name="_Toc178939579"/>
      <w:bookmarkStart w:id="341" w:name="_Toc187080791"/>
      <w:bookmarkStart w:id="342" w:name="_Toc165623544"/>
      <w:bookmarkStart w:id="343" w:name="_Toc185614021"/>
      <w:bookmarkStart w:id="344" w:name="_Toc178940533"/>
      <w:bookmarkStart w:id="345" w:name="_Toc188443926"/>
      <w:bookmarkStart w:id="346" w:name="_Toc165626325"/>
      <w:bookmarkStart w:id="347" w:name="_Toc178944983"/>
      <w:bookmarkStart w:id="348" w:name="_Toc178944231"/>
      <w:bookmarkStart w:id="349" w:name="_Toc188442552"/>
      <w:bookmarkStart w:id="350" w:name="_Toc147950189"/>
      <w:bookmarkStart w:id="351" w:name="_Toc178942574"/>
      <w:bookmarkStart w:id="352" w:name="_Toc224160616"/>
      <w:bookmarkStart w:id="353" w:name="_Toc224237676"/>
      <w:bookmarkEnd w:id="314"/>
      <w:bookmarkEnd w:id="315"/>
      <w:bookmarkEnd w:id="316"/>
      <w:bookmarkEnd w:id="317"/>
      <w:r>
        <w:t xml:space="preserve">2.3.1 </w:t>
      </w:r>
      <w:bookmarkStart w:id="354" w:name="_Toc529121489"/>
      <w:bookmarkStart w:id="355" w:name="_Toc529115548"/>
      <w:bookmarkEnd w:id="335"/>
      <w:bookmarkEnd w:id="336"/>
      <w:bookmarkEnd w:id="337"/>
      <w:r>
        <w:t xml:space="preserve">Green </w:t>
      </w:r>
      <w:bookmarkEnd w:id="338"/>
      <w:bookmarkEnd w:id="354"/>
      <w:bookmarkEnd w:id="355"/>
      <w:r>
        <w:t>Employee Resourcing</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t xml:space="preserve"> </w:t>
      </w:r>
    </w:p>
    <w:p w14:paraId="5DD1F4BC" w14:textId="77777777" w:rsidR="009F33CD" w:rsidRDefault="00E40740">
      <w:pPr>
        <w:spacing w:after="240"/>
        <w:rPr>
          <w:rFonts w:cs="Times New Roman"/>
          <w:bCs/>
          <w:color w:val="000000"/>
          <w:szCs w:val="24"/>
        </w:rPr>
      </w:pPr>
      <w:r>
        <w:rPr>
          <w:rFonts w:cs="Times New Roman"/>
          <w:bCs/>
          <w:szCs w:val="24"/>
        </w:rPr>
        <w:t xml:space="preserve">It is conceptualized in this study that if green employee resourcing is conducted through paperless recruitment methods for vacant jobs; applications are received through an online medium; the selection method is conducted virtually; and selection criteria is based on green awareness skills and values, then organizational performance of devolved healthcare services is likely to improve. Green employee resourcing practices are very important components in the entry of human resources into the organization as both influence the organization’s performance and sustainability. </w:t>
      </w:r>
      <w:r>
        <w:rPr>
          <w:rFonts w:cs="Times New Roman"/>
          <w:bCs/>
          <w:color w:val="000000"/>
          <w:szCs w:val="24"/>
        </w:rPr>
        <w:t>Green recruitment can be defined as the process of advertising to attract a pool of individuals with knowledge, skills, and behaviours that are related to the environmental management system (Shoeb &amp;</w:t>
      </w:r>
      <w:r>
        <w:rPr>
          <w:rFonts w:cs="Times New Roman"/>
          <w:bCs/>
          <w:szCs w:val="24"/>
        </w:rPr>
        <w:t xml:space="preserve">Tahir, </w:t>
      </w:r>
      <w:r>
        <w:rPr>
          <w:rFonts w:cs="Times New Roman"/>
          <w:bCs/>
          <w:color w:val="000000"/>
          <w:szCs w:val="24"/>
        </w:rPr>
        <w:t xml:space="preserve">2015). </w:t>
      </w:r>
    </w:p>
    <w:p w14:paraId="5AA6C8B5" w14:textId="77777777" w:rsidR="009F33CD" w:rsidRDefault="00E40740">
      <w:pPr>
        <w:spacing w:after="240"/>
        <w:rPr>
          <w:rFonts w:cs="Times New Roman"/>
          <w:bCs/>
          <w:color w:val="000000"/>
          <w:szCs w:val="24"/>
        </w:rPr>
      </w:pPr>
      <w:r>
        <w:rPr>
          <w:rFonts w:cs="Times New Roman"/>
          <w:bCs/>
          <w:szCs w:val="24"/>
        </w:rPr>
        <w:lastRenderedPageBreak/>
        <w:t xml:space="preserve">Green recruitment is an eco-friendly advertisement for job applicants where the focus is given on the importance of environmental management and making it a key element in the organization. In green recruitment, the individuals are required to have interest and passion about working for an organization that is green or environment friendly. Recruiting green candidates makes it easy for firms to attract and select induction professionals who are aware of sustainable processes and are already familiar with environmental initiatives like recycling, conservation, and creating a more sustainable world. </w:t>
      </w:r>
      <w:r>
        <w:rPr>
          <w:rFonts w:eastAsia="TimesNewRomanPSMT" w:cs="Times New Roman"/>
          <w:bCs/>
          <w:szCs w:val="24"/>
        </w:rPr>
        <w:t>Green recruitment includes environmental management criteria in the advertisement messages; it is usually a paper-free or online recruitment process with reduced environmental impact (</w:t>
      </w:r>
      <w:r>
        <w:rPr>
          <w:rFonts w:cs="Times New Roman"/>
          <w:bCs/>
          <w:color w:val="000000"/>
          <w:szCs w:val="24"/>
        </w:rPr>
        <w:t>Opatha, 2013).</w:t>
      </w:r>
    </w:p>
    <w:p w14:paraId="4B6E9D9F" w14:textId="77777777" w:rsidR="009F33CD" w:rsidRDefault="00E40740">
      <w:pPr>
        <w:pStyle w:val="Default"/>
        <w:spacing w:after="240" w:line="360" w:lineRule="auto"/>
        <w:jc w:val="both"/>
        <w:rPr>
          <w:rFonts w:eastAsia="TimesNewRomanPSMT"/>
          <w:bCs/>
        </w:rPr>
      </w:pPr>
      <w:r>
        <w:rPr>
          <w:rFonts w:eastAsiaTheme="minorHAnsi"/>
        </w:rPr>
        <w:t>High-quality job candidates who share environmental management values are attracted by organizations that are adopting green business practices (Shah, 2019). Successful organizations attract their prospective employees through environmental-related messages they communicate to the public. Tareq and Rosima (2015) define g</w:t>
      </w:r>
      <w:r>
        <w:rPr>
          <w:rFonts w:eastAsia="TimesNewRomanPSMT"/>
          <w:bCs/>
        </w:rPr>
        <w:t xml:space="preserve">reen recruitment as the procedure of hiring people with the knowledge and ability of environment management in an organization. </w:t>
      </w:r>
      <w:bookmarkStart w:id="356" w:name="_Hlk174877554"/>
      <w:r>
        <w:rPr>
          <w:rFonts w:eastAsia="TimesNewRomanPSMT"/>
          <w:bCs/>
        </w:rPr>
        <w:t xml:space="preserve">Ragas et al. (2017) asserted that the process of recruitment can assist firms in producing effective performance including </w:t>
      </w:r>
      <w:r>
        <w:rPr>
          <w:rFonts w:eastAsia="TimesNewRomanPSMT"/>
          <w:bCs/>
          <w:color w:val="auto"/>
        </w:rPr>
        <w:t>performance related to the environment by ensuring that newly hired staff is aware of the environmental</w:t>
      </w:r>
      <w:r>
        <w:rPr>
          <w:rFonts w:eastAsia="TimesNewRomanPSMT"/>
          <w:bCs/>
        </w:rPr>
        <w:t xml:space="preserve"> culture of the organization and he/she can maintain the environmental values followed by the organization</w:t>
      </w:r>
      <w:bookmarkEnd w:id="356"/>
      <w:r>
        <w:rPr>
          <w:rFonts w:eastAsia="TimesNewRomanPSMT"/>
          <w:bCs/>
        </w:rPr>
        <w:t xml:space="preserve">. </w:t>
      </w:r>
      <w:bookmarkStart w:id="357" w:name="_Hlk174875474"/>
      <w:r>
        <w:rPr>
          <w:rFonts w:eastAsiaTheme="minorHAnsi"/>
        </w:rPr>
        <w:t>Mishra (2017)</w:t>
      </w:r>
      <w:r>
        <w:rPr>
          <w:rFonts w:eastAsia="TimesNewRomanPSMT"/>
          <w:bCs/>
        </w:rPr>
        <w:t xml:space="preserve"> suggests that g</w:t>
      </w:r>
      <w:r>
        <w:rPr>
          <w:rFonts w:eastAsiaTheme="minorHAnsi"/>
        </w:rPr>
        <w:t xml:space="preserve">reen activities comprise video recruiting and the use of online and video interviews which are meant to minimize the travel requirements of job candidates. </w:t>
      </w:r>
      <w:r>
        <w:rPr>
          <w:rFonts w:eastAsiaTheme="minorHAnsi"/>
          <w:bCs/>
        </w:rPr>
        <w:t>Further, the best HR practice in greening a company is the use of online applications to reduce paper usage and costs through computerized human resource information systems, and applicant tracking systems that streamline hiring efforts</w:t>
      </w:r>
      <w:r>
        <w:rPr>
          <w:rFonts w:eastAsia="TimesNewRomanPSMT"/>
          <w:bCs/>
        </w:rPr>
        <w:t>.</w:t>
      </w:r>
      <w:bookmarkEnd w:id="357"/>
      <w:r>
        <w:rPr>
          <w:rFonts w:eastAsia="TimesNewRomanPSMT"/>
          <w:bCs/>
        </w:rPr>
        <w:t xml:space="preserve"> If possible, telephone or video-based interviews are conducted to minimize any travel-related environmental effects. </w:t>
      </w:r>
    </w:p>
    <w:p w14:paraId="6DA1BCBE" w14:textId="77777777" w:rsidR="009F33CD" w:rsidRDefault="00E40740">
      <w:pPr>
        <w:pStyle w:val="Default"/>
        <w:spacing w:after="240" w:line="360" w:lineRule="auto"/>
        <w:jc w:val="both"/>
      </w:pPr>
      <w:bookmarkStart w:id="358" w:name="_Hlk174870085"/>
      <w:r>
        <w:rPr>
          <w:color w:val="241F21"/>
        </w:rPr>
        <w:t>Priya and Kamlesh (2016</w:t>
      </w:r>
      <w:r>
        <w:rPr>
          <w:rFonts w:eastAsia="TimesNewRomanPSMT"/>
          <w:bCs/>
        </w:rPr>
        <w:t xml:space="preserve">) </w:t>
      </w:r>
      <w:r>
        <w:rPr>
          <w:rFonts w:eastAsiaTheme="minorHAnsi"/>
          <w:color w:val="241F21"/>
        </w:rPr>
        <w:t>argue that i</w:t>
      </w:r>
      <w:r>
        <w:rPr>
          <w:rFonts w:eastAsia="TimesNewRomanPSMT"/>
          <w:bCs/>
        </w:rPr>
        <w:t xml:space="preserve">n materializing the established environmental policies and practices, companies should put in place an environmentally oriented workforce. In developing environmentally- oriented workforce, companies should focus on green recruitment and the provision of required environmental protection-related awareness, education, training, and development to the current organization </w:t>
      </w:r>
      <w:r>
        <w:rPr>
          <w:rFonts w:eastAsia="TimesNewRomanPSMT"/>
          <w:bCs/>
        </w:rPr>
        <w:lastRenderedPageBreak/>
        <w:t xml:space="preserve">workforce. </w:t>
      </w:r>
      <w:bookmarkEnd w:id="358"/>
      <w:r>
        <w:t>Adjei-Bamfo et al (2020) argue that recruitment is a process of attracting a pool of qualified job applicants at the right time to fit in the right jobs in an organization.</w:t>
      </w:r>
      <w:bookmarkStart w:id="359" w:name="_Hlk187660406"/>
      <w:r>
        <w:t xml:space="preserve"> </w:t>
      </w:r>
      <w:r>
        <w:rPr>
          <w:bCs/>
        </w:rPr>
        <w:t xml:space="preserve">Green recruitment is the process of locating and encouraging potential applicants with environmental management knowledge and the ability to apply for existing or anticipated job positions </w:t>
      </w:r>
      <w:r>
        <w:rPr>
          <w:rFonts w:eastAsia="TimesNewRoman"/>
          <w:bCs/>
        </w:rPr>
        <w:t>(</w:t>
      </w:r>
      <w:bookmarkStart w:id="360" w:name="_Hlk176446610"/>
      <w:r>
        <w:rPr>
          <w:rFonts w:eastAsia="TimesNewRoman"/>
          <w:bCs/>
        </w:rPr>
        <w:t xml:space="preserve">Walker </w:t>
      </w:r>
      <w:r>
        <w:rPr>
          <w:rFonts w:eastAsia="TimesNewRoman"/>
          <w:bCs/>
          <w:i/>
        </w:rPr>
        <w:t>et al.</w:t>
      </w:r>
      <w:r>
        <w:rPr>
          <w:rFonts w:eastAsia="TimesNewRoman"/>
          <w:bCs/>
        </w:rPr>
        <w:t xml:space="preserve"> 2011</w:t>
      </w:r>
      <w:bookmarkEnd w:id="360"/>
      <w:r>
        <w:rPr>
          <w:rFonts w:eastAsia="TimesNewRoman"/>
          <w:bCs/>
        </w:rPr>
        <w:t xml:space="preserve">). </w:t>
      </w:r>
      <w:bookmarkEnd w:id="359"/>
      <w:r>
        <w:rPr>
          <w:rFonts w:eastAsia="TimesNewRoman"/>
          <w:bCs/>
        </w:rPr>
        <w:t>The content of the information provided on the company’s website concerning its environmental policies and practices plays a key role in green recruitment of the company.</w:t>
      </w:r>
    </w:p>
    <w:p w14:paraId="70D2B903" w14:textId="77777777" w:rsidR="009F33CD" w:rsidRDefault="00E40740">
      <w:pPr>
        <w:pStyle w:val="Default"/>
        <w:spacing w:after="240" w:line="360" w:lineRule="auto"/>
        <w:jc w:val="both"/>
        <w:rPr>
          <w:rFonts w:eastAsia="TimesNewRoman"/>
          <w:bCs/>
        </w:rPr>
      </w:pPr>
      <w:r>
        <w:rPr>
          <w:rFonts w:eastAsia="TimesNewRomanPSMT"/>
          <w:bCs/>
        </w:rPr>
        <w:t>To attract and retain talent efficiently and effectively is o</w:t>
      </w:r>
      <w:r>
        <w:t xml:space="preserve">ne of the ways to be greener in people management practices. </w:t>
      </w:r>
      <w:r>
        <w:rPr>
          <w:bCs/>
        </w:rPr>
        <w:t xml:space="preserve">The advertisements for vacant posts at the Level Five Hospitals are usually reviewed to determine which media outlet the advertisement should be published to ensure wide coverage. For cost-effectiveness, a link directing the applicants to the County website where the job vacancies and job requirements are posted should be made use of. </w:t>
      </w:r>
      <w:r>
        <w:rPr>
          <w:rFonts w:eastAsia="TimesNewRoman"/>
          <w:bCs/>
        </w:rPr>
        <w:t xml:space="preserve">Jabbour </w:t>
      </w:r>
      <w:r>
        <w:rPr>
          <w:rFonts w:eastAsia="TimesNewRoman"/>
          <w:bCs/>
          <w:i/>
        </w:rPr>
        <w:t>et al</w:t>
      </w:r>
      <w:r>
        <w:rPr>
          <w:rFonts w:eastAsia="TimesNewRoman"/>
          <w:bCs/>
        </w:rPr>
        <w:t xml:space="preserve"> (2019) state that greening is the process of linking environmental management initiatives into functional dimensions of human resource management such as recruitment, selection, performance appraisal, rewards, employee involvement, job description, and job analysis among others. Multi-national companies are marketing themselves as Green HRM practitioners to attract employees who have a great knowledge and understanding of green practices and environmental sustainability issues</w:t>
      </w:r>
      <w:r>
        <w:rPr>
          <w:bCs/>
        </w:rPr>
        <w:t xml:space="preserve"> (Bhutto &amp; Auranzeb, 2016)</w:t>
      </w:r>
      <w:r>
        <w:rPr>
          <w:rFonts w:eastAsia="TimesNewRoman"/>
          <w:bCs/>
        </w:rPr>
        <w:t xml:space="preserve">. </w:t>
      </w:r>
    </w:p>
    <w:p w14:paraId="5F1088D2" w14:textId="77777777" w:rsidR="009F33CD" w:rsidRDefault="00E40740">
      <w:pPr>
        <w:pStyle w:val="Default"/>
        <w:spacing w:after="240" w:line="360" w:lineRule="auto"/>
        <w:jc w:val="both"/>
        <w:rPr>
          <w:rFonts w:eastAsia="TimesNewRomanPSMT"/>
          <w:bCs/>
        </w:rPr>
      </w:pPr>
      <w:r>
        <w:rPr>
          <w:bCs/>
        </w:rPr>
        <w:t xml:space="preserve">Across recruitment, deployment and patient records, devolved healthcare services in Kenya continue to rely mainly on manual, paper-based processes that lead to inefficiencies such as long delays in recruitment, high printing and administrative costs, poor user satisfaction among clinicians and quality concerns in health information management (Nyawira et al., 2022).  Armstrong (2016), states that the main methods of recruitment are internal recruitment and external recruitment such as online recruitment, agencies, job centers, consultants, and campus recruitment. </w:t>
      </w:r>
      <w:r>
        <w:t xml:space="preserve">According to Arulrajah </w:t>
      </w:r>
      <w:r>
        <w:rPr>
          <w:i/>
          <w:iCs/>
        </w:rPr>
        <w:t>et al</w:t>
      </w:r>
      <w:r>
        <w:t xml:space="preserve"> (2015), companies have environmental policies that help them attract environmentally aware talent and they also brand themselves as organizations of green employers of choice. In addition, these organizations usually prepare job advertisements that express certain environmental values to attract potential employees who are green-aware. </w:t>
      </w:r>
    </w:p>
    <w:p w14:paraId="185DCD50" w14:textId="77777777" w:rsidR="009F33CD" w:rsidRDefault="00E40740">
      <w:pPr>
        <w:autoSpaceDE/>
        <w:autoSpaceDN/>
        <w:adjustRightInd/>
        <w:spacing w:after="200"/>
        <w:rPr>
          <w:rFonts w:eastAsia="TimesNewRoman" w:cs="Times New Roman"/>
          <w:bCs/>
          <w:szCs w:val="24"/>
        </w:rPr>
      </w:pPr>
      <w:r>
        <w:rPr>
          <w:rStyle w:val="A3"/>
          <w:rFonts w:cs="Times New Roman"/>
          <w:szCs w:val="24"/>
        </w:rPr>
        <w:lastRenderedPageBreak/>
        <w:t xml:space="preserve">Halawi and Zaraket (2018) argue that when recruiting, companies need the following tasks: green environmental </w:t>
      </w:r>
      <w:r>
        <w:rPr>
          <w:rStyle w:val="A3"/>
          <w:rFonts w:cs="Times New Roman"/>
          <w:color w:val="auto"/>
          <w:szCs w:val="24"/>
        </w:rPr>
        <w:t>management, role descriptions for managers and employees; green targets and goals; recruitment of candidates who are</w:t>
      </w:r>
      <w:r>
        <w:rPr>
          <w:rStyle w:val="A3"/>
          <w:rFonts w:cs="Times New Roman"/>
          <w:szCs w:val="24"/>
        </w:rPr>
        <w:t xml:space="preserve"> Green aware; and green employer of choice. </w:t>
      </w:r>
      <w:r>
        <w:rPr>
          <w:rFonts w:cs="Times New Roman"/>
          <w:szCs w:val="24"/>
        </w:rPr>
        <w:t xml:space="preserve">Additionally, organization </w:t>
      </w:r>
      <w:r>
        <w:rPr>
          <w:rStyle w:val="A3"/>
          <w:rFonts w:cs="Times New Roman"/>
          <w:szCs w:val="24"/>
        </w:rPr>
        <w:t xml:space="preserve">green activities should include the minimum use of stationery in the recruitment and interview process, performance appraisals, and learning and development. </w:t>
      </w:r>
      <w:r>
        <w:rPr>
          <w:rFonts w:cs="Times New Roman"/>
          <w:bCs/>
          <w:szCs w:val="24"/>
        </w:rPr>
        <w:t xml:space="preserve">Green employee resourcing is the process of hiring services of prospective employees with required skills that promote the </w:t>
      </w:r>
      <w:r>
        <w:rPr>
          <w:rFonts w:cs="Times New Roman"/>
          <w:szCs w:val="24"/>
        </w:rPr>
        <w:t xml:space="preserve">corporate environmental culture and performance of a company. </w:t>
      </w:r>
      <w:r>
        <w:rPr>
          <w:rFonts w:eastAsia="TimesNewRoman" w:cs="Times New Roman"/>
          <w:bCs/>
          <w:szCs w:val="24"/>
        </w:rPr>
        <w:t xml:space="preserve">Interviews should be designed in such a way that one should evaluate the applicant’s qualifications with the firm’s greening strategies </w:t>
      </w:r>
      <w:r>
        <w:rPr>
          <w:rFonts w:eastAsia="TimesNewRoman" w:cs="Times New Roman"/>
          <w:szCs w:val="24"/>
        </w:rPr>
        <w:t>(Rawashdeha,</w:t>
      </w:r>
      <w:r>
        <w:rPr>
          <w:rFonts w:eastAsia="TimesNewRomanPSMT" w:cs="Times New Roman"/>
          <w:bCs/>
          <w:szCs w:val="24"/>
        </w:rPr>
        <w:t xml:space="preserve"> 2018)</w:t>
      </w:r>
      <w:r>
        <w:rPr>
          <w:rFonts w:eastAsia="TimesNewRoman" w:cs="Times New Roman"/>
          <w:bCs/>
          <w:szCs w:val="24"/>
        </w:rPr>
        <w:t xml:space="preserve">. </w:t>
      </w:r>
    </w:p>
    <w:p w14:paraId="619A348D" w14:textId="77777777" w:rsidR="009F33CD" w:rsidRDefault="00E40740">
      <w:pPr>
        <w:spacing w:after="240"/>
        <w:rPr>
          <w:rFonts w:cs="Times New Roman"/>
          <w:szCs w:val="24"/>
        </w:rPr>
      </w:pPr>
      <w:r>
        <w:rPr>
          <w:rFonts w:cs="Times New Roman"/>
          <w:szCs w:val="24"/>
        </w:rPr>
        <w:t>Adjei-Bamfo et al (2020) opine that selection is the process of choosing the best applicant for the job and the process comprises sifting through the applications, drawing a short-list of candidates whose qualifications match closely with the job description (screening), inviting and interviewing these candidates, making selection decision based on selection criteria, conducting background check from referees, making an attractive job offer to selected candidates and inducting them into the organization. Employee Selection Method refers to the process or techniques such as interviews, assessments, background checks, and reference checks used by organizations to evaluate and choose the best candidate for a job position. The aim is to systematically evaluate candidates and determine their suitability for the role. Employee Selection Criteria refer to the specific qualifications, skills, attributes, and experiences required for a job position. The purpose is to define the essential and desirable requirements for the job, guiding the selection process.</w:t>
      </w:r>
    </w:p>
    <w:p w14:paraId="73DEF1CA" w14:textId="77777777" w:rsidR="009F33CD" w:rsidRDefault="00E40740">
      <w:pPr>
        <w:rPr>
          <w:rFonts w:cs="Times New Roman"/>
          <w:color w:val="000000"/>
          <w:szCs w:val="24"/>
        </w:rPr>
      </w:pPr>
      <w:r>
        <w:rPr>
          <w:rFonts w:cs="Times New Roman"/>
          <w:bCs/>
          <w:szCs w:val="24"/>
        </w:rPr>
        <w:t>Additionally, Jabbour (2015) argues that</w:t>
      </w:r>
      <w:r>
        <w:rPr>
          <w:rFonts w:cs="Times New Roman"/>
          <w:szCs w:val="24"/>
        </w:rPr>
        <w:t xml:space="preserve"> d</w:t>
      </w:r>
      <w:r>
        <w:rPr>
          <w:rFonts w:cs="Times New Roman"/>
          <w:bCs/>
          <w:szCs w:val="24"/>
        </w:rPr>
        <w:t xml:space="preserve">uring the short-listing of job candidates, the best environmentally committed applicants who have shown concern with firms’ greening programs should be chosen. </w:t>
      </w:r>
      <w:r>
        <w:rPr>
          <w:rFonts w:eastAsia="TimesNewRoman" w:cs="Times New Roman"/>
          <w:bCs/>
          <w:szCs w:val="24"/>
        </w:rPr>
        <w:t xml:space="preserve">Razab </w:t>
      </w:r>
      <w:r>
        <w:rPr>
          <w:rFonts w:eastAsia="TimesNewRoman" w:cs="Times New Roman"/>
          <w:bCs/>
          <w:i/>
          <w:szCs w:val="24"/>
        </w:rPr>
        <w:t>et al</w:t>
      </w:r>
      <w:r>
        <w:rPr>
          <w:rFonts w:eastAsia="TimesNewRoman" w:cs="Times New Roman"/>
          <w:bCs/>
          <w:szCs w:val="24"/>
        </w:rPr>
        <w:t xml:space="preserve"> (2015) recommended that when </w:t>
      </w:r>
      <w:r>
        <w:rPr>
          <w:rFonts w:eastAsia="TimesNewRoman" w:cs="Times New Roman"/>
          <w:bCs/>
          <w:color w:val="000000"/>
          <w:szCs w:val="24"/>
        </w:rPr>
        <w:t xml:space="preserve">interviewing prospective job candidates, environmentally-related questions should be asked as an important interview criterion. Further, this study concluded that this method leads to more sustainable hiring decisions and ultimately contributes to the organization’s overall environmental performance. </w:t>
      </w:r>
      <w:r>
        <w:rPr>
          <w:rFonts w:cs="Times New Roman"/>
          <w:szCs w:val="24"/>
        </w:rPr>
        <w:t xml:space="preserve">Organizations should evaluate their job applicants during interviews to determine if they have the necessary </w:t>
      </w:r>
      <w:r>
        <w:rPr>
          <w:rFonts w:cs="Times New Roman"/>
          <w:szCs w:val="24"/>
        </w:rPr>
        <w:lastRenderedPageBreak/>
        <w:t xml:space="preserve">environmental competencies needed to perform a specific job (Wehrmeyer, 2017). Managers of organizations must employ certain screening methods that ensure that only job applicants who are sensitive and committed to environmental concerns are shortlisted for interview. </w:t>
      </w:r>
      <w:r>
        <w:rPr>
          <w:rFonts w:cs="Times New Roman"/>
          <w:bCs/>
          <w:szCs w:val="24"/>
        </w:rPr>
        <w:t xml:space="preserve">Armstrong (2016) stated that selection involves deciding on the degree to which the applicant’s characteristics in terms of their education and training, experience, competencies, and qualifications match the job requirements. Establishing an employer brand as a green employer is an effective way to attract applicants and businesses apply advertisements to promote their environmental performance, environmental policy, and environmental image, which can help persuade people to apply for such positions. Job descriptions should be designed in a way that includes the abilities and information that candidates require along with an explanation of the environmental duties and responsibilities candidates should possess to fulfil those roles (Chaudhary, 2020). </w:t>
      </w:r>
    </w:p>
    <w:p w14:paraId="4AEEDA27" w14:textId="77777777" w:rsidR="009F33CD" w:rsidRDefault="00E40740">
      <w:pPr>
        <w:spacing w:after="240"/>
        <w:rPr>
          <w:bCs/>
        </w:rPr>
      </w:pPr>
      <w:r>
        <w:rPr>
          <w:bCs/>
        </w:rPr>
        <w:t>Wehrmeyer (2017) defines green selection as the process of picking or hiring individuals who are likely to be committed and sensitive to environmental issues that have the potential for environmental sustainability. Furthermore, organizations should ensure that the green selection method is used to screen job applicants to establish if they possess the required competences for the performance of specific jobs</w:t>
      </w:r>
      <w:bookmarkStart w:id="361" w:name="_Hlk176452894"/>
      <w:r>
        <w:rPr>
          <w:bCs/>
        </w:rPr>
        <w:t xml:space="preserve">. </w:t>
      </w:r>
      <w:bookmarkEnd w:id="361"/>
      <w:r>
        <w:rPr>
          <w:bCs/>
        </w:rPr>
        <w:t>A green Job description should be drawn up containing specific green tasks and responsibilities; use of green information technological system; including environmental issues in the selection; assessing the job candidate’s knowledge about green branding activities of the organization; drawing a short-list of candidates who commitment to environmental issues and finally making a decision and induction. Green induction is about using technology such as Webcams to induct new employees. This is a green technology that may be used to save time, energy, and carbon emissions associated with travels to an employer’s premises for an interview.</w:t>
      </w:r>
    </w:p>
    <w:p w14:paraId="4833E91A" w14:textId="77777777" w:rsidR="009F33CD" w:rsidRDefault="00E40740">
      <w:pPr>
        <w:spacing w:before="240" w:after="240"/>
        <w:rPr>
          <w:bCs/>
        </w:rPr>
      </w:pPr>
      <w:r>
        <w:rPr>
          <w:bCs/>
        </w:rPr>
        <w:t xml:space="preserve"> The selection criterion should be based on ranking the candidates’ performance and the high-quality individual with key environmental skills required to perform a specific job and has demonstrated commitment and sensitivity to environmental issues should be considered for employment and contacted through e-mail or telephone. Green selection is a method used to identify, evaluate, and verify a job applicant’s eco-</w:t>
      </w:r>
      <w:r>
        <w:rPr>
          <w:bCs/>
        </w:rPr>
        <w:lastRenderedPageBreak/>
        <w:t xml:space="preserve">friendly values and sensitivity to environment-related concerns (Masri &amp; Jaaron, 2017). </w:t>
      </w:r>
      <w:bookmarkStart w:id="362" w:name="_Hlk174871608"/>
      <w:r>
        <w:rPr>
          <w:bCs/>
        </w:rPr>
        <w:t>Therefore, the job applicant’s overall suitability criteria for the job should be based on the candidate’s green qualifications</w:t>
      </w:r>
      <w:bookmarkEnd w:id="362"/>
      <w:r>
        <w:rPr>
          <w:bCs/>
        </w:rPr>
        <w:t xml:space="preserve">. </w:t>
      </w:r>
    </w:p>
    <w:p w14:paraId="0A82699C" w14:textId="77777777" w:rsidR="009F33CD" w:rsidRDefault="00E40740">
      <w:pPr>
        <w:spacing w:before="240" w:after="240"/>
        <w:rPr>
          <w:bCs/>
        </w:rPr>
      </w:pPr>
      <w:r>
        <w:rPr>
          <w:bCs/>
        </w:rPr>
        <w:t xml:space="preserve">According to Armstrong (2016), two or more people gathered together to interview one candidate may be described as an ‘interviewing panel’. Selection boards are more formal and, usually, larger interviewing panels are convened because there are a number of parties interested in the selection decision. Their only advantage is that they enable a number of different people to have a look at the applicants and compare notes on the spot. The disadvantages are that the questions tend to be unplanned and delivered at random, the prejudices of a dominating member of the board can overwhelm the judgments of the other members, and the candidates are unable to do justice to them because they are seldom allowed to expand. Selection boards tend to favour the confident and articulate candidate, but in doing so they may miss the underlying weaknesses of a superficially impressive individual. </w:t>
      </w:r>
      <w:r>
        <w:rPr>
          <w:rFonts w:cs="Times New Roman"/>
          <w:szCs w:val="24"/>
        </w:rPr>
        <w:t>Khadijah (2015) argues that the County Public Service Board (CPSB) is responsible for the efficient recruitment of health workers. This covers the need determination, drawing of deployment plans, planning of the process, sourcing, selecting, hiring, and deployment of staff. The CPSB coordinates recruitment activities and ensures that the County Health Department achieves its objectives.</w:t>
      </w:r>
      <w:r>
        <w:rPr>
          <w:rFonts w:cs="Times New Roman"/>
          <w:b/>
          <w:bCs/>
          <w:szCs w:val="24"/>
        </w:rPr>
        <w:t xml:space="preserve"> </w:t>
      </w:r>
    </w:p>
    <w:p w14:paraId="481A2D02" w14:textId="77777777" w:rsidR="009F33CD" w:rsidRDefault="00E40740" w:rsidP="00542524">
      <w:pPr>
        <w:pStyle w:val="Heading3"/>
      </w:pPr>
      <w:bookmarkStart w:id="363" w:name="_Toc165626326"/>
      <w:bookmarkStart w:id="364" w:name="_Toc178944984"/>
      <w:bookmarkStart w:id="365" w:name="_Toc178944232"/>
      <w:bookmarkStart w:id="366" w:name="_Toc185614022"/>
      <w:bookmarkStart w:id="367" w:name="_Toc178939580"/>
      <w:bookmarkStart w:id="368" w:name="_Toc188130580"/>
      <w:bookmarkStart w:id="369" w:name="_Toc188442553"/>
      <w:bookmarkStart w:id="370" w:name="_Toc529115549"/>
      <w:bookmarkStart w:id="371" w:name="_Toc4148584"/>
      <w:bookmarkStart w:id="372" w:name="_Toc529121490"/>
      <w:bookmarkStart w:id="373" w:name="_Toc178942575"/>
      <w:bookmarkStart w:id="374" w:name="_Toc188443927"/>
      <w:bookmarkStart w:id="375" w:name="_Toc178940534"/>
      <w:bookmarkStart w:id="376" w:name="_Toc165623545"/>
      <w:bookmarkStart w:id="377" w:name="_Toc187080792"/>
      <w:bookmarkStart w:id="378" w:name="_Toc147950190"/>
      <w:bookmarkStart w:id="379" w:name="_Toc224160617"/>
      <w:bookmarkStart w:id="380" w:name="_Toc224237677"/>
      <w:r>
        <w:t>2.3.2 Green Training</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 xml:space="preserve"> </w:t>
      </w:r>
    </w:p>
    <w:p w14:paraId="2F3D8D6E" w14:textId="77777777" w:rsidR="005A1A83" w:rsidRDefault="00E40740">
      <w:pPr>
        <w:spacing w:before="240"/>
        <w:rPr>
          <w:rFonts w:cs="Times New Roman"/>
          <w:bCs/>
          <w:color w:val="000000"/>
          <w:szCs w:val="24"/>
        </w:rPr>
      </w:pPr>
      <w:r>
        <w:rPr>
          <w:rFonts w:cs="Times New Roman"/>
          <w:bCs/>
          <w:color w:val="000000"/>
          <w:szCs w:val="24"/>
        </w:rPr>
        <w:t xml:space="preserve">Green training is conceptualized as a process that involves the impacting of eco-friendly skills, knowledge, ability, and behavior that enhance the employees’ productivity and positive attitude towards the job and environment. </w:t>
      </w:r>
      <w:r w:rsidR="002E2825" w:rsidRPr="002E2825">
        <w:rPr>
          <w:rFonts w:cs="Times New Roman"/>
          <w:bCs/>
          <w:color w:val="000000"/>
          <w:szCs w:val="24"/>
        </w:rPr>
        <w:t>Green training refers to educational initiatives designed to teach staff about eco-friendly workplace practices, with the aim of reducing the environmental footprint of business operations (Song et al., 2020).</w:t>
      </w:r>
      <w:r w:rsidR="002E2825">
        <w:rPr>
          <w:rFonts w:cs="Times New Roman"/>
          <w:bCs/>
          <w:color w:val="000000"/>
          <w:szCs w:val="24"/>
        </w:rPr>
        <w:t xml:space="preserve"> </w:t>
      </w:r>
      <w:r>
        <w:rPr>
          <w:rFonts w:cs="Times New Roman"/>
          <w:bCs/>
          <w:color w:val="000000"/>
          <w:szCs w:val="24"/>
        </w:rPr>
        <w:t>Global shift towards environmental sustainability in recent years has underscored the importance of GHRM practices across all sectors including healthcare services. One of the elements of this shift is green training which involves equipping employees with knowledge, skills and attitudes necessary for environmentally responsible behaviour and practices at work.</w:t>
      </w:r>
      <w:r>
        <w:rPr>
          <w:rFonts w:asciiTheme="minorHAnsi" w:hAnsiTheme="minorHAnsi"/>
          <w:kern w:val="2"/>
          <w:sz w:val="22"/>
          <w:szCs w:val="22"/>
          <w14:ligatures w14:val="standardContextual"/>
        </w:rPr>
        <w:t xml:space="preserve"> </w:t>
      </w:r>
      <w:r>
        <w:rPr>
          <w:rFonts w:cs="Times New Roman"/>
          <w:bCs/>
          <w:color w:val="000000"/>
          <w:szCs w:val="24"/>
        </w:rPr>
        <w:t xml:space="preserve">In the context of </w:t>
      </w:r>
      <w:r>
        <w:rPr>
          <w:rFonts w:cs="Times New Roman"/>
          <w:bCs/>
          <w:color w:val="000000"/>
          <w:szCs w:val="24"/>
        </w:rPr>
        <w:lastRenderedPageBreak/>
        <w:t xml:space="preserve">Kenya’s devolved healthcare services, however, the incorporation of green training remains minimal, inconsistent, and under-researched. </w:t>
      </w:r>
    </w:p>
    <w:p w14:paraId="6767776C" w14:textId="77777777" w:rsidR="009F33CD" w:rsidRDefault="00E40740">
      <w:pPr>
        <w:spacing w:before="240"/>
        <w:rPr>
          <w:rFonts w:cs="Times New Roman"/>
          <w:bCs/>
          <w:color w:val="000000"/>
          <w:szCs w:val="24"/>
        </w:rPr>
      </w:pPr>
      <w:r>
        <w:rPr>
          <w:rFonts w:cs="Times New Roman"/>
          <w:szCs w:val="24"/>
        </w:rPr>
        <w:t>According to Zoogah (201</w:t>
      </w:r>
      <w:r w:rsidR="000B6FB9">
        <w:rPr>
          <w:rFonts w:cs="Times New Roman"/>
          <w:szCs w:val="24"/>
        </w:rPr>
        <w:t>8</w:t>
      </w:r>
      <w:r>
        <w:rPr>
          <w:rFonts w:cs="Times New Roman"/>
          <w:szCs w:val="24"/>
        </w:rPr>
        <w:t>), the purpose of green t</w:t>
      </w:r>
      <w:r>
        <w:rPr>
          <w:rFonts w:cs="Times New Roman"/>
          <w:bCs/>
          <w:szCs w:val="24"/>
        </w:rPr>
        <w:t xml:space="preserve">raining is to activate the attention of </w:t>
      </w:r>
      <w:r>
        <w:rPr>
          <w:rFonts w:eastAsia="TimesNewRoman" w:cs="Times New Roman"/>
          <w:bCs/>
          <w:szCs w:val="24"/>
        </w:rPr>
        <w:t>employees by imparting knowledge, and skills and creating a positive attitude in them towards environmental management</w:t>
      </w:r>
      <w:r>
        <w:rPr>
          <w:rFonts w:cs="Times New Roman"/>
          <w:bCs/>
          <w:szCs w:val="24"/>
        </w:rPr>
        <w:t xml:space="preserve">. </w:t>
      </w:r>
      <w:r>
        <w:rPr>
          <w:rFonts w:eastAsia="TimesNewRoman" w:cs="Times New Roman"/>
          <w:bCs/>
          <w:szCs w:val="24"/>
        </w:rPr>
        <w:t xml:space="preserve">Green training comes from the wider concept of green whose purpose is to create environmental awareness alongside human resource practices which will lead to environmental sustainability. Any tailor-made </w:t>
      </w:r>
      <w:r>
        <w:rPr>
          <w:rFonts w:cs="Times New Roman"/>
          <w:bCs/>
          <w:szCs w:val="24"/>
        </w:rPr>
        <w:t>green training usually educates employees on the value of proper management of the environment, trains employees on better work methods that may conserve energy, and reduce waste, and provide opportunities for employee involvement in issues of managing the environment</w:t>
      </w:r>
      <w:r>
        <w:rPr>
          <w:rFonts w:cs="Times New Roman"/>
          <w:szCs w:val="24"/>
        </w:rPr>
        <w:t xml:space="preserve">. Some studies (Dadzie </w:t>
      </w:r>
      <w:r>
        <w:rPr>
          <w:rFonts w:cs="Times New Roman"/>
          <w:i/>
          <w:iCs/>
          <w:szCs w:val="24"/>
        </w:rPr>
        <w:t>eta al,</w:t>
      </w:r>
      <w:r>
        <w:rPr>
          <w:rFonts w:cs="Times New Roman"/>
          <w:szCs w:val="24"/>
        </w:rPr>
        <w:t xml:space="preserve"> 2022) identify that Kenyan clinical training and human resources programs remain rooted in traditional competencies, with little integration of green skills such as waste segregation, eco</w:t>
      </w:r>
      <w:r>
        <w:rPr>
          <w:rFonts w:cs="Times New Roman"/>
          <w:szCs w:val="24"/>
        </w:rPr>
        <w:noBreakHyphen/>
        <w:t>procurement, energy or water conservation practices, and broader sustainability-oriented behaviors in health facilities.</w:t>
      </w:r>
      <w:r>
        <w:t xml:space="preserve"> </w:t>
      </w:r>
    </w:p>
    <w:p w14:paraId="075D487F" w14:textId="77777777" w:rsidR="005A1A83" w:rsidRDefault="00E40740">
      <w:pPr>
        <w:spacing w:before="240"/>
        <w:rPr>
          <w:rFonts w:eastAsia="TimesNewRoman" w:cs="Times New Roman"/>
          <w:bCs/>
          <w:szCs w:val="24"/>
        </w:rPr>
      </w:pPr>
      <w:r>
        <w:rPr>
          <w:rFonts w:cs="Times New Roman"/>
          <w:szCs w:val="24"/>
        </w:rPr>
        <w:t xml:space="preserve">Green training is oriented toward providing green skills, knowledge, and competencies for developing health facilities through the use of methods, processes, and techniques associated with improving performance and environmental management. </w:t>
      </w:r>
      <w:r>
        <w:rPr>
          <w:rFonts w:eastAsia="TimesNewRoman" w:cs="Times New Roman"/>
          <w:bCs/>
          <w:szCs w:val="24"/>
        </w:rPr>
        <w:t xml:space="preserve">Mandip (2012) opined that a green training program can give the organization a competitive advantage because it covers different environmental risks. </w:t>
      </w:r>
    </w:p>
    <w:p w14:paraId="20B2F6F2" w14:textId="77777777" w:rsidR="009F33CD" w:rsidRDefault="00E40740">
      <w:pPr>
        <w:spacing w:before="240"/>
        <w:rPr>
          <w:rFonts w:eastAsia="TimesNewRoman" w:cs="Times New Roman"/>
          <w:bCs/>
          <w:szCs w:val="24"/>
        </w:rPr>
      </w:pPr>
      <w:r>
        <w:rPr>
          <w:rFonts w:eastAsia="TimesNewRoman" w:cs="Times New Roman"/>
          <w:bCs/>
          <w:szCs w:val="24"/>
        </w:rPr>
        <w:t xml:space="preserve">Employees require environmental training so that they can contribute to environmentally friendly initiatives (Mishra, 2017) and mitigate climate change (Neto et al, 2014). Daily </w:t>
      </w:r>
      <w:r>
        <w:rPr>
          <w:rFonts w:eastAsia="TimesNewRoman" w:cs="Times New Roman"/>
          <w:bCs/>
          <w:i/>
          <w:szCs w:val="24"/>
        </w:rPr>
        <w:t>et al,</w:t>
      </w:r>
      <w:r>
        <w:rPr>
          <w:rFonts w:eastAsia="TimesNewRoman" w:cs="Times New Roman"/>
          <w:bCs/>
          <w:szCs w:val="24"/>
        </w:rPr>
        <w:t xml:space="preserve"> (2012) argue that organizations can achieve their objective of greening if they adopt green training. The customized green training program includes management of waste and recycling, enhancement of environmental knowledge about future environmental risks, safety, and energy saving in offices. </w:t>
      </w:r>
    </w:p>
    <w:p w14:paraId="0CB86E58" w14:textId="77777777" w:rsidR="009F33CD" w:rsidRDefault="00E40740">
      <w:pPr>
        <w:spacing w:before="240"/>
        <w:rPr>
          <w:rFonts w:cs="Times New Roman"/>
          <w:szCs w:val="24"/>
        </w:rPr>
      </w:pPr>
      <w:r>
        <w:rPr>
          <w:rFonts w:cs="Times New Roman"/>
          <w:szCs w:val="24"/>
        </w:rPr>
        <w:t xml:space="preserve">According to Arulrajah </w:t>
      </w:r>
      <w:r>
        <w:rPr>
          <w:rFonts w:cs="Times New Roman"/>
          <w:i/>
          <w:iCs/>
          <w:szCs w:val="24"/>
        </w:rPr>
        <w:t>et al</w:t>
      </w:r>
      <w:r>
        <w:rPr>
          <w:rFonts w:cs="Times New Roman"/>
          <w:szCs w:val="24"/>
        </w:rPr>
        <w:t xml:space="preserve"> (2015), some organizations conduct specific green induction for their new employees. The information provided during induction is usually about the company's environmental management policy, HR practices, and performance standards. Sometimes, organizations do design green training programs </w:t>
      </w:r>
      <w:r>
        <w:rPr>
          <w:rFonts w:cs="Times New Roman"/>
          <w:szCs w:val="24"/>
        </w:rPr>
        <w:lastRenderedPageBreak/>
        <w:t xml:space="preserve">for old employees who are then used to orient or induct new employees. Opatha (2013) adds that new employees should familiarize themselves with the greening initiatives of the organization and at the same time they should be encouraged together with existing employees to engage and participate in green interpersonal citizenship behavior. </w:t>
      </w:r>
      <w:r>
        <w:rPr>
          <w:rFonts w:eastAsia="TimesNewRoman" w:cs="Times New Roman"/>
          <w:bCs/>
          <w:szCs w:val="24"/>
        </w:rPr>
        <w:t xml:space="preserve">According to </w:t>
      </w:r>
      <w:r>
        <w:rPr>
          <w:rFonts w:cs="Times New Roman"/>
          <w:szCs w:val="24"/>
        </w:rPr>
        <w:t>Rawashdeh</w:t>
      </w:r>
      <w:r>
        <w:rPr>
          <w:rFonts w:eastAsia="TimesNewRoman" w:cs="Times New Roman"/>
          <w:szCs w:val="24"/>
        </w:rPr>
        <w:t xml:space="preserve"> </w:t>
      </w:r>
      <w:r>
        <w:rPr>
          <w:rFonts w:eastAsia="TimesNewRomanPSMT" w:cs="Times New Roman"/>
          <w:bCs/>
          <w:szCs w:val="24"/>
        </w:rPr>
        <w:t>(2018),</w:t>
      </w:r>
      <w:r>
        <w:rPr>
          <w:rFonts w:cs="Times New Roman"/>
          <w:szCs w:val="24"/>
        </w:rPr>
        <w:t xml:space="preserve"> green induction training should be designed and provided through technology such as a webcam to provide new employees with information about Environmental Management and sustainability. </w:t>
      </w:r>
    </w:p>
    <w:p w14:paraId="1A6DE3F0" w14:textId="77777777" w:rsidR="009F33CD" w:rsidRDefault="00E40740">
      <w:pPr>
        <w:rPr>
          <w:rFonts w:eastAsia="TimesNewRoman" w:cs="Times New Roman"/>
          <w:bCs/>
          <w:szCs w:val="24"/>
        </w:rPr>
      </w:pPr>
      <w:r>
        <w:rPr>
          <w:rFonts w:cs="Times New Roman"/>
          <w:szCs w:val="24"/>
        </w:rPr>
        <w:t>Green training programs may inform the new employees of the green initiatives pursued by the organization, for example, the reduction of the emission of greenhouse gases (Mehta &amp; Chugan, 2015)</w:t>
      </w:r>
      <w:r>
        <w:rPr>
          <w:rFonts w:cs="Times New Roman"/>
          <w:bCs/>
          <w:szCs w:val="24"/>
        </w:rPr>
        <w:t xml:space="preserve">. </w:t>
      </w:r>
      <w:r>
        <w:rPr>
          <w:rFonts w:eastAsia="TimesNewRoman" w:cs="Times New Roman"/>
          <w:bCs/>
          <w:szCs w:val="24"/>
        </w:rPr>
        <w:t xml:space="preserve">Renwick </w:t>
      </w:r>
      <w:r>
        <w:rPr>
          <w:rFonts w:eastAsia="TimesNewRoman" w:cs="Times New Roman"/>
          <w:bCs/>
          <w:i/>
          <w:szCs w:val="24"/>
        </w:rPr>
        <w:t>et al.</w:t>
      </w:r>
      <w:r>
        <w:rPr>
          <w:rFonts w:eastAsia="TimesNewRoman" w:cs="Times New Roman"/>
          <w:bCs/>
          <w:szCs w:val="24"/>
        </w:rPr>
        <w:t xml:space="preserve"> (201</w:t>
      </w:r>
      <w:r w:rsidR="0005444F">
        <w:rPr>
          <w:rFonts w:eastAsia="TimesNewRoman" w:cs="Times New Roman"/>
          <w:bCs/>
          <w:szCs w:val="24"/>
        </w:rPr>
        <w:t>6</w:t>
      </w:r>
      <w:r>
        <w:rPr>
          <w:rFonts w:eastAsia="TimesNewRoman" w:cs="Times New Roman"/>
          <w:bCs/>
          <w:szCs w:val="24"/>
        </w:rPr>
        <w:t xml:space="preserve">) recommended that in order to enjoy environmental protection, certain HR practices such as training on efficient recycling of energy, management of company waste, green workplace, and green job rotation should be included in the organization’s training program that is designed for potential green managers. Green training assists in determining the sources and ways of utilizing available organization resources to create a peaceful and harmonious atmosphere for sustainability performance. The new employee should be oriented on organizational policies, practices, and green values regarding environmental management and performance.    </w:t>
      </w:r>
    </w:p>
    <w:p w14:paraId="04CE29FC" w14:textId="77777777" w:rsidR="005A1A83" w:rsidRDefault="00E40740">
      <w:pPr>
        <w:rPr>
          <w:rFonts w:eastAsia="TimesNewRoman" w:cs="Times New Roman"/>
          <w:bCs/>
          <w:szCs w:val="24"/>
        </w:rPr>
      </w:pPr>
      <w:r>
        <w:rPr>
          <w:rFonts w:eastAsia="TimesNewRoman" w:cs="Times New Roman"/>
          <w:bCs/>
          <w:szCs w:val="24"/>
        </w:rPr>
        <w:t xml:space="preserve">Management in devolved healthcare services can conduct training on best practices for healthcare waste minimization, generation and segregation, and eco-friendly disposal methods. Reducing, re-using and recycling should be encouraged among healthcare employees because these practices will create a cleaner and safe environment for employees and the community. Training needs assessment should be conducted to aid in designing training programs that can achieve the best desirable environmental benefits for the organization (Cherian &amp; Jacob, 2012). </w:t>
      </w:r>
    </w:p>
    <w:p w14:paraId="742D5A12" w14:textId="77777777" w:rsidR="009F33CD" w:rsidRDefault="00E40740">
      <w:pPr>
        <w:rPr>
          <w:rStyle w:val="A3"/>
          <w:rFonts w:cs="Times New Roman"/>
          <w:szCs w:val="24"/>
        </w:rPr>
      </w:pPr>
      <w:r>
        <w:rPr>
          <w:rFonts w:cs="Times New Roman"/>
          <w:szCs w:val="24"/>
        </w:rPr>
        <w:t>Zoogah (201</w:t>
      </w:r>
      <w:r w:rsidR="000B6FB9">
        <w:rPr>
          <w:rFonts w:cs="Times New Roman"/>
          <w:szCs w:val="24"/>
        </w:rPr>
        <w:t>8</w:t>
      </w:r>
      <w:r>
        <w:rPr>
          <w:rFonts w:cs="Times New Roman"/>
          <w:szCs w:val="24"/>
        </w:rPr>
        <w:t>) argued that training modules should be designed and implemented to educate employees on issues of environmental management</w:t>
      </w:r>
      <w:r>
        <w:rPr>
          <w:rFonts w:cs="Times New Roman"/>
          <w:bCs/>
          <w:szCs w:val="24"/>
        </w:rPr>
        <w:t xml:space="preserve">. </w:t>
      </w:r>
      <w:r>
        <w:rPr>
          <w:rFonts w:cs="Times New Roman"/>
          <w:color w:val="000000"/>
          <w:szCs w:val="24"/>
        </w:rPr>
        <w:t xml:space="preserve">A study conducted by Owino and Kwasira (2016) at Menengai Oil Refinery in Nakuru, found that employee green training and development programs had little effect on the sustainability of the environment. Further, the study concluded that eco-friendly training offered were not </w:t>
      </w:r>
      <w:r>
        <w:rPr>
          <w:rFonts w:cs="Times New Roman"/>
          <w:color w:val="000000"/>
          <w:szCs w:val="24"/>
        </w:rPr>
        <w:lastRenderedPageBreak/>
        <w:t xml:space="preserve">sufficient to equip employees with the necessary skills and knowledge to enhance environmental sustainability. </w:t>
      </w:r>
    </w:p>
    <w:p w14:paraId="0AE56738" w14:textId="77777777" w:rsidR="009F33CD" w:rsidRDefault="00E40740">
      <w:pPr>
        <w:rPr>
          <w:rFonts w:cs="Times New Roman"/>
          <w:bCs/>
          <w:szCs w:val="24"/>
        </w:rPr>
      </w:pPr>
      <w:r>
        <w:rPr>
          <w:rFonts w:eastAsia="TimesNewRoman" w:cs="Times New Roman"/>
          <w:bCs/>
          <w:szCs w:val="24"/>
        </w:rPr>
        <w:t xml:space="preserve">Green training is important in carrying out environmental management in organizations (Gupta, 2018). </w:t>
      </w:r>
      <w:r>
        <w:rPr>
          <w:rFonts w:cs="Times New Roman"/>
          <w:szCs w:val="24"/>
        </w:rPr>
        <w:t>The provision of training about environmental sustainability is an important function of green human resource management because it helps in developing highly needed skills and knowledge among organizational employees and managers (</w:t>
      </w:r>
      <w:r>
        <w:rPr>
          <w:rFonts w:eastAsia="TimesNewRoman" w:cs="Times New Roman"/>
          <w:szCs w:val="24"/>
        </w:rPr>
        <w:t>Arulrajah</w:t>
      </w:r>
      <w:r>
        <w:rPr>
          <w:rFonts w:cs="Times New Roman"/>
          <w:bCs/>
          <w:szCs w:val="24"/>
        </w:rPr>
        <w:t xml:space="preserve"> </w:t>
      </w:r>
      <w:r>
        <w:rPr>
          <w:rFonts w:cs="Times New Roman"/>
          <w:bCs/>
          <w:i/>
          <w:szCs w:val="24"/>
        </w:rPr>
        <w:t>et al</w:t>
      </w:r>
      <w:r>
        <w:rPr>
          <w:rFonts w:cs="Times New Roman"/>
          <w:bCs/>
          <w:szCs w:val="24"/>
        </w:rPr>
        <w:t>., 2015)</w:t>
      </w:r>
      <w:r>
        <w:rPr>
          <w:rFonts w:cs="Times New Roman"/>
          <w:szCs w:val="24"/>
        </w:rPr>
        <w:t>.</w:t>
      </w:r>
      <w:r>
        <w:rPr>
          <w:rFonts w:cs="Times New Roman"/>
          <w:bCs/>
          <w:szCs w:val="24"/>
        </w:rPr>
        <w:t xml:space="preserve"> The basic objective of green training is usually to establish a match between an employee and his job to improve knowledge, skills, and attitude towards the corporate environment thus enabling the employee to be more effective in his current job or prepare him for future tasks and assignment.</w:t>
      </w:r>
    </w:p>
    <w:p w14:paraId="1DB57A6E" w14:textId="77777777" w:rsidR="009F33CD" w:rsidRDefault="00E40740">
      <w:pPr>
        <w:rPr>
          <w:rFonts w:cs="Times New Roman"/>
          <w:szCs w:val="24"/>
        </w:rPr>
      </w:pPr>
      <w:r>
        <w:rPr>
          <w:rFonts w:cs="Times New Roman"/>
          <w:bCs/>
          <w:szCs w:val="24"/>
        </w:rPr>
        <w:t>Green training and development programs aim to educate employees on the importance of environmental management. These programs teach employees energy-saving practices, waste-reduction techniques, and how to spread environmental awareness within the organization. They also provide opportunities for employees to participate in solving environmental problems (Zoogah, 201</w:t>
      </w:r>
      <w:r w:rsidR="00F17A6E">
        <w:rPr>
          <w:rFonts w:cs="Times New Roman"/>
          <w:bCs/>
          <w:szCs w:val="24"/>
        </w:rPr>
        <w:t>8</w:t>
      </w:r>
      <w:r>
        <w:rPr>
          <w:rFonts w:cs="Times New Roman"/>
          <w:bCs/>
          <w:szCs w:val="24"/>
        </w:rPr>
        <w:t>).</w:t>
      </w:r>
      <w:r>
        <w:rPr>
          <w:rFonts w:cs="Times New Roman"/>
          <w:szCs w:val="24"/>
        </w:rPr>
        <w:t xml:space="preserve"> Jackson </w:t>
      </w:r>
      <w:r>
        <w:rPr>
          <w:rFonts w:cs="Times New Roman"/>
          <w:i/>
          <w:szCs w:val="24"/>
        </w:rPr>
        <w:t>et al</w:t>
      </w:r>
      <w:r>
        <w:rPr>
          <w:rFonts w:cs="Times New Roman"/>
          <w:szCs w:val="24"/>
        </w:rPr>
        <w:t xml:space="preserve"> (2011) opined that training that encourages waste management; recycling and supports telecommuting and flexible work schedules; and encourages short-distance business travel is very important because it enables individuals to reduce environmental pollution. The organization can also conduct seminars and workshops for employees as a strategy for creating environmental awareness and achieving good environmental performance. The devolved healthcare services should develop training programs using information communication technology to create networked care. Networked care is about a seamless exchange of health information required to increase the quality of healthcare while lowering costs and reducing the time needed for accessing health information. </w:t>
      </w:r>
    </w:p>
    <w:p w14:paraId="56269272" w14:textId="77777777" w:rsidR="009F33CD" w:rsidRDefault="00E40740">
      <w:pPr>
        <w:rPr>
          <w:rFonts w:cs="Times New Roman"/>
          <w:bCs/>
          <w:szCs w:val="24"/>
        </w:rPr>
      </w:pPr>
      <w:r>
        <w:rPr>
          <w:rFonts w:cs="Times New Roman"/>
          <w:bCs/>
          <w:iCs/>
          <w:szCs w:val="24"/>
        </w:rPr>
        <w:t>A study conducted by Prasad (2013) recommended that j</w:t>
      </w:r>
      <w:r>
        <w:rPr>
          <w:rFonts w:cs="Times New Roman"/>
          <w:bCs/>
          <w:szCs w:val="24"/>
        </w:rPr>
        <w:t xml:space="preserve">ob rotation in green assignments should be included in the career advancement plans of future talented green managers. Green training content should be designed in a way that will increase employee competencies and knowledge on matters of environmental management. The organization should develop and encourage the use of online and web-based </w:t>
      </w:r>
      <w:r>
        <w:rPr>
          <w:rFonts w:cs="Times New Roman"/>
          <w:bCs/>
          <w:szCs w:val="24"/>
        </w:rPr>
        <w:lastRenderedPageBreak/>
        <w:t xml:space="preserve">training modules and interactive media as training tools for environment management training and for other HR functional areas. Training managers and employees should rely more on </w:t>
      </w:r>
      <w:r>
        <w:rPr>
          <w:rFonts w:cs="Times New Roman"/>
          <w:szCs w:val="24"/>
        </w:rPr>
        <w:t xml:space="preserve">E-resources such as staff manuals and case studies, HR policies, environment protection policies, and organization policies, e-books should be online for staff rather than printed handouts. This practice will reduce paper use and hence lead to the protection of the environment. </w:t>
      </w:r>
    </w:p>
    <w:p w14:paraId="20CCFA01" w14:textId="77777777" w:rsidR="009F33CD" w:rsidRDefault="00E40740">
      <w:pPr>
        <w:spacing w:before="240"/>
        <w:rPr>
          <w:rFonts w:cs="Times New Roman"/>
          <w:szCs w:val="24"/>
        </w:rPr>
      </w:pPr>
      <w:r>
        <w:rPr>
          <w:rFonts w:cs="Times New Roman"/>
          <w:szCs w:val="24"/>
        </w:rPr>
        <w:t xml:space="preserve">Environmental education should also be provided to employees and managers to change their attitude and behaviour towards eco-friendly practices. For example, a study in Singapore’s Fuji Xerox found that every other employee usually goes through eco-awareness training, while employees in the sales department are educated on the green aspects of the products and supplies of the company. Some organizations are also known for planning and celebrating the annual environmental day at the organizational level by organizing and executing many competitive programs that involve all employees and their children. The celebration of organization environmental day helps to inculcate certain key eco-values among the employees and their family members as well (Aton </w:t>
      </w:r>
      <w:r>
        <w:rPr>
          <w:rFonts w:cs="Times New Roman"/>
          <w:i/>
          <w:szCs w:val="24"/>
        </w:rPr>
        <w:t>et al,</w:t>
      </w:r>
      <w:r>
        <w:rPr>
          <w:rFonts w:cs="Times New Roman"/>
          <w:szCs w:val="24"/>
        </w:rPr>
        <w:t xml:space="preserve"> 2015).</w:t>
      </w:r>
    </w:p>
    <w:p w14:paraId="729FC2FD" w14:textId="77777777" w:rsidR="009F33CD" w:rsidRDefault="00E40740">
      <w:pPr>
        <w:spacing w:before="240"/>
        <w:rPr>
          <w:rFonts w:eastAsia="TimesNewRomanPSMT" w:cs="Times New Roman"/>
          <w:bCs/>
          <w:szCs w:val="24"/>
        </w:rPr>
      </w:pPr>
      <w:r>
        <w:rPr>
          <w:rFonts w:cs="Times New Roman"/>
          <w:szCs w:val="24"/>
        </w:rPr>
        <w:t xml:space="preserve">Green training improves the employee’s capability to understand problems regarding the environment and helps develop an efficient understanding of how work practices influence the environment (Roscoe et al., 2019). </w:t>
      </w:r>
      <w:r>
        <w:rPr>
          <w:rFonts w:eastAsia="TimesNewRomanPSMT" w:cs="Times New Roman"/>
          <w:bCs/>
          <w:szCs w:val="24"/>
        </w:rPr>
        <w:t xml:space="preserve">According to Zakaria (2012), performance of the organization is associated with the training of employees to achieve organizational objectives and goals more effectively. The capability to acquire new knowledge and attitudes can be produced among employees through training and development. </w:t>
      </w:r>
      <w:r>
        <w:rPr>
          <w:rFonts w:cs="Times New Roman"/>
          <w:bCs/>
          <w:szCs w:val="24"/>
        </w:rPr>
        <w:t xml:space="preserve">Renwick </w:t>
      </w:r>
      <w:r>
        <w:rPr>
          <w:rFonts w:cs="Times New Roman"/>
          <w:bCs/>
          <w:i/>
          <w:szCs w:val="24"/>
        </w:rPr>
        <w:t>et al</w:t>
      </w:r>
      <w:r>
        <w:rPr>
          <w:rFonts w:cs="Times New Roman"/>
          <w:bCs/>
          <w:szCs w:val="24"/>
        </w:rPr>
        <w:t>, (2013) recommended certain green training practices that produce green employees. Green training programs, unlike traditional training, include the concepts of management of waste and recycling, saving energy, and employee safety measures. The purpose of a green training program is to create environmental awareness and knowledge among employees about emerging environmental issues and risks that affect the organization. A program of green training may assist employees with knowledge of the importance of environmental protection and therefore be able to effectively engage themselves in pro-environmental actions.</w:t>
      </w:r>
    </w:p>
    <w:p w14:paraId="760860D0" w14:textId="77777777" w:rsidR="009F33CD" w:rsidRDefault="00E40740">
      <w:pPr>
        <w:spacing w:before="240"/>
        <w:rPr>
          <w:rFonts w:cs="Times New Roman"/>
          <w:szCs w:val="24"/>
        </w:rPr>
      </w:pPr>
      <w:r>
        <w:rPr>
          <w:rFonts w:cs="Times New Roman"/>
          <w:bCs/>
          <w:szCs w:val="24"/>
        </w:rPr>
        <w:lastRenderedPageBreak/>
        <w:t xml:space="preserve"> </w:t>
      </w:r>
      <w:r>
        <w:rPr>
          <w:rFonts w:cs="Times New Roman"/>
          <w:bCs/>
          <w:color w:val="000000"/>
          <w:szCs w:val="24"/>
        </w:rPr>
        <w:t xml:space="preserve">Environmental-related education, training, and development are key areas of green HRM without which materializing targeted environmental performance of an organization would be very difficult to attain.  </w:t>
      </w:r>
      <w:r>
        <w:rPr>
          <w:rFonts w:cs="Times New Roman"/>
          <w:szCs w:val="24"/>
        </w:rPr>
        <w:t>According to Opatha and Nawaratne (2015) some organizations mainly analyze and identify the environmental training needs of employees by conducting environmental training needs analysis of the employees.</w:t>
      </w:r>
      <w:bookmarkStart w:id="381" w:name="_Hlk183560775"/>
      <w:r>
        <w:rPr>
          <w:rFonts w:cs="Times New Roman"/>
          <w:szCs w:val="24"/>
        </w:rPr>
        <w:t xml:space="preserve"> Organizations then conduct intensive and systematic education, training, and development programs for their employees to enhance good organization performance and environmental management (Opatha, 2013)</w:t>
      </w:r>
      <w:bookmarkEnd w:id="381"/>
      <w:r>
        <w:rPr>
          <w:rFonts w:cs="Times New Roman"/>
          <w:szCs w:val="24"/>
        </w:rPr>
        <w:t xml:space="preserve">. </w:t>
      </w:r>
      <w:r>
        <w:rPr>
          <w:rFonts w:cs="Times New Roman"/>
          <w:bCs/>
          <w:szCs w:val="24"/>
        </w:rPr>
        <w:t xml:space="preserve">Wallen </w:t>
      </w:r>
      <w:r>
        <w:rPr>
          <w:rFonts w:cs="Times New Roman"/>
          <w:bCs/>
          <w:i/>
          <w:iCs/>
          <w:szCs w:val="24"/>
        </w:rPr>
        <w:t xml:space="preserve">et al </w:t>
      </w:r>
      <w:r>
        <w:rPr>
          <w:rFonts w:cs="Times New Roman"/>
          <w:bCs/>
          <w:szCs w:val="24"/>
        </w:rPr>
        <w:t>(2013) opine that training is administered in two ways namely: on-the-job training method whereby employees are given training at their place of work and off-the-job training whereby employees are provided with the training away from their place of work. On-the-job training is a simple and cost-effective way of training employees. It can be done through job rotation, job enlargement, and job coaching. Off-the-job training method, on the other hand, is provided outside the organization in the form of seminars, lectures, workshops, and conferences. Off-the-job training method is costly to an organization, but when training a large number of employees, it is cost-effective.</w:t>
      </w:r>
      <w:r>
        <w:rPr>
          <w:rFonts w:cs="Times New Roman"/>
          <w:szCs w:val="24"/>
        </w:rPr>
        <w:t xml:space="preserve"> </w:t>
      </w:r>
    </w:p>
    <w:p w14:paraId="3A7703F9" w14:textId="77777777" w:rsidR="009F33CD" w:rsidRDefault="00E40740">
      <w:pPr>
        <w:rPr>
          <w:rFonts w:eastAsia="TimesNewRoman" w:cs="Times New Roman"/>
          <w:bCs/>
          <w:color w:val="000000"/>
          <w:szCs w:val="24"/>
        </w:rPr>
      </w:pPr>
      <w:r>
        <w:rPr>
          <w:rFonts w:eastAsia="TimesNewRoman" w:cs="Times New Roman"/>
          <w:bCs/>
          <w:szCs w:val="24"/>
        </w:rPr>
        <w:t>According to</w:t>
      </w:r>
      <w:r>
        <w:rPr>
          <w:rFonts w:cs="Times New Roman"/>
          <w:bCs/>
          <w:color w:val="000000"/>
          <w:szCs w:val="24"/>
        </w:rPr>
        <w:t xml:space="preserve"> Bhutto and Auranzeb (2016), </w:t>
      </w:r>
      <w:r>
        <w:rPr>
          <w:rFonts w:eastAsia="TimesNewRoman" w:cs="Times New Roman"/>
          <w:bCs/>
          <w:szCs w:val="24"/>
        </w:rPr>
        <w:t>green training allows employees to use their work-related skills such as mitigation of wastage, and expertise in environmental protection and literacy in accordance with the organization's green standards. There exists a direct and significant relationship between training and development and organizational performance because these trainings develop skills and knowledge of the employee, which can then translate into achievement of organizational goals and sustainable performance. There are a number of factors that lead to the failure of environmental training programs. These factors include the unwillingness of the trainer to include issues of a green environment in the training, inefficient demand and need analysis, and lack of perceived or actual commitment to training objectives by top leadership, management, and employees.  Therefore, environmental training initiatives can be improved by incorporating effective environmental learning readiness assessments among all staff</w:t>
      </w:r>
      <w:r>
        <w:rPr>
          <w:rFonts w:cs="Times New Roman"/>
          <w:bCs/>
          <w:color w:val="000000"/>
          <w:szCs w:val="24"/>
        </w:rPr>
        <w:t xml:space="preserve">. </w:t>
      </w:r>
      <w:r>
        <w:rPr>
          <w:rFonts w:eastAsia="TimesNewRoman" w:cs="Times New Roman"/>
          <w:bCs/>
          <w:color w:val="000000"/>
          <w:szCs w:val="24"/>
        </w:rPr>
        <w:t>According to</w:t>
      </w:r>
      <w:r>
        <w:rPr>
          <w:rFonts w:eastAsia="TimesNewRoman" w:cs="Times New Roman"/>
          <w:bCs/>
          <w:color w:val="222222"/>
          <w:szCs w:val="24"/>
        </w:rPr>
        <w:t xml:space="preserve"> Jabbour (2019</w:t>
      </w:r>
      <w:r>
        <w:rPr>
          <w:rFonts w:eastAsia="TimesNewRoman" w:cs="Times New Roman"/>
          <w:bCs/>
          <w:color w:val="000000"/>
          <w:szCs w:val="24"/>
        </w:rPr>
        <w:t xml:space="preserve">) environmental training is a key tool for developing human resources because as Zooger (2011) notes, it activates attention and knowledge among individuals toward concerns about the </w:t>
      </w:r>
      <w:r>
        <w:rPr>
          <w:rFonts w:eastAsia="TimesNewRoman" w:cs="Times New Roman"/>
          <w:bCs/>
          <w:color w:val="000000"/>
          <w:szCs w:val="24"/>
        </w:rPr>
        <w:lastRenderedPageBreak/>
        <w:t>environment, creates a positive attitude, takes a proactive approach to greening activities, and building competencies in saving energy and reducing waste.</w:t>
      </w:r>
    </w:p>
    <w:p w14:paraId="02E03D67" w14:textId="77777777" w:rsidR="005A1A83" w:rsidRDefault="00E40740">
      <w:pPr>
        <w:rPr>
          <w:rFonts w:cs="Times New Roman"/>
          <w:bCs/>
          <w:szCs w:val="24"/>
        </w:rPr>
      </w:pPr>
      <w:r>
        <w:rPr>
          <w:rFonts w:cs="Times New Roman"/>
          <w:bCs/>
          <w:szCs w:val="24"/>
        </w:rPr>
        <w:t xml:space="preserve">A number of studies have been done on the effect of green training on performance. </w:t>
      </w:r>
      <w:bookmarkStart w:id="382" w:name="_Hlk186723561"/>
      <w:r>
        <w:rPr>
          <w:rFonts w:cs="Times New Roman"/>
          <w:bCs/>
          <w:szCs w:val="24"/>
        </w:rPr>
        <w:t>Oliveira (2016) elaborated that green training is a very important factor as it helps to save energy, decrease environmental impact, improve environmental awareness among employees in the organization, and focus on a sustainable environment</w:t>
      </w:r>
      <w:bookmarkEnd w:id="382"/>
      <w:r>
        <w:rPr>
          <w:rFonts w:cs="Times New Roman"/>
          <w:bCs/>
          <w:szCs w:val="24"/>
        </w:rPr>
        <w:t xml:space="preserve">. Green training is important in enhancing employee green behaviour as they work towards attaining green objectives and goals. In addition, green training practices assist organizations in organizing environmentally oriented teams that develop processes that enhance organizational performance. </w:t>
      </w:r>
    </w:p>
    <w:p w14:paraId="6FA05901" w14:textId="77777777" w:rsidR="009F33CD" w:rsidRDefault="00E40740">
      <w:pPr>
        <w:rPr>
          <w:rFonts w:cs="Times New Roman"/>
          <w:bCs/>
          <w:szCs w:val="24"/>
        </w:rPr>
      </w:pPr>
      <w:r>
        <w:rPr>
          <w:rFonts w:cs="Times New Roman"/>
          <w:bCs/>
          <w:szCs w:val="24"/>
        </w:rPr>
        <w:t>According to Armstrong (2016), formal approaches to management development should include:</w:t>
      </w:r>
      <w:r>
        <w:rPr>
          <w:rFonts w:cs="Times New Roman"/>
          <w:bCs/>
          <w:color w:val="000000"/>
          <w:szCs w:val="24"/>
        </w:rPr>
        <w:t xml:space="preserve"> Coaching and mentoring, the use of performance management processes to provide feedback and satisfy development needs, formal internal and external training, job rotation that gives experience, taking part in project teams or task groups, and secondment to other outside the organizations.</w:t>
      </w:r>
      <w:r>
        <w:rPr>
          <w:rFonts w:cs="Times New Roman"/>
          <w:bCs/>
          <w:szCs w:val="24"/>
        </w:rPr>
        <w:t xml:space="preserve"> Informal approaches to management development make use of the learning experiences that managers come across during their everyday work. Managers also learn at the workplace as they face unusual problems or tasks that require solutions. Longenecker (2010), found the existence of a positive relationship between training programs and employee motivation which makes the employees more involved in their jobs and subsequently results in better individual performance and organizational productivity. </w:t>
      </w:r>
    </w:p>
    <w:p w14:paraId="75836B3B" w14:textId="77777777" w:rsidR="009F33CD" w:rsidRDefault="00E40740">
      <w:pPr>
        <w:rPr>
          <w:rFonts w:cs="Times New Roman"/>
          <w:bCs/>
          <w:szCs w:val="24"/>
        </w:rPr>
      </w:pPr>
      <w:r>
        <w:rPr>
          <w:rFonts w:cs="Times New Roman"/>
          <w:bCs/>
          <w:szCs w:val="24"/>
        </w:rPr>
        <w:t xml:space="preserve">A study by Guni (2015) on the effects of off-the-job training and organizational productivity in Kenya’s Christian Medical and Dental Association revealed that off-the-job training has a positive impact on organizational productivity. It is therefore evident that off-the-job training is important in improving job performance which leads to improved productivity. While determining the impact of training on employee job performance in the Ugandan Banking Sector, Amos and Natamba (2015) revealed that off-the-job training has a significant positive effect on employee performance. Taruru, Keriko, Ombui, Karanja, and Tirimba (2015) investigated the effect of coaching Programs on employee performance and the reduction of staff attrition in the </w:t>
      </w:r>
      <w:r>
        <w:rPr>
          <w:rFonts w:cs="Times New Roman"/>
          <w:bCs/>
          <w:szCs w:val="24"/>
        </w:rPr>
        <w:lastRenderedPageBreak/>
        <w:t>BPO industry in Nairobi, Kenya. The study findings indicated that coaching increases average employee performance and helps team members identify their strengths and weaknesses. Ofobruku and Nwakoby (2015) conducted a study in Nigeria on the effect of mentoring on employees' performance in Selected Family Business in Abuja. The study found that mentorship programs had a significant positive correlation with employee performance in the organization.</w:t>
      </w:r>
    </w:p>
    <w:p w14:paraId="4DB5AE8B" w14:textId="77777777" w:rsidR="009F33CD" w:rsidRDefault="00E40740" w:rsidP="00542524">
      <w:pPr>
        <w:pStyle w:val="Heading3"/>
      </w:pPr>
      <w:bookmarkStart w:id="383" w:name="_Toc188443928"/>
      <w:bookmarkStart w:id="384" w:name="_Toc165626327"/>
      <w:bookmarkStart w:id="385" w:name="_Toc178942576"/>
      <w:bookmarkStart w:id="386" w:name="_Toc178944985"/>
      <w:bookmarkStart w:id="387" w:name="_Toc188130581"/>
      <w:bookmarkStart w:id="388" w:name="_Toc185614023"/>
      <w:bookmarkStart w:id="389" w:name="_Toc178940535"/>
      <w:bookmarkStart w:id="390" w:name="_Toc187080793"/>
      <w:bookmarkStart w:id="391" w:name="_Toc188442554"/>
      <w:bookmarkStart w:id="392" w:name="_Toc178939581"/>
      <w:bookmarkStart w:id="393" w:name="_Toc165623546"/>
      <w:bookmarkStart w:id="394" w:name="_Toc178944233"/>
      <w:bookmarkStart w:id="395" w:name="_Toc147950191"/>
      <w:bookmarkStart w:id="396" w:name="_Toc224160618"/>
      <w:bookmarkStart w:id="397" w:name="_Toc224237678"/>
      <w:bookmarkStart w:id="398" w:name="_Toc529115550"/>
      <w:bookmarkStart w:id="399" w:name="_Toc4148585"/>
      <w:bookmarkStart w:id="400" w:name="_Toc529121491"/>
      <w:r>
        <w:t>2.3.3 Green Occupational Safety and Health</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4DF5EAEE" w14:textId="77777777" w:rsidR="005A1A83" w:rsidRDefault="00E40740" w:rsidP="00542524">
      <w:pPr>
        <w:rPr>
          <w:rStyle w:val="A4"/>
          <w:rFonts w:cs="Times New Roman"/>
          <w:color w:val="auto"/>
          <w:sz w:val="24"/>
          <w:szCs w:val="24"/>
        </w:rPr>
      </w:pPr>
      <w:r>
        <w:rPr>
          <w:rStyle w:val="A4"/>
          <w:rFonts w:cs="Times New Roman"/>
          <w:sz w:val="24"/>
          <w:szCs w:val="24"/>
        </w:rPr>
        <w:t xml:space="preserve">The study conceptualizes that green occupational safety and health through proper and eco-friendly waste disposal methods; effective green safety measures; and green buildings with eco-friendly design and construction may reduce the waste of water and energy, improve overall indoor air quality, and protect biodiversity that enhances performance of devolved healthcare services. Green buildings involve the application of clean design principles such installation of double-glazed </w:t>
      </w:r>
      <w:r>
        <w:rPr>
          <w:rStyle w:val="A4"/>
          <w:rFonts w:cs="Times New Roman"/>
          <w:color w:val="auto"/>
          <w:sz w:val="24"/>
          <w:szCs w:val="24"/>
        </w:rPr>
        <w:t>windows, effective shading, energy- saving lighting, low-energy heating and cooling systems, and utilizing solar energy (</w:t>
      </w:r>
      <w:r>
        <w:t>Leal Filho et al., 2024</w:t>
      </w:r>
      <w:r>
        <w:rPr>
          <w:rStyle w:val="A4"/>
          <w:rFonts w:cs="Times New Roman"/>
          <w:color w:val="auto"/>
          <w:sz w:val="24"/>
          <w:szCs w:val="24"/>
        </w:rPr>
        <w:t xml:space="preserve">). </w:t>
      </w:r>
    </w:p>
    <w:p w14:paraId="6E427D88" w14:textId="77777777" w:rsidR="009F33CD" w:rsidRDefault="00E40740" w:rsidP="00542524">
      <w:r>
        <w:rPr>
          <w:rStyle w:val="A4"/>
          <w:rFonts w:cs="Times New Roman"/>
          <w:sz w:val="24"/>
          <w:szCs w:val="24"/>
        </w:rPr>
        <w:t xml:space="preserve">According to WHO (2010), Occupational safety and health at the workplace is about promoting and protecting the health, safety, and welfare of individuals engaged in work or employment. It is a multi-disciplinary activity targeting four basic aspects namely: </w:t>
      </w:r>
      <w:bookmarkStart w:id="401" w:name="_Hlk174032956"/>
      <w:r>
        <w:rPr>
          <w:rStyle w:val="A4"/>
          <w:rFonts w:cs="Times New Roman"/>
          <w:sz w:val="24"/>
          <w:szCs w:val="24"/>
        </w:rPr>
        <w:t>the protection and promotion of workers’ health by preventing and controlling occupational diseases and accidents; the development and promotion of healthy and safe work, work environments, and work organizations</w:t>
      </w:r>
      <w:bookmarkEnd w:id="401"/>
      <w:r>
        <w:rPr>
          <w:rStyle w:val="A4"/>
          <w:rFonts w:cs="Times New Roman"/>
          <w:sz w:val="24"/>
          <w:szCs w:val="24"/>
        </w:rPr>
        <w:t xml:space="preserve">; enhancement of physical, mental, and social well-being of workers; and </w:t>
      </w:r>
      <w:bookmarkStart w:id="402" w:name="_Hlk174033440"/>
      <w:r>
        <w:rPr>
          <w:rStyle w:val="A4"/>
          <w:rFonts w:cs="Times New Roman"/>
          <w:sz w:val="24"/>
          <w:szCs w:val="24"/>
        </w:rPr>
        <w:t>enabling workers to conduct socially and economically productive lives and to contribute positively to sustainable development</w:t>
      </w:r>
      <w:bookmarkEnd w:id="402"/>
      <w:r>
        <w:rPr>
          <w:rStyle w:val="A4"/>
          <w:rFonts w:cs="Times New Roman"/>
          <w:sz w:val="24"/>
          <w:szCs w:val="24"/>
        </w:rPr>
        <w:t>. G</w:t>
      </w:r>
      <w:r>
        <w:t xml:space="preserve">reen safety and health management is about the traditional safety and health management of HRM in the organization with some more components of environmental management of an organization. This is why Renwick </w:t>
      </w:r>
      <w:r>
        <w:rPr>
          <w:i/>
        </w:rPr>
        <w:t>et al</w:t>
      </w:r>
      <w:r>
        <w:t xml:space="preserve">, (2013) suggested that organizations should ensure that new employees know and practice their environmental responsibilities, safety, and health concerns, embrace the corporate environmental culture, and adopt environmental policy and practices of the organization. </w:t>
      </w:r>
    </w:p>
    <w:p w14:paraId="07D6B8C8" w14:textId="77777777" w:rsidR="009F33CD" w:rsidRDefault="00E40740">
      <w:pPr>
        <w:pStyle w:val="Default"/>
        <w:spacing w:line="360" w:lineRule="auto"/>
        <w:jc w:val="both"/>
        <w:rPr>
          <w:color w:val="auto"/>
        </w:rPr>
      </w:pPr>
      <w:r>
        <w:rPr>
          <w:color w:val="auto"/>
        </w:rPr>
        <w:lastRenderedPageBreak/>
        <w:t xml:space="preserve">Energy consumption in Level Five Hospitals is known to be high with carbon emissions from the use of that energy; disposal of waste and transportation. </w:t>
      </w:r>
      <w:bookmarkStart w:id="403" w:name="_Hlk174874383"/>
      <w:r>
        <w:rPr>
          <w:color w:val="auto"/>
        </w:rPr>
        <w:t>Bouzid et al. (2021) noted that hospitals contribute a bigger percentage of solid and liquid effluent to the environment especially a high rate of wastewater pollutants that infect human health and the environment. World Health Organization (2017) found that the health sector was a major contributor of pollution to the environment and emission of health risk hazards such as toxic chemicals, radioactive, and water wastes</w:t>
      </w:r>
      <w:bookmarkEnd w:id="403"/>
      <w:r>
        <w:rPr>
          <w:color w:val="auto"/>
        </w:rPr>
        <w:t xml:space="preserve">. Sustainable use of water and water quality regulations are meant to protect human health and the environment. A marked reduction of water-borne diseases and other negative impacts of wastewater pollution can be achieved if proper enforcement of water quality regulations is adhered to. Adopting energy-efficient methods and reducing medical waste generation can lead to reduced energy costs and reduced carbon footprint of Level Five healthcare providers. </w:t>
      </w:r>
    </w:p>
    <w:p w14:paraId="537B7333" w14:textId="77777777" w:rsidR="009F33CD" w:rsidRDefault="00E40740">
      <w:pPr>
        <w:pStyle w:val="Default"/>
        <w:spacing w:before="240" w:line="360" w:lineRule="auto"/>
        <w:jc w:val="both"/>
        <w:rPr>
          <w:color w:val="auto"/>
        </w:rPr>
      </w:pPr>
      <w:r>
        <w:rPr>
          <w:bCs/>
        </w:rPr>
        <w:t xml:space="preserve">Level Five Hospitals can optimize their water supply system by using water-efficient ways such as water-saving toilets or low-flow faucets. It is necessary to minimize water use, recycle wastewater, and where possible treat effluent water before disposal into the environment. </w:t>
      </w:r>
      <w:r>
        <w:rPr>
          <w:color w:val="auto"/>
        </w:rPr>
        <w:t xml:space="preserve">Green human resource management practices in healthcare can improve the quality of services by providing employees with a safe and healthier environment. A positive work environment for employees and patients can be achieved if green buildings are designed to allow natural lighting and adequate ventilation. The concept of cleaner indoor air contributes to healthier living and working environments, reducing the risk of respiratory issues and allergies for occupants. Green human resource management practices can result in direct and indirect financial savings which translate to improved performance of healthcare facilities. Involving employees in green practices can significantly reduce environmental degradation and pollution. </w:t>
      </w:r>
    </w:p>
    <w:p w14:paraId="41FF3B40" w14:textId="77777777" w:rsidR="009F33CD" w:rsidRDefault="00E40740">
      <w:pPr>
        <w:rPr>
          <w:bCs/>
        </w:rPr>
      </w:pPr>
      <w:r>
        <w:t>Green procurement practices in healthcare can ensure that medical products are sourced and used in an eco-friendly manner. In mitigating environmental pollution, it is necessary to properly manage medical waste from healthcare facilitie</w:t>
      </w:r>
      <w:bookmarkStart w:id="404" w:name="_Hlk174092447"/>
      <w:r>
        <w:t>s and</w:t>
      </w:r>
      <w:r>
        <w:rPr>
          <w:bCs/>
          <w:lang w:val="en-US"/>
        </w:rPr>
        <w:t xml:space="preserve"> integrate sustainable practices like energy efficiency, water conservation, or green building in health infrastructure design.</w:t>
      </w:r>
      <w:r>
        <w:rPr>
          <w:bCs/>
        </w:rPr>
        <w:t xml:space="preserve"> </w:t>
      </w:r>
      <w:r>
        <w:rPr>
          <w:rStyle w:val="A4"/>
          <w:rFonts w:cs="Times New Roman"/>
          <w:sz w:val="24"/>
          <w:szCs w:val="24"/>
        </w:rPr>
        <w:t xml:space="preserve">According to Subhani (2010), many organizations acknowledge that occupational safety and health management systems usually reduce </w:t>
      </w:r>
      <w:r>
        <w:rPr>
          <w:rStyle w:val="A4"/>
          <w:rFonts w:cs="Times New Roman"/>
          <w:sz w:val="24"/>
          <w:szCs w:val="24"/>
        </w:rPr>
        <w:lastRenderedPageBreak/>
        <w:t>accidents and injury rates, while at the same time, it improves the organization's productivity</w:t>
      </w:r>
      <w:bookmarkEnd w:id="404"/>
      <w:r>
        <w:rPr>
          <w:rStyle w:val="A4"/>
          <w:rFonts w:cs="Times New Roman"/>
          <w:sz w:val="24"/>
          <w:szCs w:val="24"/>
        </w:rPr>
        <w:t xml:space="preserve">. </w:t>
      </w:r>
      <w:r>
        <w:t xml:space="preserve">Ministry of </w:t>
      </w:r>
      <w:r>
        <w:rPr>
          <w:rStyle w:val="A4"/>
          <w:rFonts w:cs="Times New Roman"/>
          <w:sz w:val="24"/>
          <w:szCs w:val="24"/>
        </w:rPr>
        <w:t xml:space="preserve">Health (MoH) is committed to creating a safe work environment that promotes safety and health practices and seeks to prevent any occurrence of hazards associated with work and the work environment (MoH, 2014). Occupational Safety and Health Act (2017) </w:t>
      </w:r>
      <w:r w:rsidR="005A1A83">
        <w:rPr>
          <w:rStyle w:val="A4"/>
          <w:rFonts w:cs="Times New Roman"/>
          <w:sz w:val="24"/>
          <w:szCs w:val="24"/>
        </w:rPr>
        <w:t>provide</w:t>
      </w:r>
      <w:r>
        <w:rPr>
          <w:rStyle w:val="A4"/>
          <w:rFonts w:cs="Times New Roman"/>
          <w:sz w:val="24"/>
          <w:szCs w:val="24"/>
        </w:rPr>
        <w:t xml:space="preserve"> for the involvement of employees and stakeholders in decisions that may affect their safety and health in the work environment while managers will participate in consultation with employees on matters of safety and health following agreed procedures. </w:t>
      </w:r>
      <w:r>
        <w:rPr>
          <w:rFonts w:eastAsia="TimesNewRoman"/>
          <w:bCs/>
          <w:color w:val="222222"/>
        </w:rPr>
        <w:t>Pillai and Sivathanu (2014</w:t>
      </w:r>
      <w:r>
        <w:rPr>
          <w:rFonts w:eastAsia="TimesNewRoman"/>
          <w:bCs/>
        </w:rPr>
        <w:t>) opined green initiatives</w:t>
      </w:r>
      <w:r>
        <w:rPr>
          <w:bCs/>
        </w:rPr>
        <w:t xml:space="preserve"> such as recycling campaigns, paper drives, and educational programs can be driven by HR personnel because they can contribute to a cleaner environment and save time and money.</w:t>
      </w:r>
      <w:r>
        <w:t xml:space="preserve"> Greening initiatives such as reducing, reusing, and recycling waste, as well as strict waste segregation, are inadequate in Level five hospitals in Kenya.</w:t>
      </w:r>
      <w:r>
        <w:rPr>
          <w:bCs/>
        </w:rPr>
        <w:t xml:space="preserve"> Additionally, </w:t>
      </w:r>
      <w:r>
        <w:t xml:space="preserve">providing devolved healthcare services in Kenya can promote electronic access to healthcare by putting in place digital platforms to improve interaction between the patient and the clinician. </w:t>
      </w:r>
    </w:p>
    <w:p w14:paraId="7790EA47" w14:textId="77777777" w:rsidR="009F33CD" w:rsidRDefault="00E40740">
      <w:pPr>
        <w:pStyle w:val="Default"/>
        <w:spacing w:line="360" w:lineRule="auto"/>
        <w:jc w:val="both"/>
        <w:rPr>
          <w:color w:val="auto"/>
        </w:rPr>
      </w:pPr>
      <w:r>
        <w:t>An emphasis on paperless services whereby the clinicians are encouraged to write patient notes and prescriptions using a computer system should be encouraged. Clinicians’ workload, revenue collections, and expenditure, supplies, and administrative communications should be done online through the intranet. Used paper should be reused at the back to reduce clutter in office cabinets and waste, while patients are encouraged to pay for services online through M-pesa. Employees doing well in these areas of greening for a safe environment should be recognized.</w:t>
      </w:r>
      <w:r>
        <w:rPr>
          <w:rFonts w:eastAsiaTheme="minorHAnsi"/>
          <w:color w:val="auto"/>
          <w:lang w:eastAsia="en-US" w:bidi="ar-SA"/>
        </w:rPr>
        <w:t xml:space="preserve"> </w:t>
      </w:r>
      <w:r>
        <w:t>A clean environment is one that is characterized by reduced negative impact of human activities, such as air pollution, water pollution, soil contamination, and deforestation (WHO, 2012).</w:t>
      </w:r>
    </w:p>
    <w:p w14:paraId="0D789271" w14:textId="77777777" w:rsidR="009F33CD" w:rsidRDefault="00E40740">
      <w:pPr>
        <w:rPr>
          <w:rStyle w:val="A3"/>
          <w:rFonts w:cs="Times New Roman"/>
          <w:szCs w:val="24"/>
        </w:rPr>
      </w:pPr>
      <w:r>
        <w:rPr>
          <w:rFonts w:cs="Times New Roman"/>
          <w:szCs w:val="24"/>
        </w:rPr>
        <w:t xml:space="preserve">Devolved Healthcare service organizations may also employ a Health, Safety, and Environment Officer who can deal with all matters of occupational health, safety, and environmental biodiversity protection and community support activities. The main role of green occupational safety and health management is to create and sustain a green workplace. Although the management of the environment involves some costs, it leads to the improvement of the health of employees and local communities; it </w:t>
      </w:r>
      <w:r>
        <w:rPr>
          <w:rFonts w:cs="Times New Roman"/>
          <w:szCs w:val="24"/>
        </w:rPr>
        <w:lastRenderedPageBreak/>
        <w:t>enhances the image of the organization as a better green employer and improves corporate citizenship (</w:t>
      </w:r>
      <w:r>
        <w:rPr>
          <w:rFonts w:eastAsia="TimesNewRoman" w:cs="Times New Roman"/>
          <w:szCs w:val="24"/>
        </w:rPr>
        <w:t>Arulrajah</w:t>
      </w:r>
      <w:r>
        <w:rPr>
          <w:rFonts w:cs="Times New Roman"/>
          <w:bCs/>
          <w:szCs w:val="24"/>
        </w:rPr>
        <w:t xml:space="preserve"> </w:t>
      </w:r>
      <w:r>
        <w:rPr>
          <w:rFonts w:cs="Times New Roman"/>
          <w:bCs/>
          <w:i/>
          <w:szCs w:val="24"/>
        </w:rPr>
        <w:t>et al</w:t>
      </w:r>
      <w:r>
        <w:rPr>
          <w:rFonts w:cs="Times New Roman"/>
          <w:bCs/>
          <w:szCs w:val="24"/>
        </w:rPr>
        <w:t>., 2015)</w:t>
      </w:r>
      <w:r>
        <w:rPr>
          <w:rFonts w:cs="Times New Roman"/>
          <w:szCs w:val="24"/>
        </w:rPr>
        <w:t>.</w:t>
      </w:r>
      <w:r>
        <w:rPr>
          <w:rFonts w:cs="Times New Roman"/>
          <w:bCs/>
          <w:color w:val="000000"/>
          <w:szCs w:val="24"/>
        </w:rPr>
        <w:t xml:space="preserve"> </w:t>
      </w:r>
      <w:r>
        <w:rPr>
          <w:rStyle w:val="A3"/>
          <w:rFonts w:cs="Times New Roman"/>
          <w:szCs w:val="24"/>
        </w:rPr>
        <w:t xml:space="preserve">Devolved healthcare service organizations should organize cleanliness and eco-friendly waste management at the workplace and the surrounding society should be made aware of the organization’s green concerns. </w:t>
      </w:r>
    </w:p>
    <w:p w14:paraId="6596BB36" w14:textId="77777777" w:rsidR="009F33CD" w:rsidRDefault="00E40740">
      <w:pPr>
        <w:rPr>
          <w:bCs/>
        </w:rPr>
      </w:pPr>
      <w:bookmarkStart w:id="405" w:name="_Toc187080794"/>
      <w:bookmarkStart w:id="406" w:name="_Toc185614024"/>
      <w:r>
        <w:t>In general, g</w:t>
      </w:r>
      <w:bookmarkEnd w:id="405"/>
      <w:bookmarkEnd w:id="406"/>
      <w:r>
        <w:t>reening is essential for organizations because it serves to minimize global warming; reduces natural disasters; minimizes pollution that can lead to health diseases and problems</w:t>
      </w:r>
      <w:r>
        <w:rPr>
          <w:rStyle w:val="A3"/>
          <w:rFonts w:cs="Times New Roman"/>
          <w:szCs w:val="24"/>
        </w:rPr>
        <w:t xml:space="preserve"> for humans and other creatures; and ensures the survival of man and organizations.</w:t>
      </w:r>
      <w:r>
        <w:rPr>
          <w:bCs/>
        </w:rPr>
        <w:t xml:space="preserve"> </w:t>
      </w:r>
      <w:r>
        <w:t xml:space="preserve">One of the biggest concerns to the public's wellness is the prevalence of illnesses and injuries at the workplace (Konijn et al., 2018). In 2017, the International Labor Organization (ILO) released a report that stated that injuries and illnesses linked to the workplace claim the lives of more than 2.78 million employees annually. Prolonged impairments, diminished capacity to execute job responsibilities, premature retirement, healthcare costs, presenteeism, absenteeism, and fatalities are the gravest adverse effects of workplace injuries and accidents. These effects led to the loss of global gross domestic product and accounted for 1.8 percent to six percent of GDP in different nations (Caffaro </w:t>
      </w:r>
      <w:r>
        <w:rPr>
          <w:i/>
          <w:iCs/>
        </w:rPr>
        <w:t>et al.,</w:t>
      </w:r>
      <w:r>
        <w:t xml:space="preserve"> 2018). </w:t>
      </w:r>
      <w:r>
        <w:rPr>
          <w:bCs/>
        </w:rPr>
        <w:t xml:space="preserve">According to </w:t>
      </w:r>
      <w:bookmarkStart w:id="407" w:name="_Hlk175250601"/>
      <w:r>
        <w:rPr>
          <w:bCs/>
        </w:rPr>
        <w:t>Nnebue (2014), favorable working conditions for the performance of health workers is necessary for providing maternal healthcare services. This study, furthermore found that inadequacy of equipment and essential drugs combined with high workload and lack of professional retraining are frequently reported factors responsible for low motivation and poor performance of health workers providing services to pregnant women.</w:t>
      </w:r>
      <w:bookmarkEnd w:id="407"/>
      <w:r>
        <w:rPr>
          <w:bCs/>
        </w:rPr>
        <w:t xml:space="preserve"> </w:t>
      </w:r>
    </w:p>
    <w:p w14:paraId="6298EF5D" w14:textId="77777777" w:rsidR="005A1A83" w:rsidRDefault="00E40740">
      <w:pPr>
        <w:spacing w:before="240"/>
        <w:rPr>
          <w:rFonts w:cs="Times New Roman"/>
          <w:bCs/>
          <w:szCs w:val="24"/>
        </w:rPr>
      </w:pPr>
      <w:r>
        <w:rPr>
          <w:rFonts w:cs="Times New Roman"/>
          <w:bCs/>
          <w:szCs w:val="24"/>
        </w:rPr>
        <w:t>Devolved Healthcare service organizations can also put in place water-saving technologies such as low-flow faucets, use of hand sterilizing liquid, water dispensers rather than bottled water and train employees on water minimization and recycling techniques. This will create a team of green employees which reduces water use, minimizes pollution, and eventually this will lead to environmental protection and conservation.</w:t>
      </w:r>
      <w:bookmarkStart w:id="408" w:name="_Hlk187759477"/>
      <w:r>
        <w:rPr>
          <w:rFonts w:cs="Times New Roman"/>
          <w:bCs/>
          <w:szCs w:val="24"/>
        </w:rPr>
        <w:t xml:space="preserve"> </w:t>
      </w:r>
      <w:r>
        <w:rPr>
          <w:color w:val="000000"/>
          <w:sz w:val="22"/>
          <w:szCs w:val="22"/>
          <w:shd w:val="clear" w:color="auto" w:fill="FFFFFF"/>
        </w:rPr>
        <w:t>G</w:t>
      </w:r>
      <w:r>
        <w:rPr>
          <w:rFonts w:cs="Times New Roman"/>
          <w:bCs/>
          <w:szCs w:val="24"/>
        </w:rPr>
        <w:t xml:space="preserve">reen building refers to the practice of designing, constructing, operating, and removing buildings in certain ways that reduce pollution and conserve natural resources (Liu </w:t>
      </w:r>
      <w:r>
        <w:rPr>
          <w:rFonts w:cs="Times New Roman"/>
          <w:bCs/>
          <w:i/>
          <w:iCs/>
          <w:szCs w:val="24"/>
        </w:rPr>
        <w:t>et al.,</w:t>
      </w:r>
      <w:r>
        <w:rPr>
          <w:rFonts w:cs="Times New Roman"/>
          <w:bCs/>
          <w:szCs w:val="24"/>
        </w:rPr>
        <w:t xml:space="preserve"> 2020).</w:t>
      </w:r>
      <w:bookmarkEnd w:id="408"/>
      <w:r>
        <w:rPr>
          <w:rFonts w:cs="Times New Roman"/>
          <w:bCs/>
          <w:szCs w:val="24"/>
        </w:rPr>
        <w:t xml:space="preserve"> </w:t>
      </w:r>
    </w:p>
    <w:p w14:paraId="2023C071" w14:textId="77777777" w:rsidR="009F33CD" w:rsidRDefault="00E40740">
      <w:pPr>
        <w:spacing w:before="240"/>
      </w:pPr>
      <w:r>
        <w:rPr>
          <w:rFonts w:cs="Times New Roman"/>
          <w:bCs/>
          <w:szCs w:val="24"/>
        </w:rPr>
        <w:lastRenderedPageBreak/>
        <w:t xml:space="preserve">Green buildings consist of eco-friendly features that can improve indoor air quality, ventilation, and lighting and, therefore, boost employee well-being. Devolved healthcare service organizations should design or redesign their buildings to have wide windows and other openings to allow employees to use natural light where possible and reduce the use of electricity thereby reducing electricity bills and conserving energy. Green building integrates water conserving features such as rainwater harvesting systems, natural lighting, and designing landscapes with native, drought resistant plants, grass and flowers that can reduce irrigation needs and carbon footprint. Clinician consultation rooms and patient wards should be partitioned using glass and aluminium bars or car-teens instead of traditionally enclosed permanent rooms. This helps employees to breathe natural fresh air and this minimizes infection and ensures the safety and health of staff and patients. </w:t>
      </w:r>
    </w:p>
    <w:p w14:paraId="169A79FB" w14:textId="77777777" w:rsidR="009F33CD" w:rsidRDefault="00E40740">
      <w:pPr>
        <w:spacing w:before="240"/>
        <w:rPr>
          <w:rFonts w:cs="Times New Roman"/>
          <w:bCs/>
          <w:szCs w:val="24"/>
        </w:rPr>
      </w:pPr>
      <w:r>
        <w:rPr>
          <w:rFonts w:cs="Times New Roman"/>
          <w:bCs/>
          <w:szCs w:val="24"/>
        </w:rPr>
        <w:t>H</w:t>
      </w:r>
      <w:r>
        <w:rPr>
          <w:rStyle w:val="Heading3Char"/>
          <w:b w:val="0"/>
        </w:rPr>
        <w:t>ealthcare workers usually suffer from psychological hazards such as v</w:t>
      </w:r>
      <w:r>
        <w:rPr>
          <w:rStyle w:val="A4"/>
          <w:rFonts w:cs="Times New Roman"/>
          <w:sz w:val="24"/>
          <w:szCs w:val="24"/>
        </w:rPr>
        <w:t>iolence</w:t>
      </w:r>
      <w:r>
        <w:rPr>
          <w:rStyle w:val="A4"/>
          <w:rFonts w:cs="Times New Roman"/>
          <w:b/>
          <w:sz w:val="24"/>
          <w:szCs w:val="24"/>
        </w:rPr>
        <w:t xml:space="preserve"> </w:t>
      </w:r>
      <w:r>
        <w:rPr>
          <w:rStyle w:val="A4"/>
          <w:rFonts w:cs="Times New Roman"/>
          <w:sz w:val="24"/>
          <w:szCs w:val="24"/>
        </w:rPr>
        <w:t>or aggression from patients, visitors, residents, staff, and clients which could take the form of physical, emotional, and/or mental abuse; Physical hazards that comprise extremes of temperatures, extremes of pressures, noise, vibration, and radiation; and Biohazards which refer to biological substances such as medical waste samples of a microorganism and virus that pose a threat to the health of a worker in health care facilities and community if not properly controlled (OSHA, 2017).</w:t>
      </w:r>
      <w:r>
        <w:rPr>
          <w:rFonts w:cs="Times New Roman"/>
          <w:bCs/>
          <w:szCs w:val="24"/>
        </w:rPr>
        <w:t xml:space="preserve"> Some healthcare facilities have environmental committees that help on matters of environmental protection by championing for clean and safe workplace. Employees who are innovative and have a green passion for flowering their offices should be encouraged to do so, while management embarks on flowering hospital pathways, and roads, creating and maintaining flower gardens, planting grass and trees encouraging all employees to support and protect the environment. </w:t>
      </w:r>
    </w:p>
    <w:p w14:paraId="3F465E3C" w14:textId="77777777" w:rsidR="009F33CD" w:rsidRDefault="00E40740">
      <w:pPr>
        <w:spacing w:before="240"/>
        <w:rPr>
          <w:rFonts w:cs="Times New Roman"/>
          <w:bCs/>
          <w:szCs w:val="24"/>
        </w:rPr>
      </w:pPr>
      <w:r>
        <w:rPr>
          <w:rFonts w:cs="Times New Roman"/>
          <w:bCs/>
          <w:szCs w:val="24"/>
        </w:rPr>
        <w:t xml:space="preserve">Waste management and environmental management initiatives should be embraced by all employees through employee greening activities. Proper waste management practices such as waste segregation at source using color-coded waste bins, reusing and recycling can reduce occupational hazards for employees and minimize the impact on the environment, while also ensuring efficient use of resources. Level Five Hospitals can also reduce waste by using reusable medical equipment, and recycling </w:t>
      </w:r>
      <w:r>
        <w:rPr>
          <w:rFonts w:cs="Times New Roman"/>
          <w:bCs/>
          <w:szCs w:val="24"/>
        </w:rPr>
        <w:lastRenderedPageBreak/>
        <w:t xml:space="preserve">paper and plastics. Employees can use eco-friendly cleaning products and proper disposal methods of medical waste to prevent pollution, protect employees and the environment.  Devolved healthcare services management can hold environmental awareness days to educate all employees on environmental management matters; to allow them to participate in organization-wide green activities and to encourage them to practice green activities at work and home. This will ensure a safe and healthy work environment for employees and the community where the hospital is located.   </w:t>
      </w:r>
    </w:p>
    <w:p w14:paraId="099A0BA7" w14:textId="77777777" w:rsidR="009F33CD" w:rsidRDefault="00E40740" w:rsidP="00542524">
      <w:pPr>
        <w:pStyle w:val="Heading3"/>
      </w:pPr>
      <w:bookmarkStart w:id="409" w:name="_Toc147950192"/>
      <w:bookmarkStart w:id="410" w:name="_Toc178942577"/>
      <w:bookmarkStart w:id="411" w:name="_Toc188130582"/>
      <w:bookmarkStart w:id="412" w:name="_Toc185614025"/>
      <w:bookmarkStart w:id="413" w:name="_Toc178944986"/>
      <w:bookmarkStart w:id="414" w:name="_Toc188442555"/>
      <w:bookmarkStart w:id="415" w:name="_Toc178939582"/>
      <w:bookmarkStart w:id="416" w:name="_Toc165623547"/>
      <w:bookmarkStart w:id="417" w:name="_Toc188443929"/>
      <w:bookmarkStart w:id="418" w:name="_Toc178944234"/>
      <w:bookmarkStart w:id="419" w:name="_Toc165626328"/>
      <w:bookmarkStart w:id="420" w:name="_Toc187080795"/>
      <w:bookmarkStart w:id="421" w:name="_Toc178940536"/>
      <w:bookmarkStart w:id="422" w:name="_Toc224160619"/>
      <w:bookmarkStart w:id="423" w:name="_Toc224237679"/>
      <w:r>
        <w:t>2.3.4 Green Performance Evaluation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5BDAFB3" w14:textId="77777777" w:rsidR="009F33CD" w:rsidRDefault="00E40740">
      <w:pPr>
        <w:spacing w:before="240" w:after="240"/>
        <w:rPr>
          <w:rFonts w:cs="Times New Roman"/>
          <w:bCs/>
          <w:szCs w:val="24"/>
        </w:rPr>
      </w:pPr>
      <w:r>
        <w:rPr>
          <w:rFonts w:cs="Times New Roman"/>
          <w:bCs/>
          <w:szCs w:val="24"/>
        </w:rPr>
        <w:t xml:space="preserve">Anton (2016) describes green performance evaluation as the extent to which individuals engage in environmentally friendly actions and activities that produce outcomes concerning greening over a period of time. Green performance evaluation is a method of assessing performance based on how effectively employees are contributing to a greener environment. Research by Longoni et al. (2018) and Renwick </w:t>
      </w:r>
      <w:r>
        <w:rPr>
          <w:rFonts w:cs="Times New Roman"/>
          <w:bCs/>
          <w:i/>
          <w:iCs/>
          <w:szCs w:val="24"/>
        </w:rPr>
        <w:t>et al</w:t>
      </w:r>
      <w:r>
        <w:rPr>
          <w:rFonts w:cs="Times New Roman"/>
          <w:bCs/>
          <w:szCs w:val="24"/>
        </w:rPr>
        <w:t>. (201</w:t>
      </w:r>
      <w:r w:rsidR="0005444F">
        <w:rPr>
          <w:rFonts w:cs="Times New Roman"/>
          <w:bCs/>
          <w:szCs w:val="24"/>
        </w:rPr>
        <w:t>6</w:t>
      </w:r>
      <w:r>
        <w:rPr>
          <w:rFonts w:cs="Times New Roman"/>
          <w:bCs/>
          <w:szCs w:val="24"/>
        </w:rPr>
        <w:t>) indicates that GPE has a positive impact on sustainability. Additionally, Malik et al. (2021) found that GPE significantly and positively affects sustainable performance. According to Ahmad (2015), green performance management comprises concerns related to environmental management. A Performance management system is normally needed to support green HR practices that should develop performance standards and measures of the environment. Owino and Kwasira (2016) stated that green Performance Management focuses on setting green goals for all employees, which helps turn environmental objectives into actionable plans.</w:t>
      </w:r>
    </w:p>
    <w:p w14:paraId="090A6269" w14:textId="77777777" w:rsidR="009F33CD" w:rsidRDefault="00E40740">
      <w:pPr>
        <w:spacing w:before="240" w:after="240"/>
        <w:rPr>
          <w:rFonts w:cs="Times New Roman"/>
          <w:bCs/>
          <w:szCs w:val="24"/>
        </w:rPr>
      </w:pPr>
      <w:r>
        <w:rPr>
          <w:rFonts w:cs="Times New Roman"/>
          <w:bCs/>
          <w:szCs w:val="24"/>
        </w:rPr>
        <w:t xml:space="preserve">Performance appraisal is a process of evaluating an employee’s performance relative to his or her performance standards or targets. Green performance evaluation can be defined as an assessment of the performance of an employee concerning the objectives and activities of greening or environmental sustainability over a specific period of time (Arulrajah </w:t>
      </w:r>
      <w:r>
        <w:rPr>
          <w:rFonts w:cs="Times New Roman"/>
          <w:bCs/>
          <w:i/>
          <w:szCs w:val="24"/>
        </w:rPr>
        <w:t>et al</w:t>
      </w:r>
      <w:r>
        <w:rPr>
          <w:rFonts w:cs="Times New Roman"/>
          <w:bCs/>
          <w:szCs w:val="24"/>
        </w:rPr>
        <w:t xml:space="preserve">., 2016). In developing green performance indicators, it is necessary to establish green criteria that cover such areas as environmental incidents, reduction of carbon emissions, environmental concerns, and communication regarding environmental concerns and policies. The employee green performance measurement </w:t>
      </w:r>
      <w:r>
        <w:rPr>
          <w:rFonts w:cs="Times New Roman"/>
          <w:bCs/>
          <w:szCs w:val="24"/>
        </w:rPr>
        <w:lastRenderedPageBreak/>
        <w:t xml:space="preserve">criterion should be set in such a manner that it is in line with the objective of environmental performance of the organization (Zhang, Luo, Zhang, &amp; Zhao, 2019). </w:t>
      </w:r>
    </w:p>
    <w:p w14:paraId="6E6E1DB3" w14:textId="77777777" w:rsidR="009F33CD" w:rsidRDefault="00E40740">
      <w:pPr>
        <w:spacing w:before="240" w:after="240"/>
        <w:rPr>
          <w:rFonts w:cs="Times New Roman"/>
          <w:bCs/>
          <w:szCs w:val="24"/>
        </w:rPr>
      </w:pPr>
      <w:r>
        <w:rPr>
          <w:rFonts w:cs="Times New Roman"/>
          <w:bCs/>
          <w:szCs w:val="24"/>
        </w:rPr>
        <w:t xml:space="preserve">These performance appraisals should be done through electronic instruments (paperless) and feedback given to employees electronically to minimize the cost of printing paper. Managers need to be held accountable for their environmental management (EM) performance, in addition to their broader performance goals (Renwick et al., 2013). According to Darvishmotevali and Altinay (2022), employee production green training measurement is appraised on how that employee is progressing into a greener environment. Employees are more likely to change their habits in response to certain success factors appraised through green performance evaluation. Effective green performance appraisals provide useful feedback to employees and support continuous improvements in the firm’s environmental outcomes. </w:t>
      </w:r>
    </w:p>
    <w:p w14:paraId="117647C7" w14:textId="77777777" w:rsidR="009F33CD" w:rsidRDefault="00E40740">
      <w:pPr>
        <w:spacing w:before="240" w:after="240"/>
        <w:rPr>
          <w:rFonts w:cs="Times New Roman"/>
          <w:bCs/>
          <w:szCs w:val="24"/>
        </w:rPr>
      </w:pPr>
      <w:r>
        <w:rPr>
          <w:rFonts w:cs="Times New Roman"/>
          <w:bCs/>
          <w:szCs w:val="24"/>
        </w:rPr>
        <w:t xml:space="preserve">Effective green performance evaluation should consist of issues about green objectives and tasks that are specified in the employee green job description (Mehta &amp; Chugan, 2015). </w:t>
      </w:r>
      <w:bookmarkStart w:id="424" w:name="_Hlk186561829"/>
      <w:r>
        <w:rPr>
          <w:rFonts w:cs="Times New Roman"/>
          <w:bCs/>
          <w:szCs w:val="24"/>
        </w:rPr>
        <w:t xml:space="preserve">Green performance evaluation refers to assessing and documenting employee performance-related environmental concerns and organizational performance (Jabbour, 2018). </w:t>
      </w:r>
      <w:bookmarkEnd w:id="424"/>
      <w:r>
        <w:rPr>
          <w:rFonts w:cs="Times New Roman"/>
          <w:bCs/>
          <w:szCs w:val="24"/>
        </w:rPr>
        <w:t xml:space="preserve">Further, the green performance assessment was found to have a significant and positive effect on sustainable performance (Malik et al, 2021). According to Arulrajah et al (2015), green performance evaluation of an employee in an organization should be conducted as part of the performance evaluation system of the entire organization. The environmental performance and audit reports should aid in developing green objectives, standards, and behaviour at all levels of the organization which in turn will serve as measurement criteria for green performance evaluation. The performance evaluation system of the organizations should include issues about the environment as well as environmental incidents and environmental responsibilities that influence the success of environmental concerns and policy implementation. </w:t>
      </w:r>
    </w:p>
    <w:p w14:paraId="01AC5891" w14:textId="77777777" w:rsidR="00963B08" w:rsidRDefault="00963B08">
      <w:pPr>
        <w:autoSpaceDE/>
        <w:autoSpaceDN/>
        <w:adjustRightInd/>
        <w:spacing w:before="0" w:beforeAutospacing="0" w:after="0" w:afterAutospacing="0" w:line="240" w:lineRule="auto"/>
        <w:jc w:val="left"/>
        <w:rPr>
          <w:rFonts w:cs="Times New Roman"/>
          <w:bCs/>
          <w:szCs w:val="24"/>
        </w:rPr>
      </w:pPr>
      <w:r>
        <w:rPr>
          <w:rFonts w:cs="Times New Roman"/>
          <w:bCs/>
          <w:szCs w:val="24"/>
        </w:rPr>
        <w:br w:type="page"/>
      </w:r>
    </w:p>
    <w:p w14:paraId="4BCE59CA" w14:textId="77777777" w:rsidR="009F33CD" w:rsidRDefault="00E40740">
      <w:pPr>
        <w:spacing w:before="240" w:after="240"/>
        <w:rPr>
          <w:rFonts w:cs="Times New Roman"/>
          <w:bCs/>
          <w:szCs w:val="24"/>
        </w:rPr>
      </w:pPr>
      <w:r>
        <w:rPr>
          <w:rFonts w:cs="Times New Roman"/>
          <w:bCs/>
          <w:szCs w:val="24"/>
        </w:rPr>
        <w:lastRenderedPageBreak/>
        <w:t xml:space="preserve">The employees who exceed their contributions towards set standards and targets should be recognized with some rewards as green talented staff (Prasad, 2013). Performance contracting of some key employees in devolved healthcare services should contain measurable components on environmental protection, maintenance of the natural environment, reduction of environmental pollution, and creation of gardens and natural places. Green innovation refers to any initiative or form of innovation that minimizes environmental negative impact and ensures effective use of natural resources such as materials, energy, water, and land. Green innovation, for example, an employee using waste plastic containers to plant office flowers can reduce pollution and enhance fresh air circulation in offices. </w:t>
      </w:r>
    </w:p>
    <w:p w14:paraId="46576D2E" w14:textId="77777777" w:rsidR="009F33CD" w:rsidRDefault="00E40740">
      <w:pPr>
        <w:spacing w:before="240" w:after="240"/>
        <w:rPr>
          <w:rFonts w:cs="Times New Roman"/>
          <w:bCs/>
          <w:szCs w:val="24"/>
        </w:rPr>
      </w:pPr>
      <w:r>
        <w:rPr>
          <w:rFonts w:cs="Times New Roman"/>
          <w:bCs/>
          <w:szCs w:val="24"/>
        </w:rPr>
        <w:t xml:space="preserve">Other green innovations may include the creation of green gardens around offices, and encouraging hospital employees and clients to conserve natural places. The target of green innovation is a product, procedure, process, service, or system that meets customer expectations in an eco-friendly manner. Green innovation is important as it reduces cost minimizes the generation of waste and enhances sustainable healthcare which leads to improved performance. It is the development of green products, green processes, and green management innovations that lower organizations’ environmental impact and achieve eco-advantages (Huang &amp; Li, 2017). Green products include reforms in current services in response to environmental concerns, green process which refers to updates in processes and systems of service provision or production, while green management is related to new internal management methods. Employee Green Performance appraisal system should therefore include in its measurement issues related to environmental conservation and protection. Owee </w:t>
      </w:r>
      <w:r>
        <w:rPr>
          <w:rFonts w:cs="Times New Roman"/>
          <w:bCs/>
          <w:i/>
          <w:szCs w:val="24"/>
        </w:rPr>
        <w:t>et al.</w:t>
      </w:r>
      <w:r>
        <w:rPr>
          <w:rFonts w:cs="Times New Roman"/>
          <w:bCs/>
          <w:szCs w:val="24"/>
        </w:rPr>
        <w:t xml:space="preserve"> (2013) opine that to achieve green performance evaluation, it is necessary to set green targets, green goals, and green responsibilities to employees and managers. This should be supplemented with the provision of regular online feedback by managers to the employees and teams to improve their environmental performance. </w:t>
      </w:r>
      <w:bookmarkStart w:id="425" w:name="_Hlk175258359"/>
    </w:p>
    <w:bookmarkEnd w:id="425"/>
    <w:p w14:paraId="2304638A" w14:textId="77777777" w:rsidR="009F33CD" w:rsidRDefault="00E40740">
      <w:pPr>
        <w:rPr>
          <w:rFonts w:cs="Times New Roman"/>
          <w:bCs/>
          <w:szCs w:val="24"/>
        </w:rPr>
      </w:pPr>
      <w:r>
        <w:rPr>
          <w:rFonts w:cs="Times New Roman"/>
          <w:bCs/>
          <w:szCs w:val="24"/>
        </w:rPr>
        <w:t xml:space="preserve">Green Performance evaluation provides employees with detailed data regarding their successful role in the environmental performance of a company, and it supports the implementation of green behaviours that motivate and enhance employee motivation to suggest eco-initiatives (Guerci, Longoni &amp; Luzzini, 2016). According to Lucas </w:t>
      </w:r>
      <w:r>
        <w:rPr>
          <w:rFonts w:cs="Times New Roman"/>
          <w:bCs/>
          <w:szCs w:val="24"/>
        </w:rPr>
        <w:lastRenderedPageBreak/>
        <w:t xml:space="preserve">(2010), the performance evaluation scheme of employees should comprise an environmental component such as number of trees planted that provide fresh air and shade to employees. Environmental strategy should be linked more powerfully to environmental performance through the development of performance measures and standards. Employee performance evaluations should be conducted online to minimize the use of paper in the form of appraisal or evaluation forms. </w:t>
      </w:r>
    </w:p>
    <w:p w14:paraId="7A6B7933" w14:textId="77777777" w:rsidR="009F33CD" w:rsidRDefault="00E40740" w:rsidP="00542524">
      <w:pPr>
        <w:pStyle w:val="Heading3"/>
      </w:pPr>
      <w:bookmarkStart w:id="426" w:name="_Toc4148587"/>
      <w:bookmarkStart w:id="427" w:name="_Toc147950193"/>
      <w:bookmarkStart w:id="428" w:name="_Toc178940537"/>
      <w:bookmarkStart w:id="429" w:name="_Toc188442556"/>
      <w:bookmarkStart w:id="430" w:name="_Toc165626329"/>
      <w:bookmarkStart w:id="431" w:name="_Toc178942578"/>
      <w:bookmarkStart w:id="432" w:name="_Toc188130583"/>
      <w:bookmarkStart w:id="433" w:name="_Toc178944235"/>
      <w:bookmarkStart w:id="434" w:name="_Toc185614026"/>
      <w:bookmarkStart w:id="435" w:name="_Toc165623548"/>
      <w:bookmarkStart w:id="436" w:name="_Toc188443930"/>
      <w:bookmarkStart w:id="437" w:name="_Toc178944987"/>
      <w:bookmarkStart w:id="438" w:name="_Toc187080796"/>
      <w:bookmarkStart w:id="439" w:name="_Toc178939583"/>
      <w:bookmarkStart w:id="440" w:name="_Toc224160620"/>
      <w:bookmarkStart w:id="441" w:name="_Toc224237680"/>
      <w:r>
        <w:t xml:space="preserve">2.3.5 </w:t>
      </w:r>
      <w:bookmarkStart w:id="442" w:name="_Toc529115552"/>
      <w:bookmarkStart w:id="443" w:name="_Toc4148588"/>
      <w:bookmarkStart w:id="444" w:name="_Toc529121493"/>
      <w:bookmarkEnd w:id="426"/>
      <w:r>
        <w:t>Management S</w:t>
      </w:r>
      <w:bookmarkEnd w:id="427"/>
      <w:bookmarkEnd w:id="442"/>
      <w:bookmarkEnd w:id="443"/>
      <w:bookmarkEnd w:id="444"/>
      <w:r>
        <w:t>tyle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8159217" w14:textId="77777777" w:rsidR="009F33CD" w:rsidRDefault="00E40740">
      <w:pPr>
        <w:rPr>
          <w:rFonts w:cs="Times New Roman"/>
          <w:bCs/>
          <w:szCs w:val="24"/>
        </w:rPr>
      </w:pPr>
      <w:r>
        <w:rPr>
          <w:rFonts w:cs="Times New Roman"/>
          <w:bCs/>
          <w:szCs w:val="24"/>
        </w:rPr>
        <w:t xml:space="preserve">Management style is the pattern of relationship that a manager exhibits as s/he directs and coordinates the activities of others to achieve organizational goals (Ayub, 2014). Management style can influence the attainment of an organization's mission, allocation of resources, and implementation of eco-friendly changes that are necessary for an organization to enhance performance and gain competitive advantage. There are many styles of management including bureaucratic, participative, laissez-faire, contingency, servant, transactional, and transformational among others. Managers usually apply a management style they find themselves comfortable with their followers or subordinates. They may also apply a certain style of management because they want to achieve organizational goals in a certain manner required by the management. </w:t>
      </w:r>
    </w:p>
    <w:p w14:paraId="3E9239DF" w14:textId="77777777" w:rsidR="009F33CD" w:rsidRDefault="00E40740">
      <w:pPr>
        <w:rPr>
          <w:rFonts w:cs="Times New Roman"/>
          <w:bCs/>
          <w:szCs w:val="24"/>
        </w:rPr>
      </w:pPr>
      <w:r>
        <w:rPr>
          <w:rFonts w:cs="Times New Roman"/>
          <w:bCs/>
          <w:szCs w:val="24"/>
        </w:rPr>
        <w:t xml:space="preserve">Top management style usually influences the effective formulation and implementation of health policies and practices that will affect an organization in achieving goals and objectives. An effective approach to organization sustainability will require employee compliance with formal rules and accept to voluntarily engage in green initiatives such as lowering the consumption of energy and paper and use of stairs in place of elevators (Ren </w:t>
      </w:r>
      <w:r>
        <w:rPr>
          <w:rFonts w:cs="Times New Roman"/>
          <w:bCs/>
          <w:i/>
          <w:iCs/>
          <w:szCs w:val="24"/>
        </w:rPr>
        <w:t>et al.,</w:t>
      </w:r>
      <w:r>
        <w:rPr>
          <w:rFonts w:cs="Times New Roman"/>
          <w:bCs/>
          <w:szCs w:val="24"/>
        </w:rPr>
        <w:t xml:space="preserve"> 2018). Top managers’ commitment enables organizations to implement and enforce green practices and policies to realize the organization’s goals and objectives. This Top management enforcement ensures that employees are aware of green practices and are inclined to adopt them in their daily operations, in pursuit of achieving the goals of the organization. According to </w:t>
      </w:r>
      <w:bookmarkStart w:id="445" w:name="_Hlk175240448"/>
      <w:r>
        <w:rPr>
          <w:rFonts w:cs="Times New Roman"/>
          <w:bCs/>
          <w:szCs w:val="24"/>
        </w:rPr>
        <w:t xml:space="preserve">Momena </w:t>
      </w:r>
      <w:r>
        <w:rPr>
          <w:rFonts w:cs="Times New Roman"/>
          <w:bCs/>
          <w:i/>
          <w:szCs w:val="24"/>
        </w:rPr>
        <w:t>et al</w:t>
      </w:r>
      <w:r>
        <w:rPr>
          <w:rFonts w:cs="Times New Roman"/>
          <w:bCs/>
          <w:szCs w:val="24"/>
        </w:rPr>
        <w:t xml:space="preserve"> (2013), leadership as an HR practice should be supportive and participative. Leaders should be available to the employees as and when required and should take </w:t>
      </w:r>
      <w:r>
        <w:rPr>
          <w:rFonts w:cs="Times New Roman"/>
          <w:bCs/>
          <w:szCs w:val="24"/>
        </w:rPr>
        <w:lastRenderedPageBreak/>
        <w:t xml:space="preserve">the initiative to motivate the employees </w:t>
      </w:r>
      <w:bookmarkEnd w:id="445"/>
      <w:r>
        <w:rPr>
          <w:rFonts w:cs="Times New Roman"/>
          <w:bCs/>
          <w:szCs w:val="24"/>
        </w:rPr>
        <w:t>and encourage them to come up with new ideas.</w:t>
      </w:r>
    </w:p>
    <w:p w14:paraId="0AC2FEBA" w14:textId="77777777" w:rsidR="009F33CD" w:rsidRDefault="00E40740">
      <w:pPr>
        <w:rPr>
          <w:rFonts w:cs="Times New Roman"/>
          <w:bCs/>
          <w:szCs w:val="24"/>
        </w:rPr>
      </w:pPr>
      <w:r>
        <w:rPr>
          <w:rFonts w:cs="Times New Roman"/>
          <w:bCs/>
          <w:szCs w:val="24"/>
        </w:rPr>
        <w:t xml:space="preserve">In this study, management style is conceptualized as a moderating variable on the relationship between GHRM practices and the performance of devolved healthcare services. Bureaucratic, participative, and contingency management styles are considered in this study because they are assumed to yield better results in service delivery. </w:t>
      </w:r>
      <w:bookmarkStart w:id="446" w:name="_Hlk175242990"/>
      <w:r>
        <w:rPr>
          <w:rFonts w:cs="Times New Roman"/>
          <w:bCs/>
          <w:szCs w:val="24"/>
        </w:rPr>
        <w:t xml:space="preserve">Bureaucratic management style is where the manager expects work to be done in a pre-determined manner while following laid down policies, procedures, rules, and standards (Khan </w:t>
      </w:r>
      <w:r>
        <w:rPr>
          <w:rFonts w:cs="Times New Roman"/>
          <w:bCs/>
          <w:i/>
          <w:szCs w:val="24"/>
        </w:rPr>
        <w:t>et al</w:t>
      </w:r>
      <w:r>
        <w:rPr>
          <w:rFonts w:cs="Times New Roman"/>
          <w:bCs/>
          <w:szCs w:val="24"/>
        </w:rPr>
        <w:t>, 2015).</w:t>
      </w:r>
      <w:bookmarkEnd w:id="446"/>
      <w:r>
        <w:rPr>
          <w:rFonts w:cs="Times New Roman"/>
          <w:bCs/>
          <w:szCs w:val="24"/>
        </w:rPr>
        <w:t xml:space="preserve"> </w:t>
      </w:r>
      <w:bookmarkStart w:id="447" w:name="_Hlk175248729"/>
      <w:r>
        <w:rPr>
          <w:rFonts w:cs="Times New Roman"/>
          <w:bCs/>
          <w:szCs w:val="24"/>
        </w:rPr>
        <w:t xml:space="preserve">Participative management style is when the manager involves the employees in the decision-making process and this creates motivation and satisfaction. It is appropriate where there are routine tasks and high safety risks (Amanchukwu &amp; Ololube, 2015). </w:t>
      </w:r>
      <w:bookmarkEnd w:id="447"/>
      <w:r>
        <w:rPr>
          <w:rFonts w:cs="Times New Roman"/>
          <w:bCs/>
          <w:szCs w:val="24"/>
        </w:rPr>
        <w:t xml:space="preserve">In the Contingency style of management, the manager changes the approach to management depending on the situation (Erdogan &amp; Bauer, 2015). </w:t>
      </w:r>
      <w:bookmarkStart w:id="448" w:name="_Hlk185596046"/>
    </w:p>
    <w:p w14:paraId="75B2C975" w14:textId="77777777" w:rsidR="009F33CD" w:rsidRDefault="00E40740">
      <w:pPr>
        <w:rPr>
          <w:rFonts w:cs="Times New Roman"/>
          <w:bCs/>
          <w:szCs w:val="24"/>
        </w:rPr>
      </w:pPr>
      <w:r>
        <w:rPr>
          <w:rFonts w:cs="Times New Roman"/>
          <w:bCs/>
          <w:szCs w:val="24"/>
        </w:rPr>
        <w:t>According to Opatha and Nawaratne (2015), some companies have recognized the importance of discipline management as a tool that can help employees to regulate themselves on matters of environmental protection initiatives and activities of the organization</w:t>
      </w:r>
      <w:bookmarkEnd w:id="448"/>
      <w:r>
        <w:rPr>
          <w:rFonts w:cs="Times New Roman"/>
          <w:bCs/>
          <w:szCs w:val="24"/>
        </w:rPr>
        <w:t xml:space="preserve">. These organizations have developed a precise set of rules and regulations that regulate employees or put pressure on them to inculcate environmental protection concerns that are in line with environmental policy guidelines of the organizations and the United Nations Environment Program. United Nations Environment Program (2022) was established in 1972 as a platform for raising awareness and action for the protection of the environment. In such organizations, for example, if an employee violates rules and regulations on the environment, disciplinary actions are imposed on that employee. </w:t>
      </w:r>
    </w:p>
    <w:p w14:paraId="66E78DEE" w14:textId="77777777" w:rsidR="009F33CD" w:rsidRDefault="00E40740">
      <w:pPr>
        <w:rPr>
          <w:rFonts w:cs="Times New Roman"/>
          <w:bCs/>
          <w:szCs w:val="24"/>
        </w:rPr>
      </w:pPr>
      <w:r>
        <w:rPr>
          <w:rFonts w:cs="Times New Roman"/>
          <w:bCs/>
          <w:szCs w:val="24"/>
        </w:rPr>
        <w:t xml:space="preserve">Renwick </w:t>
      </w:r>
      <w:r>
        <w:rPr>
          <w:rFonts w:cs="Times New Roman"/>
          <w:bCs/>
          <w:i/>
          <w:szCs w:val="24"/>
        </w:rPr>
        <w:t>et al,</w:t>
      </w:r>
      <w:r>
        <w:rPr>
          <w:rFonts w:cs="Times New Roman"/>
          <w:bCs/>
          <w:szCs w:val="24"/>
        </w:rPr>
        <w:t xml:space="preserve"> (2013) opine that setting penalties for noncompliance on targets on environmental management, discipline and/or dismissal for environmental management breaches, and developing negative reinforcements in environmental management are also worthwhile practices under green management. Bureaucratic management style tends to enforce a set of behavioural and technical rules and </w:t>
      </w:r>
      <w:r>
        <w:rPr>
          <w:rFonts w:cs="Times New Roman"/>
          <w:bCs/>
          <w:szCs w:val="24"/>
        </w:rPr>
        <w:lastRenderedPageBreak/>
        <w:t>regulations that define the scope of their authority dictate and constrain certain actions of employees.</w:t>
      </w:r>
      <w:bookmarkStart w:id="449" w:name="_Hlk175226908"/>
      <w:r>
        <w:rPr>
          <w:rFonts w:cs="Times New Roman"/>
          <w:bCs/>
          <w:szCs w:val="24"/>
        </w:rPr>
        <w:t xml:space="preserve"> Mehta and Chugan (2015) opine that HR professionals are enabling companies to make green business in ways like encouraging employees to switch off lights when not in use, turn off the computer monitors when not being used, keeping only minimal lights during non-working hours for safety, online sharing of training material uses print-e-mail only, if necessary, in their official e-mail signature. </w:t>
      </w:r>
      <w:bookmarkEnd w:id="449"/>
    </w:p>
    <w:p w14:paraId="5C3CCA30" w14:textId="77777777" w:rsidR="009F33CD" w:rsidRDefault="00E40740">
      <w:pPr>
        <w:rPr>
          <w:rFonts w:cs="Times New Roman"/>
          <w:bCs/>
          <w:szCs w:val="24"/>
        </w:rPr>
      </w:pPr>
      <w:r>
        <w:rPr>
          <w:rFonts w:cs="Times New Roman"/>
          <w:bCs/>
          <w:szCs w:val="24"/>
        </w:rPr>
        <w:t xml:space="preserve"> Arulrajah </w:t>
      </w:r>
      <w:r>
        <w:rPr>
          <w:rFonts w:cs="Times New Roman"/>
          <w:bCs/>
          <w:i/>
          <w:szCs w:val="24"/>
        </w:rPr>
        <w:t>et al</w:t>
      </w:r>
      <w:r>
        <w:rPr>
          <w:rFonts w:cs="Times New Roman"/>
          <w:bCs/>
          <w:szCs w:val="24"/>
        </w:rPr>
        <w:t xml:space="preserve"> (2015) stated that firms can succeed in their attempt to protect the environment by designing new jobs that are environmentally concerned or connecting environmental tasks into each job's duties and responsibilities that commit organizations to their environmental management concerns.  Mutisya et al. (2019) posit that management in public hospitals should be effective to improve revenue collection. The amount of revenue collected by the hospital assists the government in determining the amount of capital expenditure required as this revenue will indicate the workload in the form of clients/attendees. The hospital with more revenue will be allocated more expenditure resources as they are perceived to be performing better. Research conducted by Mehta and Chugan, (2015) found that some of the HR-initiated green programs being implemented in some organizations included: adopting video-conferencing or internet-based applications for meetings and reducing business travel; making internal company documentation online; reducing paper usage and promoting ways for the same; offering work-from-home options to employees and opportunities for telework; and car-pooling programs. </w:t>
      </w:r>
      <w:bookmarkStart w:id="450" w:name="_Hlk174878642"/>
    </w:p>
    <w:p w14:paraId="23256E67" w14:textId="77777777" w:rsidR="009F33CD" w:rsidRDefault="00E40740">
      <w:pPr>
        <w:rPr>
          <w:rFonts w:cs="Times New Roman"/>
          <w:bCs/>
          <w:szCs w:val="24"/>
        </w:rPr>
      </w:pPr>
      <w:r>
        <w:rPr>
          <w:rFonts w:cs="Times New Roman"/>
          <w:bCs/>
          <w:szCs w:val="24"/>
        </w:rPr>
        <w:t>Obiora-Okafo and Imhanrenialena (2022) found that to boost employee performance, firms need to create a comfortable office atmosphere and improve operational conditions. A well-functioning work environment equips employees to meet expectations, leading to higher performance and the achievement of organizational goals.</w:t>
      </w:r>
      <w:bookmarkEnd w:id="450"/>
      <w:r>
        <w:rPr>
          <w:rFonts w:cs="Times New Roman"/>
          <w:bCs/>
          <w:szCs w:val="24"/>
        </w:rPr>
        <w:t xml:space="preserve"> Contingency management style takes into consideration vital situational factors. These situational factors include: the degree of structure in the task being performed, quality of leader-member relations, Leader’s position power, subordinates’ role clarity, group norms, information availability, acceptance of the leader’s decisions, and subordinate maturity. </w:t>
      </w:r>
    </w:p>
    <w:p w14:paraId="6E092C86" w14:textId="77777777" w:rsidR="009F33CD" w:rsidRDefault="00E40740">
      <w:pPr>
        <w:rPr>
          <w:rFonts w:cs="Times New Roman"/>
          <w:bCs/>
          <w:szCs w:val="24"/>
        </w:rPr>
      </w:pPr>
      <w:r>
        <w:rPr>
          <w:rFonts w:cs="Times New Roman"/>
          <w:bCs/>
          <w:szCs w:val="24"/>
        </w:rPr>
        <w:lastRenderedPageBreak/>
        <w:t xml:space="preserve">Management style can either accelerate the independent variable or act as an impediment to the dependent variable. </w:t>
      </w:r>
      <w:bookmarkStart w:id="451" w:name="_Hlk174040203"/>
      <w:r>
        <w:rPr>
          <w:rFonts w:cs="Times New Roman"/>
          <w:bCs/>
          <w:szCs w:val="24"/>
        </w:rPr>
        <w:t>Ahmad (2015) opines that e-business and e-learning have converted ordinary offices into paperless offices</w:t>
      </w:r>
      <w:bookmarkEnd w:id="451"/>
      <w:r>
        <w:rPr>
          <w:rFonts w:cs="Times New Roman"/>
          <w:bCs/>
          <w:szCs w:val="24"/>
        </w:rPr>
        <w:t>. The paperless office is an office that has minimum use of paper or has eliminated the use of paper by changing all important official paper documents into automated documents and workflows. Paperless offices to a large extent reduce the consumption of paper, minimize substantially the cost of paper-related activities such as photocopying, printing, and filing</w:t>
      </w:r>
      <w:r>
        <w:rPr>
          <w:rFonts w:cs="Times New Roman"/>
          <w:b/>
          <w:bCs/>
          <w:szCs w:val="24"/>
        </w:rPr>
        <w:t xml:space="preserve">, </w:t>
      </w:r>
      <w:r>
        <w:rPr>
          <w:rFonts w:cs="Times New Roman"/>
          <w:bCs/>
          <w:szCs w:val="24"/>
        </w:rPr>
        <w:t xml:space="preserve">and at the same time save the time spent by employees in searching for paper-documents. </w:t>
      </w:r>
    </w:p>
    <w:p w14:paraId="70FDF8FA" w14:textId="77777777" w:rsidR="009F33CD" w:rsidRDefault="00E40740">
      <w:pPr>
        <w:rPr>
          <w:rFonts w:cs="Times New Roman"/>
          <w:bCs/>
          <w:szCs w:val="24"/>
        </w:rPr>
      </w:pPr>
      <w:r>
        <w:rPr>
          <w:rFonts w:cs="Times New Roman"/>
          <w:bCs/>
          <w:szCs w:val="24"/>
        </w:rPr>
        <w:t>The implementation of several energy conservation initiatives aimed at reducing negative impact on the environment has led to the provision of more efficient and effective eco-friendly services in many organizations (Ogola, et al., 2023). Recycling of waste to produce new and useful products is likely to reduce the use of raw materials by employees and consequently, lead to saving energy and reducing the amount of waste thrown into the dustbins. This practice will result in a cleaner environment and circulation of fresher air in workplaces. Nowadays, some companies in Kenya including hospitals are getting more concerned about reducing negative environmental impact through employee involvement. These companies are applying several energy conservation methods such as asking their employees to turn off Personal Computers, Televisions, and office lights when leaving their offices.</w:t>
      </w:r>
    </w:p>
    <w:p w14:paraId="5A458907" w14:textId="77777777" w:rsidR="009F33CD" w:rsidRDefault="00E40740">
      <w:pPr>
        <w:rPr>
          <w:rFonts w:cs="Times New Roman"/>
          <w:bCs/>
          <w:szCs w:val="24"/>
        </w:rPr>
      </w:pPr>
      <w:r>
        <w:rPr>
          <w:rFonts w:cs="Times New Roman"/>
          <w:bCs/>
          <w:szCs w:val="24"/>
        </w:rPr>
        <w:t xml:space="preserve">Other companies are introducing the use of solar lighting and energy-saving bulbs as a way of conserving energy and reducing costs. Managerial practices are important as they shape the organizational performance, or physical spaces, composure, and conditions of the work environment. Management phenomenon is very important in providing employees with direction and psychological gratification to acquire the best services out of them (Al Khajeh, 2018). Different authors (Sofi &amp; Devanadhen, 2015; Mohammad </w:t>
      </w:r>
      <w:r>
        <w:rPr>
          <w:rFonts w:cs="Times New Roman"/>
          <w:bCs/>
          <w:i/>
          <w:szCs w:val="24"/>
        </w:rPr>
        <w:t>et al</w:t>
      </w:r>
      <w:r>
        <w:rPr>
          <w:rFonts w:cs="Times New Roman"/>
          <w:bCs/>
          <w:i/>
          <w:iCs/>
          <w:szCs w:val="24"/>
        </w:rPr>
        <w:t>.</w:t>
      </w:r>
      <w:r>
        <w:rPr>
          <w:rFonts w:cs="Times New Roman"/>
          <w:bCs/>
          <w:szCs w:val="24"/>
        </w:rPr>
        <w:t xml:space="preserve">, 2017) opine that various management-leadership styles such as transactional, transformational, participative, and autocratic have varying effects on organizational performance. Puni </w:t>
      </w:r>
      <w:r>
        <w:rPr>
          <w:rFonts w:cs="Times New Roman"/>
          <w:bCs/>
          <w:i/>
          <w:szCs w:val="24"/>
        </w:rPr>
        <w:t>et al.</w:t>
      </w:r>
      <w:r>
        <w:rPr>
          <w:rFonts w:cs="Times New Roman"/>
          <w:bCs/>
          <w:szCs w:val="24"/>
        </w:rPr>
        <w:t xml:space="preserve"> (2018) opine that the participative management style is the procedure of sharing responsibilities in decision-making between the </w:t>
      </w:r>
      <w:r>
        <w:rPr>
          <w:rFonts w:cs="Times New Roman"/>
          <w:bCs/>
          <w:szCs w:val="24"/>
        </w:rPr>
        <w:lastRenderedPageBreak/>
        <w:t>management and employees and it involves consulting with subordinates and evaluating their suggestions before the manager makes any decision.</w:t>
      </w:r>
    </w:p>
    <w:p w14:paraId="38A6B546" w14:textId="77777777" w:rsidR="009F33CD" w:rsidRDefault="00E40740">
      <w:pPr>
        <w:rPr>
          <w:rFonts w:cs="Times New Roman"/>
          <w:bCs/>
          <w:szCs w:val="24"/>
        </w:rPr>
      </w:pPr>
      <w:r>
        <w:rPr>
          <w:rFonts w:cs="Times New Roman"/>
          <w:bCs/>
          <w:szCs w:val="24"/>
        </w:rPr>
        <w:t xml:space="preserve">A study was conducted by </w:t>
      </w:r>
      <w:bookmarkStart w:id="452" w:name="_Hlk175248503"/>
      <w:r>
        <w:rPr>
          <w:rFonts w:cs="Times New Roman"/>
          <w:bCs/>
          <w:szCs w:val="24"/>
        </w:rPr>
        <w:t xml:space="preserve">Anusingh and Shikah (2015) on the impact of green human resource management factors on environmental performance in manufacturing companies. Using regression analysis, the study found that variables like top management commitment, and employee training programs have a significant positive relationship to perceived environmental performance. </w:t>
      </w:r>
      <w:bookmarkEnd w:id="452"/>
      <w:r>
        <w:rPr>
          <w:rFonts w:cs="Times New Roman"/>
          <w:bCs/>
          <w:szCs w:val="24"/>
        </w:rPr>
        <w:t xml:space="preserve">Green HRM practices in hospitals are becoming more necessary in order: to develop green employees; create desirable relationships between the employees and the environment; and eventually reduce negative environmental impact for the current and future generations. The researcher conceptualizes that an environmentally positive management style can influence the performance of devolved healthcare services. In the current study, management style is considered a moderating factor between the independent variable (green human resource management practices) and the dependent variable (performance of devolved healthcare services). </w:t>
      </w:r>
    </w:p>
    <w:p w14:paraId="6E850F33" w14:textId="77777777" w:rsidR="009F33CD" w:rsidRDefault="00E40740">
      <w:pPr>
        <w:rPr>
          <w:rFonts w:cs="Times New Roman"/>
          <w:bCs/>
          <w:szCs w:val="24"/>
        </w:rPr>
      </w:pPr>
      <w:r>
        <w:rPr>
          <w:rFonts w:cs="Times New Roman"/>
          <w:bCs/>
          <w:szCs w:val="24"/>
        </w:rPr>
        <w:t>Different management styles, such as bureaucratic, participative, and contingency, can either enhance or impede the effectiveness of GHRM practices. For instance, participative management involves employees in decision-making, fostering motivation and satisfaction, which can enhance the implementation of green initiatives. Conversely, bureaucratic management ensures strict adherence to green policies and procedures, which can also drive performance. Effective management styles support the adoption of eco-friendly practices, ensuring that employees are aware of and committed to green initiatives, ultimately leading to improved performance and sustainability in devolved healthcare services.</w:t>
      </w:r>
    </w:p>
    <w:p w14:paraId="01A51064" w14:textId="77777777" w:rsidR="009F33CD" w:rsidRDefault="00273302" w:rsidP="00542524">
      <w:pPr>
        <w:pStyle w:val="Heading3"/>
      </w:pPr>
      <w:bookmarkStart w:id="453" w:name="_Toc178944988"/>
      <w:bookmarkStart w:id="454" w:name="_Toc178940538"/>
      <w:bookmarkStart w:id="455" w:name="_Toc147950194"/>
      <w:bookmarkStart w:id="456" w:name="_Toc178944236"/>
      <w:bookmarkStart w:id="457" w:name="_Toc165626330"/>
      <w:bookmarkStart w:id="458" w:name="_Toc187080797"/>
      <w:bookmarkStart w:id="459" w:name="_Toc11329125"/>
      <w:bookmarkStart w:id="460" w:name="_Toc165623549"/>
      <w:bookmarkStart w:id="461" w:name="_Toc188442557"/>
      <w:bookmarkStart w:id="462" w:name="_Toc33469833"/>
      <w:bookmarkStart w:id="463" w:name="_Toc185614027"/>
      <w:bookmarkStart w:id="464" w:name="_Toc33440977"/>
      <w:bookmarkStart w:id="465" w:name="_Toc178939584"/>
      <w:bookmarkStart w:id="466" w:name="_Toc178942579"/>
      <w:bookmarkStart w:id="467" w:name="_Toc188130584"/>
      <w:bookmarkStart w:id="468" w:name="_Toc188443931"/>
      <w:bookmarkStart w:id="469" w:name="_Toc224160621"/>
      <w:bookmarkStart w:id="470" w:name="_Toc224237681"/>
      <w:r>
        <w:t xml:space="preserve">2.3.6 </w:t>
      </w:r>
      <w:r w:rsidR="00E40740">
        <w:t>Performance of Devolved Healthcare Services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4727F5B" w14:textId="77777777" w:rsidR="009F33CD" w:rsidRDefault="00E40740">
      <w:pPr>
        <w:autoSpaceDE/>
        <w:autoSpaceDN/>
        <w:adjustRightInd/>
        <w:spacing w:before="240" w:after="200"/>
        <w:rPr>
          <w:rFonts w:cs="Times New Roman"/>
          <w:bCs/>
          <w:szCs w:val="24"/>
        </w:rPr>
      </w:pPr>
      <w:bookmarkStart w:id="471" w:name="_Hlk219217626"/>
      <w:r>
        <w:rPr>
          <w:rFonts w:cs="Times New Roman"/>
          <w:bCs/>
          <w:szCs w:val="24"/>
        </w:rPr>
        <w:t xml:space="preserve">Performance management refers to a process that is systematic in which organization management assigns required green goals to individuals and teams and puts up strategies to assess progress and assist employees and teams in achieving such goals (Mwita, 2019). The performance of devolved healthcare services is usually evaluated through various metrics such as patient outcomes, accessibility, quality of care, patient </w:t>
      </w:r>
      <w:r>
        <w:rPr>
          <w:rFonts w:cs="Times New Roman"/>
          <w:bCs/>
          <w:szCs w:val="24"/>
        </w:rPr>
        <w:lastRenderedPageBreak/>
        <w:t>satisfaction, and efficiency (WHO, 2017;</w:t>
      </w:r>
      <w:r>
        <w:t xml:space="preserve"> </w:t>
      </w:r>
      <w:r>
        <w:rPr>
          <w:rFonts w:cs="Times New Roman"/>
          <w:bCs/>
          <w:szCs w:val="24"/>
        </w:rPr>
        <w:t xml:space="preserve">Muchomba &amp; Karanja, 2015). By focusing on these key metrics, healthcare institutions can ensure they are delivering high-quality, efficient, and sustainable healthcare services to their communities. Green HR is a very important tool that can be used to drive long-term organizational performance (Jabbour &amp; Renwick, 2019; Guerci, 2015; Jabbour, 2013); and to attain sustainable utilization of resources (Opatha &amp; Arulrajah, 2014). </w:t>
      </w:r>
      <w:r>
        <w:rPr>
          <w:rFonts w:eastAsia="TimesNewRoman" w:cs="Times New Roman"/>
          <w:bCs/>
          <w:szCs w:val="24"/>
        </w:rPr>
        <w:t>Therefore, an organization having strong HRM will have better organizational performance because its Human Resource functions are linked to its environmental strategies.</w:t>
      </w:r>
      <w:r>
        <w:rPr>
          <w:rFonts w:cs="Times New Roman"/>
          <w:bCs/>
          <w:szCs w:val="24"/>
        </w:rPr>
        <w:t xml:space="preserve"> </w:t>
      </w:r>
      <w:bookmarkStart w:id="472" w:name="_Hlk202865601"/>
    </w:p>
    <w:bookmarkEnd w:id="471"/>
    <w:p w14:paraId="278C9449" w14:textId="77777777" w:rsidR="005A1A83" w:rsidRDefault="00E40740">
      <w:pPr>
        <w:autoSpaceDE/>
        <w:autoSpaceDN/>
        <w:adjustRightInd/>
        <w:spacing w:before="240" w:after="200"/>
        <w:rPr>
          <w:rFonts w:cs="Times New Roman"/>
          <w:bCs/>
          <w:szCs w:val="24"/>
        </w:rPr>
      </w:pPr>
      <w:r>
        <w:rPr>
          <w:rFonts w:cs="Times New Roman"/>
          <w:bCs/>
          <w:szCs w:val="24"/>
        </w:rPr>
        <w:t>A properly performing devolved healthcare service is important for ensuring adequate access to healthcare delivery that is provided through efficient and sustainable use of limited resources (</w:t>
      </w:r>
      <w:r>
        <w:rPr>
          <w:rFonts w:cs="Times New Roman"/>
          <w:bCs/>
          <w:szCs w:val="24"/>
          <w:lang w:val="en-US"/>
        </w:rPr>
        <w:t>Zeng et al., 2022)</w:t>
      </w:r>
      <w:r>
        <w:rPr>
          <w:rFonts w:cs="Times New Roman"/>
          <w:bCs/>
          <w:szCs w:val="24"/>
        </w:rPr>
        <w:t xml:space="preserve">. Performance of devolved healthcare services in Kenya has faced many human resource challenges such as understaffing, with shortages of doctors, nurses, and other essential healthcare professionals. </w:t>
      </w:r>
    </w:p>
    <w:p w14:paraId="57218BC6" w14:textId="77777777" w:rsidR="009F33CD" w:rsidRDefault="00E40740">
      <w:pPr>
        <w:autoSpaceDE/>
        <w:autoSpaceDN/>
        <w:adjustRightInd/>
        <w:spacing w:before="240" w:after="200"/>
        <w:rPr>
          <w:rFonts w:eastAsia="TimesNewRoman" w:cs="Times New Roman"/>
          <w:bCs/>
          <w:szCs w:val="24"/>
        </w:rPr>
      </w:pPr>
      <w:r>
        <w:rPr>
          <w:rFonts w:cs="Times New Roman"/>
          <w:bCs/>
          <w:szCs w:val="24"/>
        </w:rPr>
        <w:t xml:space="preserve">There may be a lack of adequately trained personnel in certain areas, requiring investments in training and capacity building. Some healthcare workers leave counties with less favourable working conditions for better opportunities elsewhere, further exacerbating staffing issues. </w:t>
      </w:r>
      <w:bookmarkEnd w:id="472"/>
      <w:r>
        <w:rPr>
          <w:rFonts w:cs="Times New Roman"/>
          <w:bCs/>
          <w:szCs w:val="24"/>
        </w:rPr>
        <w:t xml:space="preserve">Therefore, the performance of devolved healthcare services is dependent on paperless human resource management practices (Barasa et al., 2017). </w:t>
      </w:r>
      <w:r>
        <w:rPr>
          <w:rFonts w:eastAsia="TimesNewRoman" w:cs="Times New Roman"/>
          <w:bCs/>
          <w:szCs w:val="24"/>
        </w:rPr>
        <w:t xml:space="preserve">In healthcare, the measurement of the number of cases or clients attended to by a clinician over a period of time will indicate an improvement in healthcare performance. Level Five Hospitals offering many different services at affordable fees are likely to attract more clients/ patients and thus more revenue collection from new streams. </w:t>
      </w:r>
    </w:p>
    <w:p w14:paraId="3CFC058E" w14:textId="77777777" w:rsidR="009F33CD" w:rsidRDefault="00E40740">
      <w:pPr>
        <w:autoSpaceDE/>
        <w:autoSpaceDN/>
        <w:adjustRightInd/>
        <w:spacing w:before="240" w:after="200"/>
        <w:rPr>
          <w:rFonts w:cs="Times New Roman"/>
          <w:bCs/>
          <w:szCs w:val="24"/>
        </w:rPr>
      </w:pPr>
      <w:r>
        <w:rPr>
          <w:rFonts w:eastAsia="TimesNewRoman" w:cs="Times New Roman"/>
          <w:bCs/>
          <w:szCs w:val="24"/>
          <w:lang w:val="en-US"/>
        </w:rPr>
        <w:t xml:space="preserve">Devolution in Kenya aimed to enhance accessibility, efficiency, and responsiveness in healthcare delivery; however, the sector continues to face significant performance challenges such as staff shortages, inadequate skillsets for sustainable healthcare practices, and inefficiencies in service delivery (Barasa et al., 2017; Tsofa et al., 2017; Zeng et al., 2022). There is heavy reliance on manual, paper-based processes in staff recruitment and selection in healthcare in Kenya (Nyawira et al., 2022; </w:t>
      </w:r>
      <w:r>
        <w:rPr>
          <w:rFonts w:eastAsia="TimesNewRoman" w:cs="Times New Roman"/>
          <w:bCs/>
          <w:szCs w:val="24"/>
        </w:rPr>
        <w:t>Langat &amp; Kwasira (2016</w:t>
      </w:r>
      <w:r>
        <w:rPr>
          <w:rFonts w:eastAsia="TimesNewRoman" w:cs="Times New Roman"/>
          <w:bCs/>
          <w:szCs w:val="24"/>
          <w:lang w:val="en-US"/>
        </w:rPr>
        <w:t xml:space="preserve">) leading to delay in recruitment, high printing cost, and low </w:t>
      </w:r>
      <w:r>
        <w:rPr>
          <w:rFonts w:eastAsia="TimesNewRoman" w:cs="Times New Roman"/>
          <w:bCs/>
          <w:szCs w:val="24"/>
          <w:lang w:val="en-US"/>
        </w:rPr>
        <w:lastRenderedPageBreak/>
        <w:t xml:space="preserve">satisfaction. </w:t>
      </w:r>
      <w:r>
        <w:rPr>
          <w:rFonts w:eastAsia="TimesNewRoman" w:cs="Times New Roman"/>
          <w:bCs/>
          <w:szCs w:val="24"/>
        </w:rPr>
        <w:t xml:space="preserve">Adaptation of digital health records requires hospitals to go paperless. This eco-innovative process could increase the number of patients seen per day as it minimizes paperwork and time spent on retrieving and reading through patient notes. </w:t>
      </w:r>
      <w:r>
        <w:rPr>
          <w:rFonts w:cs="Times New Roman"/>
          <w:bCs/>
          <w:szCs w:val="24"/>
        </w:rPr>
        <w:t xml:space="preserve">Client or patient satisfaction means client reaction to many aspects of their service experience and therefore, assessment of client satisfaction gives some insights into the quality of healthcare services and their long-term success. Patient satisfaction is an important measure of quality healthcare and promotion especially if the hospital leverages on compliments and deals firmly with complaints (Banda </w:t>
      </w:r>
      <w:r>
        <w:rPr>
          <w:rFonts w:cs="Times New Roman"/>
          <w:bCs/>
          <w:i/>
          <w:iCs/>
          <w:szCs w:val="24"/>
        </w:rPr>
        <w:t>et al.,</w:t>
      </w:r>
      <w:r>
        <w:rPr>
          <w:rFonts w:cs="Times New Roman"/>
          <w:bCs/>
          <w:szCs w:val="24"/>
        </w:rPr>
        <w:t xml:space="preserve"> 2023). </w:t>
      </w:r>
    </w:p>
    <w:p w14:paraId="2B6DF9D8" w14:textId="77777777" w:rsidR="009F33CD" w:rsidRDefault="00E40740">
      <w:pPr>
        <w:autoSpaceDE/>
        <w:autoSpaceDN/>
        <w:adjustRightInd/>
        <w:spacing w:before="240" w:after="200"/>
        <w:rPr>
          <w:rFonts w:cs="Times New Roman"/>
          <w:bCs/>
          <w:szCs w:val="24"/>
        </w:rPr>
      </w:pPr>
      <w:r>
        <w:rPr>
          <w:rFonts w:cs="Times New Roman"/>
          <w:bCs/>
          <w:szCs w:val="24"/>
        </w:rPr>
        <w:t xml:space="preserve">The client is said to be satisfied if the general environment where healthcare service is provided is clean and safe, and the healthcare care personnel have the necessary skills to provide care that meets the client experience. Shortages of supplies, equipment, and skilled personnel can compromise the quality of healthcare services provided. Healthcare workers may experience low morale due to factors like delayed salaries, inadequate resources, and challenging working conditions, which can affect their performance. The purpose of evaluating client satisfaction over time is necessary because it indicates the level of clients’ or patients’ experience with the hospital’s services, trust, and possibility of improving and sustaining that healthcare service through customer loyalty (Pratama, 2020). </w:t>
      </w:r>
    </w:p>
    <w:p w14:paraId="3516A478" w14:textId="77777777" w:rsidR="009F33CD" w:rsidRDefault="00E40740">
      <w:pPr>
        <w:autoSpaceDE/>
        <w:autoSpaceDN/>
        <w:adjustRightInd/>
        <w:spacing w:before="240" w:after="200"/>
        <w:rPr>
          <w:rFonts w:cs="Times New Roman"/>
          <w:bCs/>
          <w:szCs w:val="24"/>
        </w:rPr>
      </w:pPr>
      <w:r>
        <w:t xml:space="preserve">Level Five Hospitals depend on national and county governments for financial support. These hospitals do not operate to make profits nor generate revenue that can be taxed, but to provide essential healthcare services to the citizens upon payment of some fees that supplement government budgetary allocation. The more clients the hospital receives, the more revenue is collected. The employees are, therefore, expected to provide better referral healthcare services to the citizens especially low-income earners who may not afford to access the same from private healthcare providers. Level Five Hospitals should be innovative in their processes, products, and methods applied to raise revenue from patients and clients to support their operations (Anderson, 2013). The revenue generation process should be proper and where possible automated technology should be applied in collecting revenue and keeping accurate daily records. The green human resource practice especially in the use of automated technology in all healthcare service payments and ensuring that healthcare services are automated </w:t>
      </w:r>
      <w:r>
        <w:lastRenderedPageBreak/>
        <w:t xml:space="preserve">improves employee performance and hence revenue collection of the Level Five Hospitals. Kamut (2023) argued that a management style that is effective in hiring and placing qualified employees in the right positions; providing different healthcare services; and putting in place tight revenue collection processes, is likely to improve revenue collection and financial sustainability of the public healthcare institutions in Kenya. </w:t>
      </w:r>
    </w:p>
    <w:p w14:paraId="40B050A2" w14:textId="77777777" w:rsidR="009F33CD" w:rsidRDefault="00E40740">
      <w:pPr>
        <w:autoSpaceDE/>
        <w:autoSpaceDN/>
        <w:adjustRightInd/>
        <w:spacing w:before="240" w:after="200"/>
        <w:rPr>
          <w:rFonts w:cs="Times New Roman"/>
          <w:bCs/>
          <w:szCs w:val="24"/>
        </w:rPr>
      </w:pPr>
      <w:r>
        <w:t>Green employees usually embrace self-regulating water-saving techniques and electricity-saving techniques such as putting off lights when not in use and this approach will lead to revenue saving which can boost revenue collected for the Level Five Hospital.</w:t>
      </w:r>
      <w:r>
        <w:rPr>
          <w:rFonts w:cs="Times New Roman"/>
          <w:bCs/>
          <w:szCs w:val="24"/>
        </w:rPr>
        <w:t xml:space="preserve"> Muhammad, Zubair and Fawad (2021) conducted a study on the effects of Green Human Resource Management Practices on Sustainable Performance focusing on the Mediating Role of Green Climate and Green Employee Empowerment. The study used green training and development, green rewards, green recruitment and selection, and green performance evaluation on sustainable performance as study variables. A cross-sectional research design was applied to the study. The findings revealed that GHRM practices had a positive effect on sustainable performance. Further, green climate and green empowerment had a mediating influence on sustainable performance. </w:t>
      </w:r>
    </w:p>
    <w:p w14:paraId="471223CE" w14:textId="77777777" w:rsidR="005A1A83" w:rsidRDefault="00E40740">
      <w:pPr>
        <w:spacing w:before="240"/>
      </w:pPr>
      <w:r>
        <w:rPr>
          <w:rFonts w:cs="Times New Roman"/>
          <w:bCs/>
          <w:szCs w:val="24"/>
        </w:rPr>
        <w:t xml:space="preserve">Employee performance is a measure of their competence and responsiveness in the performance of their duties and has a direct impact on the quality, availability, and demand for and use of health services (WHO, 2012). </w:t>
      </w:r>
      <w:r>
        <w:rPr>
          <w:rFonts w:eastAsia="TimesNewRoman" w:cs="Times New Roman"/>
          <w:bCs/>
          <w:szCs w:val="24"/>
        </w:rPr>
        <w:t>In order to enhance green performance, employees should be inspired, empowered, and made environmentally aware of greening to carry out green management initiatives. Green management of organizations requires employees to have technical and management skills that will help them develop and implement innovative environmental management initiatives.</w:t>
      </w:r>
      <w:r>
        <w:t xml:space="preserve"> </w:t>
      </w:r>
    </w:p>
    <w:p w14:paraId="1DF45E38" w14:textId="77777777" w:rsidR="009F33CD" w:rsidRDefault="00E40740">
      <w:pPr>
        <w:spacing w:before="240"/>
      </w:pPr>
      <w:r>
        <w:rPr>
          <w:rFonts w:cs="Times New Roman"/>
          <w:szCs w:val="24"/>
        </w:rPr>
        <w:t>According to</w:t>
      </w:r>
      <w:r>
        <w:rPr>
          <w:rFonts w:eastAsia="TimesNewRoman" w:cs="Times New Roman"/>
          <w:bCs/>
          <w:szCs w:val="24"/>
        </w:rPr>
        <w:t xml:space="preserve"> Marhatta, and Adhikari (2013) if human resource practices are in line with environmental management activities, then business firms are likely to enjoy better performance and environmental sustainability.</w:t>
      </w:r>
      <w:r>
        <w:rPr>
          <w:rFonts w:cs="Times New Roman"/>
          <w:szCs w:val="24"/>
        </w:rPr>
        <w:t xml:space="preserve"> </w:t>
      </w:r>
      <w:r>
        <w:rPr>
          <w:rFonts w:eastAsia="TimesNewRoman" w:cs="Times New Roman"/>
          <w:bCs/>
          <w:szCs w:val="24"/>
        </w:rPr>
        <w:t xml:space="preserve">Opatha and Arulrajah (2014) argue that the green performance of the organization can be achieved by ensuring green process in HRM practices from recruitment and selection of green employees to </w:t>
      </w:r>
      <w:r>
        <w:rPr>
          <w:rFonts w:eastAsia="TimesNewRoman" w:cs="Times New Roman"/>
          <w:bCs/>
          <w:szCs w:val="24"/>
        </w:rPr>
        <w:lastRenderedPageBreak/>
        <w:t>rewards of green employees.</w:t>
      </w:r>
      <w:r>
        <w:rPr>
          <w:rFonts w:cs="Times New Roman"/>
          <w:szCs w:val="24"/>
        </w:rPr>
        <w:t xml:space="preserve"> Green results consist of green innovations in environmental initiatives such as green solutions for reducing healthcare waste pollution and green outcomes such as the number of hours worked by an employee using natural light or a reduced amount of waste of inputs and attainment of performance targets related to the environment. </w:t>
      </w:r>
    </w:p>
    <w:p w14:paraId="42CF4FA7" w14:textId="77777777" w:rsidR="009F33CD" w:rsidRPr="006D5D18" w:rsidRDefault="006D5D18">
      <w:pPr>
        <w:spacing w:before="240"/>
        <w:rPr>
          <w:rFonts w:cs="Times New Roman"/>
          <w:szCs w:val="24"/>
          <w:lang w:val="af-ZA"/>
        </w:rPr>
      </w:pPr>
      <w:r w:rsidRPr="006D5D18">
        <w:rPr>
          <w:rFonts w:cs="Times New Roman"/>
          <w:szCs w:val="24"/>
        </w:rPr>
        <w:t xml:space="preserve">The </w:t>
      </w:r>
      <w:r>
        <w:rPr>
          <w:rFonts w:cs="Times New Roman"/>
          <w:szCs w:val="24"/>
        </w:rPr>
        <w:t>healthcare</w:t>
      </w:r>
      <w:r w:rsidRPr="006D5D18">
        <w:rPr>
          <w:rFonts w:cs="Times New Roman"/>
          <w:szCs w:val="24"/>
        </w:rPr>
        <w:t xml:space="preserve"> sector is recognized for having a substantial ecological footprint, characterized by intensive energy use, high volumes of waste, and considerable greenhouse gas emissions (Sun et al., 2023).</w:t>
      </w:r>
      <w:r>
        <w:rPr>
          <w:rFonts w:cs="Times New Roman"/>
          <w:szCs w:val="24"/>
        </w:rPr>
        <w:t xml:space="preserve"> </w:t>
      </w:r>
      <w:r w:rsidRPr="006D5D18">
        <w:rPr>
          <w:rFonts w:cs="Times New Roman"/>
          <w:szCs w:val="24"/>
          <w:lang w:val="af-ZA"/>
        </w:rPr>
        <w:t>Green Human Resource Management (GHRM) practices have become an important strategic method for healthcare organizations seeking to improve their sustainability performance (Chowdhury et al., 2023).</w:t>
      </w:r>
      <w:r>
        <w:rPr>
          <w:rFonts w:cs="Times New Roman"/>
          <w:szCs w:val="24"/>
          <w:lang w:val="af-ZA"/>
        </w:rPr>
        <w:t xml:space="preserve"> </w:t>
      </w:r>
      <w:r w:rsidR="00E40740">
        <w:rPr>
          <w:rFonts w:cs="Times New Roman"/>
          <w:szCs w:val="24"/>
        </w:rPr>
        <w:t>Green competencies and green attitudes are perceived as green employee inputs and green results are perceived as a green performance of the employee which in turn contributes to the green performance of the organization</w:t>
      </w:r>
      <w:r w:rsidR="00E40740">
        <w:rPr>
          <w:rFonts w:cs="Times New Roman"/>
          <w:bCs/>
          <w:szCs w:val="24"/>
        </w:rPr>
        <w:t>.</w:t>
      </w:r>
      <w:r w:rsidR="00E40740">
        <w:rPr>
          <w:rFonts w:eastAsia="TimesNewRoman" w:cs="Times New Roman"/>
          <w:bCs/>
          <w:szCs w:val="24"/>
        </w:rPr>
        <w:t xml:space="preserve"> Green HRM encourages employees to adopt green culture and understand green culture which they can practice in their private lives (Muster &amp; Schrader, 2011). Organizational performance can be enhanced and improved by implementing green practices in human resource management in terms of green employee resourcing, green learning, and green training. </w:t>
      </w:r>
    </w:p>
    <w:p w14:paraId="262F942F" w14:textId="77777777" w:rsidR="009F33CD" w:rsidRDefault="00E40740">
      <w:pPr>
        <w:spacing w:before="240"/>
        <w:rPr>
          <w:rFonts w:cs="Times New Roman"/>
          <w:szCs w:val="24"/>
        </w:rPr>
      </w:pPr>
      <w:r>
        <w:rPr>
          <w:rFonts w:cs="Times New Roman"/>
          <w:bCs/>
          <w:color w:val="000000"/>
          <w:szCs w:val="24"/>
        </w:rPr>
        <w:t>Some of the benefits of implementing GHRM include reduced cost on energy and printing paper, improved public image, reduced carbon emission, and establishment of an environmentally friendly workspace</w:t>
      </w:r>
      <w:r>
        <w:rPr>
          <w:rFonts w:cs="Times New Roman"/>
          <w:szCs w:val="24"/>
        </w:rPr>
        <w:t xml:space="preserve"> (Haridas &amp; Sivasubramanaian, 2016)</w:t>
      </w:r>
      <w:r>
        <w:rPr>
          <w:rFonts w:cs="Times New Roman"/>
          <w:bCs/>
          <w:color w:val="000000"/>
          <w:szCs w:val="24"/>
        </w:rPr>
        <w:t xml:space="preserve">. </w:t>
      </w:r>
      <w:r>
        <w:rPr>
          <w:rFonts w:eastAsia="TimesNewRomanPSMT" w:cs="Times New Roman"/>
          <w:bCs/>
          <w:szCs w:val="24"/>
        </w:rPr>
        <w:t>Zoogah (201</w:t>
      </w:r>
      <w:r w:rsidR="00F17A6E">
        <w:rPr>
          <w:rFonts w:eastAsia="TimesNewRomanPSMT" w:cs="Times New Roman"/>
          <w:bCs/>
          <w:szCs w:val="24"/>
        </w:rPr>
        <w:t>8</w:t>
      </w:r>
      <w:r>
        <w:rPr>
          <w:rFonts w:eastAsia="TimesNewRomanPSMT" w:cs="Times New Roman"/>
          <w:bCs/>
          <w:szCs w:val="24"/>
        </w:rPr>
        <w:t xml:space="preserve">) describes Green HRM as the practices and policies of HRM that are meant to encourage the use of an organization’s resources in a sustainable manner and promotion of positive environmental initiatives that would boost the morale and satisfaction of employees. In other words, Green HRM tends to promote ecological usage of business resources and prevent any harmful environmental effects arising from the daily operations of the firm. </w:t>
      </w:r>
      <w:r>
        <w:rPr>
          <w:rFonts w:cs="Times New Roman"/>
          <w:szCs w:val="24"/>
        </w:rPr>
        <w:t xml:space="preserve">Dimensions of green performance of jobs include efficient use of input resources effectively by employees when they perform their day-to-day job tasks, duties, and responsibilities, innovative environmental initiatives of employees, and employee contribution to the environmental management initiatives of the organization. </w:t>
      </w:r>
      <w:bookmarkStart w:id="473" w:name="_Hlk174879066"/>
    </w:p>
    <w:p w14:paraId="0A5492BD" w14:textId="77777777" w:rsidR="009F33CD" w:rsidRDefault="00E40740">
      <w:pPr>
        <w:spacing w:before="240"/>
        <w:rPr>
          <w:rFonts w:cs="Times New Roman"/>
          <w:szCs w:val="24"/>
        </w:rPr>
      </w:pPr>
      <w:r>
        <w:rPr>
          <w:rFonts w:cs="Times New Roman"/>
          <w:szCs w:val="24"/>
        </w:rPr>
        <w:lastRenderedPageBreak/>
        <w:t xml:space="preserve">The green performance of employees is the main factor minimizing the harmful impact on the environment of the organization. Each employee's green performance usually leads to group green performance which is referred to as organization green performance (Arulrajah </w:t>
      </w:r>
      <w:r>
        <w:rPr>
          <w:rFonts w:cs="Times New Roman"/>
          <w:i/>
          <w:szCs w:val="24"/>
        </w:rPr>
        <w:t>et al.,</w:t>
      </w:r>
      <w:r>
        <w:rPr>
          <w:rFonts w:cs="Times New Roman"/>
          <w:szCs w:val="24"/>
        </w:rPr>
        <w:t xml:space="preserve"> 2016).</w:t>
      </w:r>
      <w:bookmarkEnd w:id="473"/>
      <w:r>
        <w:rPr>
          <w:rFonts w:cs="Times New Roman"/>
          <w:szCs w:val="24"/>
        </w:rPr>
        <w:t xml:space="preserve"> </w:t>
      </w:r>
      <w:r>
        <w:rPr>
          <w:rFonts w:eastAsia="TimesNewRomanPSMT" w:cs="Times New Roman"/>
          <w:bCs/>
          <w:szCs w:val="24"/>
        </w:rPr>
        <w:t xml:space="preserve">According to Wong </w:t>
      </w:r>
      <w:r>
        <w:rPr>
          <w:rFonts w:eastAsia="TimesNewRomanPSMT" w:cs="Times New Roman"/>
          <w:bCs/>
          <w:i/>
          <w:iCs/>
          <w:szCs w:val="24"/>
        </w:rPr>
        <w:t>et al.</w:t>
      </w:r>
      <w:r>
        <w:rPr>
          <w:rFonts w:eastAsia="TimesNewRomanPSMT" w:cs="Times New Roman"/>
          <w:bCs/>
          <w:szCs w:val="24"/>
        </w:rPr>
        <w:t xml:space="preserve"> (2013), environmental performance can be stated as a measure of positive results from the implementation of environmental activities that are meant to reduce negative effects of the organization’s manufacturing processes and waste on the natural environment.</w:t>
      </w:r>
      <w:r>
        <w:rPr>
          <w:rFonts w:eastAsia="TimesNewRoman" w:cs="Times New Roman"/>
          <w:bCs/>
          <w:szCs w:val="24"/>
        </w:rPr>
        <w:t xml:space="preserve"> </w:t>
      </w:r>
      <w:r>
        <w:rPr>
          <w:rFonts w:cs="Times New Roman"/>
          <w:szCs w:val="24"/>
        </w:rPr>
        <w:t xml:space="preserve">As environmental sustainability requires behaviour change by employees and Harries and Helen (2012) recommended that all members of an organization at all levels are expected to exhibit a positive behavioral change. </w:t>
      </w:r>
    </w:p>
    <w:p w14:paraId="698E10F5" w14:textId="77777777" w:rsidR="009F33CD" w:rsidRDefault="00E40740">
      <w:pPr>
        <w:spacing w:before="240"/>
        <w:rPr>
          <w:rFonts w:cs="Times New Roman"/>
          <w:szCs w:val="24"/>
          <w:lang w:val="af-ZA"/>
        </w:rPr>
      </w:pPr>
      <w:r>
        <w:rPr>
          <w:rFonts w:cs="Times New Roman"/>
          <w:szCs w:val="24"/>
        </w:rPr>
        <w:t xml:space="preserve">A critical green human resource requirement is green behaviour (Daily </w:t>
      </w:r>
      <w:r>
        <w:rPr>
          <w:rFonts w:cs="Times New Roman"/>
          <w:i/>
          <w:szCs w:val="24"/>
        </w:rPr>
        <w:t>et al.,</w:t>
      </w:r>
      <w:r>
        <w:rPr>
          <w:rFonts w:cs="Times New Roman"/>
          <w:szCs w:val="24"/>
        </w:rPr>
        <w:t xml:space="preserve"> 2009; Jackson </w:t>
      </w:r>
      <w:r>
        <w:rPr>
          <w:rFonts w:cs="Times New Roman"/>
          <w:i/>
          <w:szCs w:val="24"/>
        </w:rPr>
        <w:t>et al.,</w:t>
      </w:r>
      <w:r>
        <w:rPr>
          <w:rFonts w:cs="Times New Roman"/>
          <w:szCs w:val="24"/>
        </w:rPr>
        <w:t xml:space="preserve"> 2011). An employee is said to have green behaviour if that employee engages in positive initiatives to help the organization to attain greening. Voluntary green actions that are expected from the employees of healthcare services may include: the use of natural wholesome water; use of both sides of the paper when writing, printing, or photocopying; and shutting down computers when not in use. Other actions may also include minimizing the use of artificial light when working; planting natural flowers in offices to reduce air pollution; re-using or recycling items at the office; switching off air conditioners when not so necessary to have them on; and reporting cases or incidents that may damage the environment. Green health policies and procedures of the hospital should be used to shape and direct the behaviour of employees toward reducing medical waste while improving performance. </w:t>
      </w:r>
    </w:p>
    <w:p w14:paraId="0A2D7EF8" w14:textId="77777777" w:rsidR="009F33CD" w:rsidRDefault="00E40740">
      <w:pPr>
        <w:spacing w:before="240"/>
        <w:rPr>
          <w:rFonts w:cs="Times New Roman"/>
          <w:szCs w:val="24"/>
        </w:rPr>
      </w:pPr>
      <w:r>
        <w:rPr>
          <w:rFonts w:cs="Times New Roman"/>
          <w:szCs w:val="24"/>
        </w:rPr>
        <w:t xml:space="preserve">Green performance of an employee has certain key dimensions and elements under each key dimension which include efficient use of input resources effectively by employees when they perform their day-to-day job tasks, duties, and responsibilities, innovative environmental initiatives of employees towards corporate activities of environmental management (Arulrajah </w:t>
      </w:r>
      <w:r>
        <w:rPr>
          <w:rFonts w:cs="Times New Roman"/>
          <w:i/>
          <w:szCs w:val="24"/>
        </w:rPr>
        <w:t>et al.,</w:t>
      </w:r>
      <w:r>
        <w:rPr>
          <w:rFonts w:cs="Times New Roman"/>
          <w:szCs w:val="24"/>
        </w:rPr>
        <w:t xml:space="preserve"> 2016). </w:t>
      </w:r>
      <w:r>
        <w:rPr>
          <w:rFonts w:eastAsia="TimesNewRoman" w:cs="Times New Roman"/>
          <w:bCs/>
          <w:szCs w:val="24"/>
        </w:rPr>
        <w:t xml:space="preserve">According to Margaretha and Saragih (2013), organizations focus on environmentally sustainable business practices by initiating a greener corporate culture which results in greater efficiency and creating an atmosphere of better employee engagement. Huma </w:t>
      </w:r>
      <w:r>
        <w:rPr>
          <w:rFonts w:eastAsia="TimesNewRoman" w:cs="Times New Roman"/>
          <w:bCs/>
          <w:i/>
          <w:szCs w:val="24"/>
        </w:rPr>
        <w:t>et al</w:t>
      </w:r>
      <w:r>
        <w:rPr>
          <w:rFonts w:eastAsia="TimesNewRoman" w:cs="Times New Roman"/>
          <w:bCs/>
          <w:szCs w:val="24"/>
        </w:rPr>
        <w:t xml:space="preserve"> (2017) argued that green human resource management involves green actions and initiatives that result in the </w:t>
      </w:r>
      <w:r>
        <w:rPr>
          <w:rFonts w:eastAsia="TimesNewRoman" w:cs="Times New Roman"/>
          <w:bCs/>
          <w:szCs w:val="24"/>
        </w:rPr>
        <w:lastRenderedPageBreak/>
        <w:t xml:space="preserve">environmental sustainability of the organization. Green actions are associated with high efficiencies, reduced wastage, high job engagement, increased work-life balance, and increased employee performance. </w:t>
      </w:r>
      <w:r>
        <w:rPr>
          <w:rFonts w:eastAsia="TimesNewRoman" w:cs="Times New Roman"/>
          <w:bCs/>
          <w:color w:val="000000"/>
          <w:szCs w:val="24"/>
        </w:rPr>
        <w:t xml:space="preserve">Cherian and Jacob (2012) opine that the greening of human resource functions by firms may generate positive performance and lead to increased productivity. </w:t>
      </w:r>
    </w:p>
    <w:p w14:paraId="0E6C9C28" w14:textId="77777777" w:rsidR="009F33CD" w:rsidRDefault="00E40740">
      <w:pPr>
        <w:autoSpaceDE/>
        <w:autoSpaceDN/>
        <w:adjustRightInd/>
        <w:spacing w:before="240"/>
        <w:rPr>
          <w:rFonts w:eastAsia="TimesNewRoman" w:cs="Times New Roman"/>
          <w:bCs/>
          <w:szCs w:val="24"/>
        </w:rPr>
      </w:pPr>
      <w:r>
        <w:rPr>
          <w:rFonts w:eastAsia="TimesNewRoman" w:cs="Times New Roman"/>
          <w:bCs/>
          <w:color w:val="000000"/>
          <w:szCs w:val="24"/>
        </w:rPr>
        <w:t xml:space="preserve">On the contrary, firms that do not pay attention to involving their employees in greening activities might be ineffective in their environmental performance (Renwick </w:t>
      </w:r>
      <w:r>
        <w:rPr>
          <w:rFonts w:eastAsia="TimesNewRoman" w:cs="Times New Roman"/>
          <w:bCs/>
          <w:i/>
          <w:color w:val="000000"/>
          <w:szCs w:val="24"/>
        </w:rPr>
        <w:t>et al.,</w:t>
      </w:r>
      <w:r>
        <w:rPr>
          <w:rFonts w:eastAsia="TimesNewRoman" w:cs="Times New Roman"/>
          <w:bCs/>
          <w:color w:val="000000"/>
          <w:szCs w:val="24"/>
        </w:rPr>
        <w:t xml:space="preserve"> 2013). Therefore, in order to achieve greening, some organizations are effectively stimulating the behaviour of their employees toward the preservation of the environment (</w:t>
      </w:r>
      <w:r>
        <w:rPr>
          <w:rFonts w:eastAsia="TimesNewRoman" w:cs="Times New Roman"/>
          <w:bCs/>
          <w:color w:val="222222"/>
          <w:szCs w:val="24"/>
        </w:rPr>
        <w:t>Masri &amp; Jaaron, 2017</w:t>
      </w:r>
      <w:r>
        <w:rPr>
          <w:rFonts w:eastAsia="TimesNewRoman" w:cs="Times New Roman"/>
          <w:bCs/>
          <w:color w:val="000000"/>
          <w:szCs w:val="24"/>
        </w:rPr>
        <w:t xml:space="preserve">). This study conceptualizes that, if </w:t>
      </w:r>
      <w:r>
        <w:rPr>
          <w:rFonts w:cs="Times New Roman"/>
          <w:bCs/>
          <w:szCs w:val="24"/>
        </w:rPr>
        <w:t xml:space="preserve">environmental management activities such as green building, conservation of energy, paperless offices and recycling and waste disposal are linked with human resource management functions to become GHRM, then organizational performance level is likely to increase and environmental sustainability enhanced. </w:t>
      </w:r>
    </w:p>
    <w:p w14:paraId="77AF5683" w14:textId="77777777" w:rsidR="009F33CD" w:rsidRDefault="00E40740">
      <w:pPr>
        <w:spacing w:before="240"/>
        <w:rPr>
          <w:rFonts w:eastAsia="TimesNewRoman" w:cs="Times New Roman"/>
          <w:bCs/>
          <w:szCs w:val="24"/>
        </w:rPr>
      </w:pPr>
      <w:r>
        <w:rPr>
          <w:rFonts w:eastAsia="TimesNewRoman" w:cs="Times New Roman"/>
          <w:bCs/>
          <w:szCs w:val="24"/>
        </w:rPr>
        <w:t xml:space="preserve">The performance of an organization is enhanced and improved by implementing green practices in human resource management in the form of proper green recruitment and selection, green learning, green training, and development programs (Renwick </w:t>
      </w:r>
      <w:r>
        <w:rPr>
          <w:rFonts w:eastAsia="TimesNewRoman" w:cs="Times New Roman"/>
          <w:bCs/>
          <w:i/>
          <w:szCs w:val="24"/>
        </w:rPr>
        <w:t>et al</w:t>
      </w:r>
      <w:r>
        <w:rPr>
          <w:rFonts w:eastAsia="TimesNewRoman" w:cs="Times New Roman"/>
          <w:bCs/>
          <w:szCs w:val="24"/>
        </w:rPr>
        <w:t xml:space="preserve">, 2013). Organizational performance is defined as outputs or goals that the system seeks to achieve. This concept reflects the goals and the ways necessary to achieve them and the aspects of activities that seek to achieve the goals within the organization. Therefore, an organization that has got strong HRM with green initiatives should have better outcomes because its environmental strategies are in line with HR activities. This study focused on the </w:t>
      </w:r>
      <w:r>
        <w:rPr>
          <w:rFonts w:eastAsia="TimesNewRoman" w:cs="Times New Roman"/>
          <w:bCs/>
          <w:szCs w:val="24"/>
          <w:lang w:val="en-US"/>
        </w:rPr>
        <w:t>employee</w:t>
      </w:r>
      <w:r>
        <w:rPr>
          <w:rFonts w:eastAsia="TimesNewRoman" w:cs="Times New Roman"/>
          <w:bCs/>
          <w:szCs w:val="24"/>
        </w:rPr>
        <w:t xml:space="preserve"> performance of Level Five Hospitals as indicated by the number of patients/ clients attended to, client satisfaction, and revenue collected and generated. Paillé (2014) identified a strong and significant link between HRM practices, environmental performance, and organizational performance. Consequently, organizations with robust HRM are likely to experience improved overall performance, as their environmental strategies align with their HR activities. </w:t>
      </w:r>
    </w:p>
    <w:p w14:paraId="1C96D155" w14:textId="77777777" w:rsidR="00963B08" w:rsidRDefault="00963B08">
      <w:pPr>
        <w:autoSpaceDE/>
        <w:autoSpaceDN/>
        <w:adjustRightInd/>
        <w:spacing w:before="0" w:beforeAutospacing="0" w:after="0" w:afterAutospacing="0" w:line="240" w:lineRule="auto"/>
        <w:jc w:val="left"/>
        <w:rPr>
          <w:rFonts w:eastAsia="TimesNewRoman" w:cs="Times New Roman"/>
          <w:bCs/>
          <w:szCs w:val="24"/>
        </w:rPr>
      </w:pPr>
      <w:r>
        <w:rPr>
          <w:rFonts w:eastAsia="TimesNewRoman" w:cs="Times New Roman"/>
          <w:bCs/>
          <w:szCs w:val="24"/>
        </w:rPr>
        <w:br w:type="page"/>
      </w:r>
    </w:p>
    <w:p w14:paraId="60E97987" w14:textId="77777777" w:rsidR="009F33CD" w:rsidRDefault="00E40740">
      <w:pPr>
        <w:spacing w:before="240"/>
        <w:rPr>
          <w:rFonts w:eastAsia="TimesNewRoman" w:cs="Times New Roman"/>
          <w:bCs/>
          <w:szCs w:val="24"/>
        </w:rPr>
      </w:pPr>
      <w:r>
        <w:rPr>
          <w:rFonts w:eastAsia="TimesNewRoman" w:cs="Times New Roman"/>
          <w:bCs/>
          <w:szCs w:val="24"/>
        </w:rPr>
        <w:lastRenderedPageBreak/>
        <w:t>Huma et al (2017) state that GHRM is a phenomenon that involves employee green activities that result in high efficiencies, low wastage, high employee engagement and commitment, improved work-life balance, and high employee performance and environmental sustainability.</w:t>
      </w:r>
      <w:r>
        <w:rPr>
          <w:rFonts w:cs="Times New Roman"/>
          <w:szCs w:val="24"/>
        </w:rPr>
        <w:t xml:space="preserve"> </w:t>
      </w:r>
      <w:r>
        <w:rPr>
          <w:rFonts w:cs="Times New Roman"/>
          <w:bCs/>
          <w:szCs w:val="24"/>
        </w:rPr>
        <w:t xml:space="preserve">Some of the benefits of GHRM to the organization are: cost cutting, improved public image, minimization of carbon emission, and establishment of work space that is environmentally friendly </w:t>
      </w:r>
      <w:r>
        <w:rPr>
          <w:rFonts w:cs="Times New Roman"/>
          <w:szCs w:val="24"/>
        </w:rPr>
        <w:t xml:space="preserve">(Haridas &amp; Sivasubramanaian, 2016). This study conducted trend analyses on the number of clients/patients who attended and the amount of revenue collected for a period of six years from 2014 to 2019, when healthcare services were devolved to the counties. The results were to indicate either an upward/downward trend of performance. The level of client satisfaction was to indicate if patients/clients were satisfied or dissatisfied with the healthcare services. The more clients/patients seek healthcare services the more they are satisfied and the more revenue the healthcare facility collects and vice versa.  </w:t>
      </w:r>
    </w:p>
    <w:p w14:paraId="77E80D1A" w14:textId="77777777" w:rsidR="009F33CD" w:rsidRDefault="00E40740">
      <w:pPr>
        <w:spacing w:before="240"/>
        <w:rPr>
          <w:rFonts w:eastAsia="TimesNewRoman" w:cs="Times New Roman"/>
          <w:bCs/>
          <w:szCs w:val="24"/>
        </w:rPr>
      </w:pPr>
      <w:r>
        <w:rPr>
          <w:rFonts w:eastAsia="TimesNewRoman" w:cs="Times New Roman"/>
          <w:bCs/>
          <w:szCs w:val="24"/>
        </w:rPr>
        <w:t>Good organization performance can be evaluated on the basis of how well it complements the environment and vice versa. Organizational performance, therefore, can be viewed in terms of sustainability which means stability and growth achieved through the provision of quality goods and services with stable revenue resources; efficiency of operations; organizational legitimacy which is regarded as compliance with the law, regulations, social and environmental responsibility; and employee entitlement in terms of employee safety and health, organizational climate, employee commitment and performance. With the current spread of environmental awareness, it has become necessary for organizations to consider reducing any environmental impact through the application of green practices that embrace both technical and administrative skills of employees in the development of environmental initiatives for sustainable competitive advantage and organizational performance (</w:t>
      </w:r>
      <w:r>
        <w:rPr>
          <w:rFonts w:eastAsia="Times New Roman" w:cs="Times New Roman"/>
          <w:szCs w:val="24"/>
        </w:rPr>
        <w:t>Aburahma, Amuna &amp; Aqel, 2020)</w:t>
      </w:r>
      <w:r>
        <w:rPr>
          <w:rFonts w:eastAsia="TimesNewRoman" w:cs="Times New Roman"/>
          <w:bCs/>
          <w:szCs w:val="24"/>
        </w:rPr>
        <w:t xml:space="preserve">. </w:t>
      </w:r>
    </w:p>
    <w:p w14:paraId="1C4B8F37" w14:textId="77777777" w:rsidR="009F33CD" w:rsidRDefault="00E40740">
      <w:pPr>
        <w:spacing w:before="240"/>
        <w:rPr>
          <w:rFonts w:cs="Times New Roman"/>
          <w:szCs w:val="24"/>
        </w:rPr>
      </w:pPr>
      <w:r>
        <w:rPr>
          <w:rFonts w:eastAsia="TimesNewRoman" w:cs="Times New Roman"/>
          <w:bCs/>
          <w:color w:val="000000"/>
          <w:szCs w:val="24"/>
        </w:rPr>
        <w:t xml:space="preserve">A study carried out by Cherian and Jacob (2012) opines that firms that are concerned with greening their human resource functions are more likely to be productive as opposed to those firms that are not greening their HR functions and thus these non-greening firms may lack the effectiveness for positive environmental performance </w:t>
      </w:r>
      <w:r>
        <w:rPr>
          <w:rFonts w:eastAsia="TimesNewRoman" w:cs="Times New Roman"/>
          <w:bCs/>
          <w:color w:val="000000"/>
          <w:szCs w:val="24"/>
        </w:rPr>
        <w:lastRenderedPageBreak/>
        <w:t xml:space="preserve">(Renwick </w:t>
      </w:r>
      <w:r>
        <w:rPr>
          <w:rFonts w:eastAsia="TimesNewRoman" w:cs="Times New Roman"/>
          <w:bCs/>
          <w:i/>
          <w:color w:val="000000"/>
          <w:szCs w:val="24"/>
        </w:rPr>
        <w:t>et al.,</w:t>
      </w:r>
      <w:r>
        <w:rPr>
          <w:rFonts w:eastAsia="TimesNewRoman" w:cs="Times New Roman"/>
          <w:bCs/>
          <w:color w:val="000000"/>
          <w:szCs w:val="24"/>
        </w:rPr>
        <w:t xml:space="preserve"> 2013). Masri and Jaaro (2017) add that many organizations are currently interested in effectively pressing to stimulate the behaviour of their employees towards environmental preservation. </w:t>
      </w:r>
      <w:r>
        <w:rPr>
          <w:rFonts w:eastAsia="Times New Roman" w:cs="Times New Roman"/>
          <w:szCs w:val="24"/>
        </w:rPr>
        <w:t xml:space="preserve">In Kenya, Omune and Nyang’au (2021) found that green human resource management practices significantly positively affected employee performance at Kenyan public universities. </w:t>
      </w:r>
      <w:r>
        <w:rPr>
          <w:rFonts w:cs="Times New Roman"/>
          <w:bCs/>
          <w:szCs w:val="24"/>
        </w:rPr>
        <w:t>The Kenya Health Sector Human Resources Strategy 2014 - 2018</w:t>
      </w:r>
      <w:r>
        <w:rPr>
          <w:rFonts w:cs="Times New Roman"/>
          <w:b/>
          <w:bCs/>
          <w:szCs w:val="24"/>
        </w:rPr>
        <w:t xml:space="preserve"> </w:t>
      </w:r>
      <w:r>
        <w:rPr>
          <w:rFonts w:cs="Times New Roman"/>
          <w:szCs w:val="24"/>
        </w:rPr>
        <w:t xml:space="preserve">articulates the HRH strategic directions in line with the devolved healthcare services management and works towards supporting the goal of the Kenya Health Sector Strategic and Investment Plan (KHSIP, 2014-2018).  </w:t>
      </w:r>
    </w:p>
    <w:p w14:paraId="19C1F2B2" w14:textId="77777777" w:rsidR="009F33CD" w:rsidRDefault="00E40740">
      <w:pPr>
        <w:pStyle w:val="Heading2"/>
        <w:spacing w:before="240" w:after="0"/>
        <w:rPr>
          <w:lang w:val="en-GB"/>
        </w:rPr>
      </w:pPr>
      <w:bookmarkStart w:id="474" w:name="_Toc224237682"/>
      <w:r>
        <w:rPr>
          <w:lang w:val="en-GB"/>
        </w:rPr>
        <w:t>2.4 Empirical Review</w:t>
      </w:r>
      <w:bookmarkEnd w:id="474"/>
      <w:r>
        <w:rPr>
          <w:lang w:val="en-GB"/>
        </w:rPr>
        <w:t xml:space="preserve"> </w:t>
      </w:r>
    </w:p>
    <w:p w14:paraId="4088559B" w14:textId="77777777" w:rsidR="009F33CD" w:rsidRDefault="00E40740" w:rsidP="00542524">
      <w:pPr>
        <w:pStyle w:val="Heading3"/>
      </w:pPr>
      <w:bookmarkStart w:id="475" w:name="_Toc529121480"/>
      <w:bookmarkStart w:id="476" w:name="_Toc529115539"/>
      <w:bookmarkStart w:id="477" w:name="_Toc178939586"/>
      <w:bookmarkStart w:id="478" w:name="_Toc165626332"/>
      <w:bookmarkStart w:id="479" w:name="_Toc165623551"/>
      <w:bookmarkStart w:id="480" w:name="_Toc185614029"/>
      <w:bookmarkStart w:id="481" w:name="_Toc187080799"/>
      <w:bookmarkStart w:id="482" w:name="_Toc178940540"/>
      <w:bookmarkStart w:id="483" w:name="_Toc147950196"/>
      <w:bookmarkStart w:id="484" w:name="_Toc188443933"/>
      <w:bookmarkStart w:id="485" w:name="_Toc188442559"/>
      <w:bookmarkStart w:id="486" w:name="_Toc4148590"/>
      <w:bookmarkStart w:id="487" w:name="_Toc188130586"/>
      <w:bookmarkStart w:id="488" w:name="_Toc178942581"/>
      <w:bookmarkStart w:id="489" w:name="_Toc178944990"/>
      <w:bookmarkStart w:id="490" w:name="_Toc178944238"/>
      <w:bookmarkStart w:id="491" w:name="_Toc224160623"/>
      <w:bookmarkStart w:id="492" w:name="_Toc224237683"/>
      <w:r>
        <w:t xml:space="preserve">2.4.1 Green </w:t>
      </w:r>
      <w:bookmarkEnd w:id="475"/>
      <w:bookmarkEnd w:id="476"/>
      <w:r>
        <w:t>Employee Resourcing and Performance</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4948E4F6" w14:textId="77777777" w:rsidR="005A1A83" w:rsidRDefault="00E40740">
      <w:pPr>
        <w:spacing w:before="240"/>
        <w:rPr>
          <w:rFonts w:cs="Times New Roman"/>
          <w:bCs/>
          <w:szCs w:val="24"/>
        </w:rPr>
      </w:pPr>
      <w:r>
        <w:rPr>
          <w:rFonts w:cs="Times New Roman"/>
          <w:bCs/>
          <w:szCs w:val="24"/>
        </w:rPr>
        <w:t xml:space="preserve">A study was conducted by Chuah, </w:t>
      </w:r>
      <w:r>
        <w:rPr>
          <w:rFonts w:cs="Times New Roman"/>
          <w:bCs/>
          <w:i/>
          <w:iCs/>
          <w:szCs w:val="24"/>
        </w:rPr>
        <w:t>et al.</w:t>
      </w:r>
      <w:r>
        <w:rPr>
          <w:rFonts w:cs="Times New Roman"/>
          <w:bCs/>
          <w:szCs w:val="24"/>
        </w:rPr>
        <w:t xml:space="preserve"> (2021) to explore the impact of Green Human Resource Management on green lifestyle and job performance among employees among academic and administrative staff at University Technology MARA Puncak Alam Campus. Using a non-probability convenient sampling method, data was gathered through 100 questionnaires. The findings revealed that GHRM practices had a significant and positive impact on the job performance of workers. However, this study was limited to UiTM Puncak Alam Campus and had a relatively small sample size. </w:t>
      </w:r>
    </w:p>
    <w:p w14:paraId="0C84A06A" w14:textId="77777777" w:rsidR="009F33CD" w:rsidRDefault="00E40740">
      <w:pPr>
        <w:spacing w:before="240"/>
        <w:rPr>
          <w:rFonts w:cs="Times New Roman"/>
          <w:bCs/>
          <w:szCs w:val="24"/>
        </w:rPr>
      </w:pPr>
      <w:r>
        <w:rPr>
          <w:rFonts w:cs="Times New Roman"/>
          <w:bCs/>
          <w:szCs w:val="24"/>
        </w:rPr>
        <w:t>The survey distribution did not account for departmental allocation or the proportion of academic and administrative staff. This study implies that implementing GHRM practices motivates HR practitioners to enhance environmental awareness among the employees and therefore aligns the organization with the current global emphasis on sustainability. Further, it highlights the scarcity of research on GHRM in educational institutions.</w:t>
      </w:r>
    </w:p>
    <w:p w14:paraId="570ABD53" w14:textId="77777777" w:rsidR="009F33CD" w:rsidRDefault="00E40740">
      <w:pPr>
        <w:spacing w:before="240"/>
        <w:rPr>
          <w:rFonts w:eastAsia="TimesNewRoman" w:cs="Times New Roman"/>
          <w:bCs/>
          <w:szCs w:val="24"/>
        </w:rPr>
      </w:pPr>
      <w:r>
        <w:rPr>
          <w:rFonts w:eastAsia="TimesNewRoman" w:cs="Times New Roman"/>
          <w:bCs/>
          <w:szCs w:val="24"/>
        </w:rPr>
        <w:t xml:space="preserve">Huma </w:t>
      </w:r>
      <w:r>
        <w:rPr>
          <w:rFonts w:eastAsia="TimesNewRoman" w:cs="Times New Roman"/>
          <w:bCs/>
          <w:i/>
          <w:szCs w:val="24"/>
        </w:rPr>
        <w:t>et al.</w:t>
      </w:r>
      <w:r>
        <w:rPr>
          <w:rFonts w:eastAsia="TimesNewRoman" w:cs="Times New Roman"/>
          <w:bCs/>
          <w:szCs w:val="24"/>
        </w:rPr>
        <w:t xml:space="preserve"> (2017) conducted a study on the impact of green human resource management practices on job seekers’ attraction in Pakistan. The role of employer reputation was the moderating variable. The study applied a survey design on a sample of 300 MBA students from three Southern Punjab universities. The study findings </w:t>
      </w:r>
      <w:r>
        <w:rPr>
          <w:rFonts w:eastAsia="TimesNewRoman" w:cs="Times New Roman"/>
          <w:bCs/>
          <w:szCs w:val="24"/>
        </w:rPr>
        <w:lastRenderedPageBreak/>
        <w:t xml:space="preserve">indicated that green HRM practices had a positive impact on job seekers’ attraction and employers’ good reputation was found to increase the positive effect of green HRM practices on job seekers’ attraction. The study contributed to more knowledge about how green HRM practices can increase job seekers’ attraction to the firms and improve the green reputation of such firms. The researcher further found that greening of human resource management was the new and emerging area for research scholars. </w:t>
      </w:r>
    </w:p>
    <w:p w14:paraId="520E098B" w14:textId="77777777" w:rsidR="009F33CD" w:rsidRDefault="00E40740">
      <w:pPr>
        <w:rPr>
          <w:rFonts w:eastAsia="TimesNewRoman" w:cs="Times New Roman"/>
          <w:bCs/>
          <w:szCs w:val="24"/>
        </w:rPr>
      </w:pPr>
      <w:r>
        <w:t>A study exploring how different organizational contexts may influence HRM outcomes and performance of employees in public health organizations in Australia was conducted by Leggat, Bartram, and Stanton (2011). The authors used a mixed-methods approach, interviewing and surveying Chief Executive Officers (CEOs), Human Resource Managers, and other Senior Managers in all public hospitals and other community health service organizations in the State of Victoria, Australia. They used 42 practices covering the different areas of HRM, such as planning, training and development, and staffing and recruitment. For performance, they used employee outcome measures, such as job satisfaction, empowerment, and staff turnover. The results indicated a positive correlation between certain aspects of HRM practices and improved healthcare delivery and patient outcomes. The researchers found the existence of a linear relationship between HRM and the perceived quality of healthcare mediated by HRM outcomes, such as psychological empowerment. They reported that public healthcare organizations in Australia generally did not have the necessary aspects of HRM in place, which could necessitate more effective implementation of the new policies.</w:t>
      </w:r>
    </w:p>
    <w:p w14:paraId="7F910504" w14:textId="77777777" w:rsidR="009F33CD" w:rsidRDefault="00E40740">
      <w:pPr>
        <w:rPr>
          <w:rFonts w:eastAsia="TimesNewRoman" w:cs="Times New Roman"/>
          <w:bCs/>
          <w:szCs w:val="24"/>
        </w:rPr>
      </w:pPr>
      <w:r>
        <w:rPr>
          <w:rFonts w:cs="Times New Roman"/>
          <w:bCs/>
          <w:szCs w:val="24"/>
        </w:rPr>
        <w:t xml:space="preserve">Hameed and Mohamed (2016) investigated the influence of HRM Practices on the performance of Hospitals in India. This study used a sample of 250 nurses drawn from a population of 600 nurses. A structured questionnaire was used to collect data from four Leading hospitals in Tiruchirapalli district. The results of Partial Least Square Path Modelling indicated that recruitment and selection, and training and development were significant predictors of organizational performance. The research concluded that when there are healthy HRM practices in Hospitals, it will result in the development of individual productivity and organizational performance in hospitals. Nyawira et al. (2022) did a study on management of human resources for health: implications for </w:t>
      </w:r>
      <w:r>
        <w:rPr>
          <w:rFonts w:cs="Times New Roman"/>
          <w:bCs/>
          <w:szCs w:val="24"/>
        </w:rPr>
        <w:lastRenderedPageBreak/>
        <w:t xml:space="preserve">health systems sufficiency in Kenya and found that the major challenges affecting efficiency in county health systems were underfunding, staff shortages, and delay in salary payment. </w:t>
      </w:r>
    </w:p>
    <w:p w14:paraId="797A5D64" w14:textId="77777777" w:rsidR="009F33CD" w:rsidRDefault="00E40740">
      <w:pPr>
        <w:spacing w:before="240"/>
        <w:rPr>
          <w:rFonts w:cs="Times New Roman"/>
          <w:szCs w:val="24"/>
        </w:rPr>
      </w:pPr>
      <w:r>
        <w:rPr>
          <w:rFonts w:cs="Times New Roman"/>
          <w:szCs w:val="24"/>
        </w:rPr>
        <w:t>Javed and Cheema (2017) investigated the impact of the adoption of green human resource management in the agricultural industry and the results indicated a positive relationship with organizational outcomes. Green resourcing of employees in the agricultural sector was found to help in conserving the environment and attaining superior performance. The research was conducted by Rawashdeha (2018)</w:t>
      </w:r>
      <w:r>
        <w:rPr>
          <w:rFonts w:eastAsia="TimesNewRoman" w:cs="Times New Roman"/>
          <w:bCs/>
          <w:szCs w:val="24"/>
        </w:rPr>
        <w:t xml:space="preserve"> about </w:t>
      </w:r>
      <w:r>
        <w:rPr>
          <w:rFonts w:cs="Times New Roman"/>
          <w:szCs w:val="24"/>
        </w:rPr>
        <w:t>the impact of green HRM on the environmental performance of health service organizations in Jordan. Data was collected from a sample of</w:t>
      </w:r>
      <w:r>
        <w:rPr>
          <w:rFonts w:eastAsia="TimesNewRoman" w:cs="Times New Roman"/>
          <w:bCs/>
          <w:szCs w:val="24"/>
        </w:rPr>
        <w:t xml:space="preserve"> 87 respondents using a questionnaire. Descriptive statistical methods were applied to analyze and present data. The findings of this study revealed a moderate application of a bundle of Green HRM practices. The study found a significantly positive relationship between Green HRM practices and environmental performance. The study further found that the management of each hospital had not invested enough money in employee green training and development programs. This is because many health service organizations in Jordan have adopted cost-reduction approaches due to economic challenges affecting the country. This study has a weakness because it only considered the effect of three green HR variables on environmental performance, the sample was small and the study did not include hospital administrators as respondents. The study recommended future studies to recruit a larger sample size for proper generalization of findings.</w:t>
      </w:r>
    </w:p>
    <w:p w14:paraId="665DB7BE" w14:textId="77777777" w:rsidR="009F33CD" w:rsidRDefault="00E40740">
      <w:pPr>
        <w:pStyle w:val="Default"/>
        <w:spacing w:before="240" w:line="360" w:lineRule="auto"/>
        <w:jc w:val="both"/>
        <w:rPr>
          <w:rFonts w:eastAsiaTheme="minorHAnsi"/>
          <w:bCs/>
        </w:rPr>
      </w:pPr>
      <w:r>
        <w:rPr>
          <w:rFonts w:eastAsiaTheme="minorHAnsi"/>
          <w:bCs/>
        </w:rPr>
        <w:t xml:space="preserve">Danilwan </w:t>
      </w:r>
      <w:r>
        <w:rPr>
          <w:rFonts w:eastAsiaTheme="minorHAnsi"/>
          <w:bCs/>
          <w:i/>
          <w:iCs/>
        </w:rPr>
        <w:t>et al.</w:t>
      </w:r>
      <w:r>
        <w:rPr>
          <w:rFonts w:eastAsiaTheme="minorHAnsi"/>
          <w:bCs/>
        </w:rPr>
        <w:t xml:space="preserve"> (2020) carried out a case study in Indonesian healthcare sector. The title of the study was inducing organizational citizenship behaviour through the GHRM bundle and its impact on environmentally sustainable performance. The independent variables were green training and involvement, green hiring, performance management and compensation, and green organizational citizenship as a mediating variable. It was an online survey-quantitative data collection approach with 402 respondents. The majority of the participants revealed that green performance management and compensation had a great influence on organizational citizenship behaviour and environmentally sustainable performance. Green training and </w:t>
      </w:r>
      <w:r>
        <w:rPr>
          <w:rFonts w:eastAsiaTheme="minorHAnsi"/>
          <w:bCs/>
        </w:rPr>
        <w:lastRenderedPageBreak/>
        <w:t>involvement had a moderate effect, while green hiring had the least effect on the dependent variable. The study concluded that if healthcare service management in Indonesia made some productive and green-related strategies, then favourable outcomes would be generated with an enhanced sustainable growth rate in the sector. This study did not use interviews or mixed research to supplement online-based data collection and the study was done in the Indonesian healthcare sector, and therefore it can be generalized to other countries. The study recommended further research in other countries to cover its limitations.</w:t>
      </w:r>
    </w:p>
    <w:p w14:paraId="345EDBF3" w14:textId="77777777" w:rsidR="009F33CD" w:rsidRDefault="00E40740">
      <w:r>
        <w:t xml:space="preserve">Oyedokun (2019) carried out a study to investigate GHRM and its effect on a sustainable competitive edge in the Nigerian manufacturing industry. The study considered green recruitment, green training and development, green compensation, and green employee relations as independent variables of sustainable competitive edge. A descriptive research design was applied and a sample of 217 questionnaires was analyzed. The major findings indicated that all the independent variables had a positive and significant effect on a sustainable competitive edge in the Nigerian manufacturing industry. The study recommended that the Nigerian manufacturing industry should prioritize environmentally friendly business operations over stakeholders’ wealth maximization. </w:t>
      </w:r>
    </w:p>
    <w:p w14:paraId="3628D0A5" w14:textId="77777777" w:rsidR="009F33CD" w:rsidRDefault="00E40740">
      <w:pPr>
        <w:pStyle w:val="Default"/>
        <w:spacing w:before="240" w:line="360" w:lineRule="auto"/>
        <w:jc w:val="both"/>
        <w:rPr>
          <w:rFonts w:eastAsiaTheme="minorHAnsi"/>
          <w:bCs/>
        </w:rPr>
      </w:pPr>
      <w:bookmarkStart w:id="493" w:name="_Hlk174872574"/>
      <w:r>
        <w:rPr>
          <w:rFonts w:eastAsiaTheme="minorHAnsi"/>
          <w:bCs/>
        </w:rPr>
        <w:t>Mwita and Kinemo (2018) investigated the role of green recruitment and selection on the performance of processing industries in Tanzania- the case of Tobacco Processors Limited. The study used purposive and random sampling techniques to pick 72 respondents drawn from 212 permanent employees. A questionnaire and interview methods were used to collect data. Descriptive statistics was used to analyze qualitative and quantitative data. The research findings indicated that organizations that practice green recruiting and selection attracted more and better job applicants than organizations that don’t practice. In addition, the study found the existence of a positively linear relationship between green recruiting, selection, and performance of firms.</w:t>
      </w:r>
      <w:bookmarkEnd w:id="493"/>
      <w:r>
        <w:rPr>
          <w:rFonts w:eastAsiaTheme="minorHAnsi"/>
          <w:bCs/>
        </w:rPr>
        <w:t xml:space="preserve"> Based on this study's findings, one can argue that devolved Healthcare services in Kenya may attract more green job applicants if they apply greening in their employee resourcing or hiring practices.</w:t>
      </w:r>
    </w:p>
    <w:p w14:paraId="56D91BD6" w14:textId="77777777" w:rsidR="009F33CD" w:rsidRDefault="00E40740">
      <w:pPr>
        <w:rPr>
          <w:rFonts w:cs="Times New Roman"/>
          <w:szCs w:val="24"/>
        </w:rPr>
      </w:pPr>
      <w:bookmarkStart w:id="494" w:name="_Hlk185370008"/>
      <w:r>
        <w:rPr>
          <w:rFonts w:cs="Times New Roman"/>
          <w:bCs/>
          <w:szCs w:val="24"/>
        </w:rPr>
        <w:lastRenderedPageBreak/>
        <w:t xml:space="preserve">Kiplangat, Sang, and Kingori </w:t>
      </w:r>
      <w:r>
        <w:rPr>
          <w:rFonts w:cs="Times New Roman"/>
          <w:szCs w:val="24"/>
        </w:rPr>
        <w:t xml:space="preserve">(2022) </w:t>
      </w:r>
      <w:bookmarkEnd w:id="494"/>
      <w:r>
        <w:rPr>
          <w:rFonts w:cs="Times New Roman"/>
          <w:szCs w:val="24"/>
        </w:rPr>
        <w:t xml:space="preserve">carried out a study entitled The Influence of green recruitment and selection on the sustainability of selected Tea Factories in Kericho highlands of Kenya. This study used a co-relational research design targeting a population of 915 respondents working in tea factories in Kericho and a sample of 278 employees. A structured questionnaire was used to collect primary data that was analyzed using descriptive statistics and regression. The results revealed a positive significant relationship between green recruitment and selection and sustainability of tea factories. Further, the study recommended although various tea factories had adopted and implemented green HRM practices, they should embrace and practice online job applications and online interviews.  </w:t>
      </w:r>
    </w:p>
    <w:p w14:paraId="620DCF09" w14:textId="77777777" w:rsidR="009F33CD" w:rsidRDefault="00E40740">
      <w:pPr>
        <w:rPr>
          <w:rFonts w:cs="Times New Roman"/>
          <w:bCs/>
          <w:szCs w:val="24"/>
        </w:rPr>
      </w:pPr>
      <w:r>
        <w:rPr>
          <w:rFonts w:cs="Times New Roman"/>
          <w:bCs/>
          <w:szCs w:val="24"/>
        </w:rPr>
        <w:t xml:space="preserve">A study conducted by Amjad </w:t>
      </w:r>
      <w:r>
        <w:rPr>
          <w:rFonts w:cs="Times New Roman"/>
          <w:bCs/>
          <w:i/>
          <w:szCs w:val="24"/>
        </w:rPr>
        <w:t xml:space="preserve">et al. </w:t>
      </w:r>
      <w:r>
        <w:rPr>
          <w:rFonts w:cs="Times New Roman"/>
          <w:bCs/>
          <w:szCs w:val="24"/>
        </w:rPr>
        <w:t xml:space="preserve">(2021) on green HRM practices on organizational sustainability, through the mediating role of environmental and employee performance in Pakistani’s manufacturing industries.  The study collected data through a questionnaire from 165 managerial personnel. The study findings showed a significant effect of green human resource management practices (training and development, performance appraisal, and reward and compensation) on organizational sustainability. This study recommended further studies to be carried out on sustainability issues and green human resource management. Therefore, the natural environment should be protected from negative change, preserved, and conserved, and pollution of the environment should be minimized through the generation of gardens and other green-like places of work. </w:t>
      </w:r>
    </w:p>
    <w:p w14:paraId="46CC747F" w14:textId="77777777" w:rsidR="009F33CD" w:rsidRDefault="00E40740">
      <w:pPr>
        <w:rPr>
          <w:rFonts w:cs="Times New Roman"/>
          <w:bCs/>
          <w:szCs w:val="24"/>
        </w:rPr>
      </w:pPr>
      <w:r>
        <w:rPr>
          <w:rFonts w:cs="Times New Roman"/>
          <w:bCs/>
          <w:szCs w:val="24"/>
        </w:rPr>
        <w:t xml:space="preserve">Haridas and Sivasubramanaian (2016) investigated </w:t>
      </w:r>
      <w:r>
        <w:rPr>
          <w:rFonts w:cs="Times New Roman"/>
          <w:bCs/>
          <w:iCs/>
          <w:szCs w:val="24"/>
        </w:rPr>
        <w:t>the level of influence of Green HRM practices on the performance of Manufacturing Industries in Kerala, Pakistan. A questionnaire was used to collect data; while hypothesis testing was conducted using Pearson Correlation and Regression analysis. The result of the regression analysis showed that the green practices of HRM such as green recruitment, green training, and employee involvement have a significant impact on the firm performance.</w:t>
      </w:r>
      <w:r>
        <w:rPr>
          <w:rFonts w:cs="Times New Roman"/>
          <w:bCs/>
          <w:szCs w:val="24"/>
        </w:rPr>
        <w:t xml:space="preserve"> This study recommended that HR managers in organizations should apply appropriate green HRM policies and practices that can result in a greater impact on firm performance and environmental sustainability.</w:t>
      </w:r>
    </w:p>
    <w:p w14:paraId="2C9DF904" w14:textId="77777777" w:rsidR="009F33CD" w:rsidRDefault="00E40740">
      <w:pPr>
        <w:rPr>
          <w:rFonts w:cs="Times New Roman"/>
          <w:bCs/>
          <w:szCs w:val="24"/>
        </w:rPr>
      </w:pPr>
      <w:r>
        <w:rPr>
          <w:rFonts w:cs="Times New Roman"/>
          <w:szCs w:val="24"/>
        </w:rPr>
        <w:lastRenderedPageBreak/>
        <w:t>Makhamara</w:t>
      </w:r>
      <w:r>
        <w:rPr>
          <w:rFonts w:cs="Times New Roman"/>
          <w:bCs/>
          <w:szCs w:val="24"/>
        </w:rPr>
        <w:t xml:space="preserve"> (2017) conducted a study on the effect of Strategic Human Resource Management Practices on the performance of employees in the health sector of Kenya. The study considered the influence of strategic recruitment and selection, strategic welfare services, strategic training, strategic employee voice, and strategic reward systems on employee performance. The study used a descriptive survey design with some elements of a cross-sectional survey research design. A sample of 146 employees from a target population of 1428 employees of four Level Five Hospitals was used. Simple random sampling was used in selecting the Level Five hospitals. The study conducted correlation and multiple regression analysis and found that the five variables under study influenced employee performance in the health sector. The researcher suggested further research be conducted to investigate other factors which influence employee performance. Based on the findings, the study recommended further research to be carried out in private hospitals to generalize the influence of SHRM practices on employee performance.</w:t>
      </w:r>
    </w:p>
    <w:p w14:paraId="4366CFDE" w14:textId="77777777" w:rsidR="009F33CD" w:rsidRDefault="00E40740" w:rsidP="00542524">
      <w:pPr>
        <w:pStyle w:val="Heading3"/>
      </w:pPr>
      <w:bookmarkStart w:id="495" w:name="_Toc523764165"/>
      <w:bookmarkStart w:id="496" w:name="_Toc529115540"/>
      <w:bookmarkStart w:id="497" w:name="_Toc529121481"/>
      <w:bookmarkStart w:id="498" w:name="_Toc178939587"/>
      <w:bookmarkStart w:id="499" w:name="_Toc188442560"/>
      <w:bookmarkStart w:id="500" w:name="_Toc178944239"/>
      <w:bookmarkStart w:id="501" w:name="_Toc4148591"/>
      <w:bookmarkStart w:id="502" w:name="_Toc188443934"/>
      <w:bookmarkStart w:id="503" w:name="_Toc178944991"/>
      <w:bookmarkStart w:id="504" w:name="_Toc187080800"/>
      <w:bookmarkStart w:id="505" w:name="_Toc188130587"/>
      <w:bookmarkStart w:id="506" w:name="_Toc185614030"/>
      <w:bookmarkStart w:id="507" w:name="_Toc147950197"/>
      <w:bookmarkStart w:id="508" w:name="_Toc178940541"/>
      <w:bookmarkStart w:id="509" w:name="_Toc165626333"/>
      <w:bookmarkStart w:id="510" w:name="_Toc178942582"/>
      <w:bookmarkStart w:id="511" w:name="_Toc165623552"/>
      <w:bookmarkStart w:id="512" w:name="_Toc224160624"/>
      <w:bookmarkStart w:id="513" w:name="_Toc224237684"/>
      <w:r>
        <w:t xml:space="preserve">2.4.2 Green </w:t>
      </w:r>
      <w:bookmarkEnd w:id="495"/>
      <w:r>
        <w:t>Training</w:t>
      </w:r>
      <w:bookmarkEnd w:id="496"/>
      <w:bookmarkEnd w:id="497"/>
      <w:r>
        <w:t xml:space="preserve"> and Performance</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A414114" w14:textId="77777777" w:rsidR="009F33CD" w:rsidRDefault="00E40740">
      <w:pPr>
        <w:autoSpaceDE/>
        <w:autoSpaceDN/>
        <w:adjustRightInd/>
        <w:spacing w:before="240" w:after="200"/>
        <w:rPr>
          <w:rFonts w:cs="Times New Roman"/>
          <w:bCs/>
          <w:iCs/>
          <w:color w:val="000000"/>
          <w:szCs w:val="24"/>
        </w:rPr>
      </w:pPr>
      <w:r>
        <w:rPr>
          <w:rFonts w:eastAsia="TimesNewRoman" w:cs="Times New Roman"/>
          <w:bCs/>
          <w:szCs w:val="24"/>
        </w:rPr>
        <w:t xml:space="preserve">A study was carried out by Huma </w:t>
      </w:r>
      <w:r>
        <w:rPr>
          <w:rFonts w:eastAsia="TimesNewRoman" w:cs="Times New Roman"/>
          <w:bCs/>
          <w:i/>
          <w:szCs w:val="24"/>
        </w:rPr>
        <w:t>et al.</w:t>
      </w:r>
      <w:r>
        <w:rPr>
          <w:rFonts w:eastAsia="TimesNewRoman" w:cs="Times New Roman"/>
          <w:bCs/>
          <w:szCs w:val="24"/>
        </w:rPr>
        <w:t xml:space="preserve"> (2017) on the impact of Green Human Resource practices on the performance of firms in Pakistan.  Specific independent variables considered in the study were green recruitment, green training, and green learning. A crossed-ended questionnaire with items on green HRM practices was used to collect data from managers of 376 firms in Pakistan. Multiple regression analysis was conducted to test the effect of green HRM variables on firm performance. The results found a significant effect of study variables on the performance of firms. </w:t>
      </w:r>
      <w:r>
        <w:rPr>
          <w:rFonts w:cs="Times New Roman"/>
          <w:szCs w:val="24"/>
        </w:rPr>
        <w:t xml:space="preserve">Haridas and Sivasubramanaian (2016) investigated </w:t>
      </w:r>
      <w:r>
        <w:rPr>
          <w:rFonts w:cs="Times New Roman"/>
          <w:bCs/>
          <w:iCs/>
          <w:color w:val="000000"/>
          <w:szCs w:val="24"/>
        </w:rPr>
        <w:t>the effect of Green HRM practices on the organization performance of Manufacturing Industries in Pakistan. A questionnaire was used to collect data, while Pearson Correlation and Regression analysis were conducted to test the study hypothesis. The study results indicated that the application of Green HRM practices particularly green recruitment, green training, and green employee involvement had a significant effect on the performance of industries in Pakistan.</w:t>
      </w:r>
      <w:r>
        <w:rPr>
          <w:rStyle w:val="A3"/>
          <w:rFonts w:cs="Times New Roman"/>
          <w:szCs w:val="24"/>
        </w:rPr>
        <w:t xml:space="preserve"> It was concluded that </w:t>
      </w:r>
      <w:r>
        <w:rPr>
          <w:rFonts w:cs="Times New Roman"/>
          <w:szCs w:val="24"/>
        </w:rPr>
        <w:t>that HR managers in the organizations should develop and implement appropriate green HRM policies and practices that will result in a great impact on firm performance which also leads to environmental sustainability.</w:t>
      </w:r>
    </w:p>
    <w:p w14:paraId="146A7668" w14:textId="77777777" w:rsidR="009F33CD" w:rsidRDefault="00E40740">
      <w:pPr>
        <w:autoSpaceDE/>
        <w:autoSpaceDN/>
        <w:adjustRightInd/>
        <w:spacing w:before="240"/>
        <w:rPr>
          <w:rFonts w:cs="Times New Roman"/>
          <w:bCs/>
          <w:szCs w:val="24"/>
        </w:rPr>
      </w:pPr>
      <w:r>
        <w:rPr>
          <w:rFonts w:cs="Times New Roman"/>
          <w:bCs/>
          <w:szCs w:val="24"/>
        </w:rPr>
        <w:lastRenderedPageBreak/>
        <w:t xml:space="preserve">Ogbu and Okwurume (2019) investigated the relationship between green human resource management and organizational sustainability of deposit money banks in Nigeria using a cross-sectional survey. Simple random sampling was used to pick ten deposit money banks and five bank managers. A total of 41 questionnaires were used for analysis. The study found that green training, green recruitment, and green human relations positively affected the organizational sustainability of deposit money banks in Nigeria. </w:t>
      </w:r>
    </w:p>
    <w:p w14:paraId="534D3AF6" w14:textId="77777777" w:rsidR="009F33CD" w:rsidRDefault="00E40740">
      <w:pPr>
        <w:autoSpaceDE/>
        <w:autoSpaceDN/>
        <w:adjustRightInd/>
        <w:spacing w:before="240"/>
        <w:rPr>
          <w:rFonts w:cs="Times New Roman"/>
          <w:bCs/>
          <w:szCs w:val="24"/>
        </w:rPr>
      </w:pPr>
      <w:r>
        <w:rPr>
          <w:rFonts w:cs="Times New Roman"/>
          <w:bCs/>
          <w:szCs w:val="24"/>
        </w:rPr>
        <w:t>A study was conducted in Hungary by Ayman, Farheen, and Ildiko (2021) entitled Impact of Green Human Resources Management on Green Work Engagement in Renewable Energy Departments of three big energy companies. This study focused on the independent variables; green rewards, green recruitment, green performance management, and green training. About 238 self-administered questionnaires were analyzed. The results revealed green training and green rewards significantly predicted green work engagement, while green performance management did not significantly affect green work engagement. The research study recommended that companies that require improving green work engagement among employees should implement green HRM practices, especially green rewards and green training practices. Further, the authors recommend the execution of green management practices at all levels of their companies. It is necessary, the authors recommend, to conduct further research on other factors of Green HRM practices on green work engagement and or consider introducing moderating or mediating variables in the relationship between independent and dependent variables.</w:t>
      </w:r>
    </w:p>
    <w:p w14:paraId="54DBDEA2" w14:textId="77777777" w:rsidR="009F33CD" w:rsidRDefault="00E40740">
      <w:pPr>
        <w:autoSpaceDE/>
        <w:autoSpaceDN/>
        <w:adjustRightInd/>
        <w:spacing w:before="240"/>
        <w:rPr>
          <w:rFonts w:cs="Times New Roman"/>
          <w:bCs/>
          <w:szCs w:val="24"/>
        </w:rPr>
      </w:pPr>
      <w:r>
        <w:rPr>
          <w:rFonts w:cs="Times New Roman"/>
          <w:bCs/>
          <w:szCs w:val="24"/>
        </w:rPr>
        <w:t xml:space="preserve">Another study by Osman </w:t>
      </w:r>
      <w:r>
        <w:rPr>
          <w:rFonts w:cs="Times New Roman"/>
          <w:bCs/>
          <w:i/>
          <w:szCs w:val="24"/>
        </w:rPr>
        <w:t>et al.</w:t>
      </w:r>
      <w:r>
        <w:rPr>
          <w:rFonts w:cs="Times New Roman"/>
          <w:bCs/>
          <w:szCs w:val="24"/>
        </w:rPr>
        <w:t xml:space="preserve"> (2011) investigated the relationship between HR practices and the performance of a firm in Malaysia; and found that the effectiveness of implementing HR practices in a company had a major impact on the performance of a firm. The findings also show that HR practices have an impact of nearly 50 percent on firm performance. Thang </w:t>
      </w:r>
      <w:r>
        <w:rPr>
          <w:rFonts w:cs="Times New Roman"/>
          <w:bCs/>
          <w:i/>
          <w:szCs w:val="24"/>
        </w:rPr>
        <w:t>et al.</w:t>
      </w:r>
      <w:r>
        <w:rPr>
          <w:rFonts w:cs="Times New Roman"/>
          <w:bCs/>
          <w:szCs w:val="24"/>
        </w:rPr>
        <w:t xml:space="preserve"> (2010) on a study entitled Understanding of the effects of Training on Firm Performance by reviewed theory and previous empirical studies on the relationship between training and firm performance. The authors highlighted that training can have positive and significant effects on firm performance. </w:t>
      </w:r>
      <w:r>
        <w:rPr>
          <w:rFonts w:cs="Times New Roman"/>
          <w:bCs/>
          <w:szCs w:val="24"/>
        </w:rPr>
        <w:lastRenderedPageBreak/>
        <w:t xml:space="preserve">They also highlighted that training is a valuable path to follow when an organization would like to improve its performance. </w:t>
      </w:r>
    </w:p>
    <w:p w14:paraId="11F8E2F1" w14:textId="77777777" w:rsidR="009F33CD" w:rsidRDefault="00E40740">
      <w:pPr>
        <w:autoSpaceDE/>
        <w:autoSpaceDN/>
        <w:adjustRightInd/>
        <w:spacing w:before="240"/>
        <w:rPr>
          <w:bCs/>
        </w:rPr>
      </w:pPr>
      <w:r>
        <w:rPr>
          <w:bCs/>
        </w:rPr>
        <w:t xml:space="preserve">A study was carried out by Pineda-Herrero </w:t>
      </w:r>
      <w:r>
        <w:rPr>
          <w:bCs/>
          <w:i/>
          <w:iCs/>
        </w:rPr>
        <w:t>et al.</w:t>
      </w:r>
      <w:r>
        <w:rPr>
          <w:bCs/>
        </w:rPr>
        <w:t xml:space="preserve"> (2011) on Evaluation of training effectiveness in the Spanish Health Sector and published in the Journal of Workplace Learning by Emerald Group Publishing Limited. The study targeted 1550 health professionals in Spain who underwent a total of 153 training programs designed to meet the needs of the professionals in the rational use of medicines. A sample of 351 professionals was used. Two questionnaires based on a five-point Likert scale were administered online to the trainees to evaluate the transfer of training. One questionnaire was administered immediately after finishing the training session and another two months later. This study found that trainees improved their professional performance through the transfer of what they had learned through training to service delivery. The trainees considered that training met their needs that they had acquired updated knowledge, and that training had a positive effect on their personal development. Support from colleagues, personal motivation, and a positive climate at the workplace were found to increase the rate of transfer in that order. Support from the organization, and implementation opportunities were also considered important.</w:t>
      </w:r>
    </w:p>
    <w:p w14:paraId="1426F538" w14:textId="77777777" w:rsidR="009F33CD" w:rsidRDefault="00E40740">
      <w:pPr>
        <w:spacing w:before="240"/>
        <w:rPr>
          <w:rFonts w:cs="Times New Roman"/>
          <w:szCs w:val="24"/>
        </w:rPr>
      </w:pPr>
      <w:r>
        <w:rPr>
          <w:rFonts w:cs="Times New Roman"/>
          <w:szCs w:val="24"/>
        </w:rPr>
        <w:t>Mpeo and Baraka (2017) investigated the e</w:t>
      </w:r>
      <w:r>
        <w:rPr>
          <w:rFonts w:cs="Times New Roman"/>
          <w:bCs/>
          <w:szCs w:val="24"/>
        </w:rPr>
        <w:t>ffect of training on employee performance at Institutions of higher learning in Arusha, Tanzania</w:t>
      </w:r>
      <w:r>
        <w:rPr>
          <w:rFonts w:cs="Times New Roman"/>
          <w:szCs w:val="24"/>
        </w:rPr>
        <w:t>. T</w:t>
      </w:r>
      <w:r>
        <w:rPr>
          <w:rFonts w:cs="Times New Roman"/>
          <w:iCs/>
          <w:szCs w:val="24"/>
        </w:rPr>
        <w:t>he study employed a questionnaire which was randomly distributed to 149 teaching and non-teaching staff and the responses were analyzed by using descriptive and inferential statistics. The study findings found that on-the-job training such as orientation, coaching, and mentoring were positively correlated with job performance, and therefore, the study concluded that training is a key factor for improved employee performance.</w:t>
      </w:r>
    </w:p>
    <w:p w14:paraId="359A2BA1" w14:textId="77777777" w:rsidR="009F33CD" w:rsidRDefault="00E40740">
      <w:pPr>
        <w:pStyle w:val="Default"/>
        <w:spacing w:before="240" w:line="360" w:lineRule="auto"/>
        <w:jc w:val="both"/>
        <w:rPr>
          <w:bCs/>
        </w:rPr>
      </w:pPr>
      <w:r>
        <w:t xml:space="preserve">Environmental training is seen as an important practice in HR because it assists the organization in implementing environmental management policies (Jabbour et al., 2013). The different kinds of training given to employees include vocational training, general and specific training. They found that satisfaction with short-term rewards and long-term prospects was far more influential in determining overall satisfaction than contentment with social relationships or work intensity. According to HRM, it is a </w:t>
      </w:r>
      <w:r>
        <w:lastRenderedPageBreak/>
        <w:t xml:space="preserve">professional skill; those non-professional managers like heads of public healthcare institutions need proper training and best practices. </w:t>
      </w:r>
      <w:r>
        <w:rPr>
          <w:bCs/>
        </w:rPr>
        <w:t xml:space="preserve">A firm’s manpower practices must develop employee’s knowledge, skills, and motivation to behave in ways that should be implemented (Dessler, 2013). </w:t>
      </w:r>
    </w:p>
    <w:p w14:paraId="7688817F" w14:textId="77777777" w:rsidR="009F33CD" w:rsidRDefault="00E40740">
      <w:r>
        <w:t xml:space="preserve">A study was conducted by Vuyokazi (2019) to determine if knowing green HRM practices influences its implementation within organizations. The study was carried out </w:t>
      </w:r>
      <w:bookmarkStart w:id="514" w:name="_Hlk183421525"/>
      <w:r>
        <w:t>at higher education institutions in KwaZulu-Natal</w:t>
      </w:r>
      <w:bookmarkEnd w:id="514"/>
      <w:r>
        <w:t xml:space="preserve">, South Africa. The study applied triangulated empirical design with quantitative and qualitative approaches. Quantitative data from fifty-three self-administered questionnaires was analyzed using SPSS version 24, while qualitative data collected through interviews with twenty senior human resource practitioners and managers was analyzed using the content or thematic analysis. The findings revealed a moderate knowledge and understanding of green HRM activities and a moderate application of green HRM principles. Further, there was no green HRM policy framework to guide green activities, despite the fact that the findings revealed a strong correlation between knowledge of green HRM activities and its implementation within the organizations. The study recommends that organizations that require being resource sustainable need to develop green HRM policies and conduct employee training to create awareness and improve skills that will address the challenges of climate change.  </w:t>
      </w:r>
    </w:p>
    <w:p w14:paraId="6DDCE650" w14:textId="77777777" w:rsidR="009F33CD" w:rsidRDefault="00E40740">
      <w:pPr>
        <w:spacing w:before="240"/>
        <w:rPr>
          <w:rFonts w:cs="Times New Roman"/>
          <w:bCs/>
          <w:szCs w:val="24"/>
        </w:rPr>
      </w:pPr>
      <w:r>
        <w:rPr>
          <w:rFonts w:cs="Times New Roman"/>
          <w:bCs/>
          <w:szCs w:val="24"/>
        </w:rPr>
        <w:t xml:space="preserve">A study was conducted by Langat and Kwasira (2016) to determine the influence of GHRM practices on environmental sustainability at Kenyatta University. The findings of this study indicated that recruitment of employees in the university did not include green issues and therefore the study concluded that employees had little involvement in environmental issues. The findings further showed that the performance management system of the university did not sufficiently include environmental performance indicators.  The study findings recommended that there is a need for vigorous green training through workshops and seminars the employees in order to build and nurture green behaviour among employees. Further, managers with competencies in environmental skills and abilities should be employed to work with other administrators to ensure environmental sustainability.  </w:t>
      </w:r>
    </w:p>
    <w:p w14:paraId="4E7C6A98" w14:textId="77777777" w:rsidR="009F33CD" w:rsidRDefault="00E40740" w:rsidP="00542524">
      <w:pPr>
        <w:pStyle w:val="Heading3"/>
      </w:pPr>
      <w:bookmarkStart w:id="515" w:name="_Toc529115541"/>
      <w:bookmarkStart w:id="516" w:name="_Toc529121482"/>
      <w:bookmarkStart w:id="517" w:name="_Toc178940542"/>
      <w:bookmarkStart w:id="518" w:name="_Toc178942583"/>
      <w:bookmarkStart w:id="519" w:name="_Toc188443935"/>
      <w:bookmarkStart w:id="520" w:name="_Toc147950198"/>
      <w:bookmarkStart w:id="521" w:name="_Toc165623553"/>
      <w:bookmarkStart w:id="522" w:name="_Toc4148592"/>
      <w:bookmarkStart w:id="523" w:name="_Toc188130588"/>
      <w:bookmarkStart w:id="524" w:name="_Toc188442561"/>
      <w:bookmarkStart w:id="525" w:name="_Toc187080801"/>
      <w:bookmarkStart w:id="526" w:name="_Toc165626334"/>
      <w:bookmarkStart w:id="527" w:name="_Toc178939588"/>
      <w:bookmarkStart w:id="528" w:name="_Toc178944240"/>
      <w:bookmarkStart w:id="529" w:name="_Toc185614031"/>
      <w:bookmarkStart w:id="530" w:name="_Toc178944992"/>
      <w:bookmarkStart w:id="531" w:name="_Toc224160625"/>
      <w:bookmarkStart w:id="532" w:name="_Toc224237685"/>
      <w:r>
        <w:lastRenderedPageBreak/>
        <w:t xml:space="preserve">2.4.3 Green Occupational Safety and Health </w:t>
      </w:r>
      <w:bookmarkEnd w:id="515"/>
      <w:bookmarkEnd w:id="516"/>
      <w:r>
        <w:t>and Performance</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161239D7" w14:textId="77777777" w:rsidR="009F33CD" w:rsidRDefault="00E40740">
      <w:pPr>
        <w:pStyle w:val="Pa10"/>
        <w:spacing w:before="240" w:line="360" w:lineRule="auto"/>
        <w:jc w:val="both"/>
        <w:rPr>
          <w:rFonts w:ascii="Times New Roman" w:hAnsi="Times New Roman" w:cs="Times New Roman"/>
          <w:bCs/>
          <w:lang w:val="en-GB"/>
        </w:rPr>
      </w:pPr>
      <w:bookmarkStart w:id="533" w:name="_Toc529115543"/>
      <w:bookmarkStart w:id="534" w:name="_Toc529121484"/>
      <w:bookmarkStart w:id="535" w:name="_Toc523764164"/>
      <w:r>
        <w:rPr>
          <w:rFonts w:ascii="Times New Roman" w:hAnsi="Times New Roman" w:cs="Times New Roman"/>
          <w:bCs/>
          <w:lang w:val="en-GB"/>
        </w:rPr>
        <w:t xml:space="preserve">According to WHO (2010), </w:t>
      </w:r>
      <w:r>
        <w:rPr>
          <w:rFonts w:ascii="Times New Roman" w:hAnsi="Times New Roman" w:cs="Times New Roman"/>
          <w:lang w:val="en-GB"/>
        </w:rPr>
        <w:t xml:space="preserve">it is the duty and responsibility of the employer to ensure occupational safety and health of her employees against diseases and injury, </w:t>
      </w:r>
      <w:r>
        <w:rPr>
          <w:rStyle w:val="A4"/>
          <w:rFonts w:ascii="Times New Roman" w:hAnsi="Times New Roman" w:cs="Times New Roman"/>
          <w:sz w:val="24"/>
          <w:szCs w:val="24"/>
          <w:lang w:val="en-GB"/>
        </w:rPr>
        <w:t xml:space="preserve">because a healthy and safe work environment promotes work productivity and is a key element of worker human dignity (ILO, 2010). </w:t>
      </w:r>
      <w:r>
        <w:rPr>
          <w:rFonts w:ascii="Times New Roman" w:hAnsi="Times New Roman" w:cs="Times New Roman"/>
          <w:iCs/>
          <w:lang w:val="en-GB"/>
        </w:rPr>
        <w:t xml:space="preserve">A study was carried out by </w:t>
      </w:r>
      <w:r>
        <w:rPr>
          <w:rFonts w:ascii="Times New Roman" w:hAnsi="Times New Roman" w:cs="Times New Roman"/>
          <w:bCs/>
          <w:lang w:val="en-GB"/>
        </w:rPr>
        <w:t xml:space="preserve">Nangila (2015) </w:t>
      </w:r>
      <w:r>
        <w:rPr>
          <w:rFonts w:ascii="Times New Roman" w:hAnsi="Times New Roman" w:cs="Times New Roman"/>
          <w:iCs/>
          <w:lang w:val="en-GB"/>
        </w:rPr>
        <w:t xml:space="preserve">to establish the effect </w:t>
      </w:r>
      <w:r>
        <w:rPr>
          <w:rFonts w:ascii="Times New Roman" w:hAnsi="Times New Roman" w:cs="Times New Roman"/>
          <w:bCs/>
          <w:lang w:val="en-GB"/>
        </w:rPr>
        <w:t xml:space="preserve">of human resource functions on the performance of employees in a devolved health sector in Kenya: a case of Mbagathi District Hospital. </w:t>
      </w:r>
      <w:r>
        <w:rPr>
          <w:rFonts w:ascii="Times New Roman" w:hAnsi="Times New Roman" w:cs="Times New Roman"/>
          <w:iCs/>
          <w:lang w:val="en-GB"/>
        </w:rPr>
        <w:t>This study adopted a descriptive research design and a stratified random sample of 180 respondents from a target population of 600 employees. Data was collected from respondents using a questionnaire. Through correlation and multiple regression analysis, the study established that the recruitment process, training, reward, and work environment had a positive effect on employee performance at Mbagathi Hospital. The study found that most studies in the health sector were done in foreign countries and t</w:t>
      </w:r>
      <w:r>
        <w:rPr>
          <w:rFonts w:ascii="Times New Roman" w:hAnsi="Times New Roman" w:cs="Times New Roman"/>
          <w:lang w:val="en-GB"/>
        </w:rPr>
        <w:t xml:space="preserve">he variables under the study accounted for about 70% influence on employee performance. The researcher, therefore, recommended further research on other factors that could be influencing the performance of employees in a devolved health sector in Kenya. </w:t>
      </w:r>
      <w:r>
        <w:rPr>
          <w:rFonts w:ascii="Times New Roman" w:hAnsi="Times New Roman" w:cs="Times New Roman"/>
          <w:iCs/>
          <w:lang w:val="en-GB"/>
        </w:rPr>
        <w:t xml:space="preserve">The researcher recommended further or similar studies in the health sector that can lead to a more conclusive generalization of the phenomenon. </w:t>
      </w:r>
      <w:r>
        <w:rPr>
          <w:rFonts w:ascii="Times New Roman" w:hAnsi="Times New Roman" w:cs="Times New Roman"/>
          <w:lang w:val="en-GB"/>
        </w:rPr>
        <w:t xml:space="preserve">Green occupational safety and health refer to traditional safety and health practices that have features of environmental management.  </w:t>
      </w:r>
      <w:bookmarkStart w:id="536" w:name="_Hlk174038151"/>
    </w:p>
    <w:p w14:paraId="5441A0CE" w14:textId="77777777" w:rsidR="009F33CD" w:rsidRDefault="00E40740">
      <w:r>
        <w:t xml:space="preserve">Sharifa and Mohammed (2019) developed a conceptual framework for the impact of GHRM practices on sustainable performance in Palestinian healthcare organizations. The study applied mixed design by carrying out 14 semi-structured interviews with senior healthcare managers and distributing 69 questionnaires to managers who have been practicing green human resource management at various management levels. The study found that GHRM practices were implemented at a moderate level and this led to high sustainable performance. Further, the study revealed that green hiring and green training and involvement had the most effect on sustainable performance, while green performance management and compensation had the least influence. The study concluded that GHRM practices are emerging in less developed economies and, therefore, require more attention from healthcare sector decision-makers and </w:t>
      </w:r>
      <w:r>
        <w:lastRenderedPageBreak/>
        <w:t xml:space="preserve">stakeholders’ pressure to protect and preserve the environment. Hossari and Elfahli (2023) conducted a study on Green Human Resource Management, as an Exploratory Study from Moroccan ISO 14001 Certified Companies. The study was carried out to determine the level of awareness among senior managers about green human resource management and explored the relationship between environmental concerns and human resource strategies, the importance of GHRM, and implementation challenges. In-depth semi-structured interview was used to collect data from human resource managers and directors of four ISO 14001 certified companies. Qualitative data was arranged in themes and analyzed using NVIVO12 software. The results found that GHRM was still young in Morocco and only a few studies have been done with faced many challenges. The researchers recommended further studies in other companies using a bigger sample and expanding the research into the importance of green HRM in creating green businesses.    </w:t>
      </w:r>
    </w:p>
    <w:bookmarkEnd w:id="536"/>
    <w:p w14:paraId="74C2E569" w14:textId="77777777" w:rsidR="009F33CD" w:rsidRDefault="00E40740">
      <w:pPr>
        <w:pStyle w:val="Pa10"/>
        <w:spacing w:before="240" w:line="360" w:lineRule="auto"/>
        <w:jc w:val="both"/>
        <w:rPr>
          <w:rFonts w:ascii="Times New Roman" w:hAnsi="Times New Roman" w:cs="Times New Roman"/>
          <w:lang w:val="en-GB"/>
        </w:rPr>
      </w:pPr>
      <w:r>
        <w:rPr>
          <w:rFonts w:ascii="Times New Roman" w:hAnsi="Times New Roman" w:cs="Times New Roman"/>
          <w:bCs/>
          <w:lang w:val="en-GB"/>
        </w:rPr>
        <w:t xml:space="preserve">Makokha (2013) did a study on performance challenges in the public security sector with a focus on the police in Nairobi, Kenya, and found that a conducive work environment boosts the morale of workers and hence their comfort. The work environment comprised of workload, stress management, physical environment, and support by supervisors among other factors. The level of comfort seemed to influence police officer job satisfaction. </w:t>
      </w:r>
    </w:p>
    <w:p w14:paraId="73E7E088" w14:textId="77777777" w:rsidR="009F33CD" w:rsidRDefault="00E40740" w:rsidP="00542524">
      <w:pPr>
        <w:pStyle w:val="Heading3"/>
      </w:pPr>
      <w:bookmarkStart w:id="537" w:name="_Toc147950199"/>
      <w:bookmarkStart w:id="538" w:name="_Toc178940543"/>
      <w:bookmarkStart w:id="539" w:name="_Toc188442562"/>
      <w:bookmarkStart w:id="540" w:name="_Toc165623554"/>
      <w:bookmarkStart w:id="541" w:name="_Toc188443936"/>
      <w:bookmarkStart w:id="542" w:name="_Toc178939589"/>
      <w:bookmarkStart w:id="543" w:name="_Toc185614032"/>
      <w:bookmarkStart w:id="544" w:name="_Toc178944241"/>
      <w:bookmarkStart w:id="545" w:name="_Toc165626335"/>
      <w:bookmarkStart w:id="546" w:name="_Toc178942584"/>
      <w:bookmarkStart w:id="547" w:name="_Toc188130589"/>
      <w:bookmarkStart w:id="548" w:name="_Toc187080802"/>
      <w:bookmarkStart w:id="549" w:name="_Toc178944993"/>
      <w:bookmarkStart w:id="550" w:name="_Toc224160626"/>
      <w:bookmarkStart w:id="551" w:name="_Toc224237686"/>
      <w:r>
        <w:t>2.4.4 Green Performance Evaluation</w:t>
      </w:r>
      <w:bookmarkEnd w:id="533"/>
      <w:bookmarkEnd w:id="534"/>
      <w:r>
        <w:t xml:space="preserve"> and Performance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219DB71F" w14:textId="77777777" w:rsidR="009F33CD" w:rsidRDefault="00E40740">
      <w:pPr>
        <w:spacing w:before="240"/>
        <w:rPr>
          <w:rStyle w:val="A3"/>
        </w:rPr>
      </w:pPr>
      <w:bookmarkStart w:id="552" w:name="_Hlk175261709"/>
      <w:r>
        <w:rPr>
          <w:rFonts w:cs="Times New Roman"/>
          <w:bCs/>
          <w:szCs w:val="24"/>
        </w:rPr>
        <w:t>Green performance appraisal is a process of evaluating the performance of an employee’s activities during the process of environmental management. Performance appraisal can then be conducted on those clear green indicators and any deviations may force employees to take more pro-environmental actions</w:t>
      </w:r>
      <w:r>
        <w:rPr>
          <w:rFonts w:cs="Times New Roman"/>
          <w:bCs/>
          <w:color w:val="000000"/>
          <w:szCs w:val="24"/>
        </w:rPr>
        <w:t xml:space="preserve"> (Renwick </w:t>
      </w:r>
      <w:r>
        <w:rPr>
          <w:rFonts w:cs="Times New Roman"/>
          <w:bCs/>
          <w:i/>
          <w:color w:val="000000"/>
          <w:szCs w:val="24"/>
        </w:rPr>
        <w:t>et al.,</w:t>
      </w:r>
      <w:r>
        <w:rPr>
          <w:rFonts w:cs="Times New Roman"/>
          <w:bCs/>
          <w:color w:val="000000"/>
          <w:szCs w:val="24"/>
        </w:rPr>
        <w:t xml:space="preserve"> 2013)</w:t>
      </w:r>
      <w:r>
        <w:rPr>
          <w:rFonts w:cs="Times New Roman"/>
          <w:bCs/>
          <w:szCs w:val="24"/>
        </w:rPr>
        <w:t xml:space="preserve">. </w:t>
      </w:r>
      <w:bookmarkStart w:id="553" w:name="_Toc529121485"/>
      <w:bookmarkStart w:id="554" w:name="_Toc529115544"/>
      <w:bookmarkEnd w:id="535"/>
      <w:bookmarkEnd w:id="552"/>
      <w:r>
        <w:t xml:space="preserve">The green-related criteria </w:t>
      </w:r>
      <w:r>
        <w:rPr>
          <w:rStyle w:val="A3"/>
        </w:rPr>
        <w:t xml:space="preserve">of an employee’s performance should contain a separate section with issues on greening and online feedback. The tasks a company needs to follow when going through performance evaluation include green performance standards and indicators at all departmental levels. The roles of managers in achieving green outcomes should be included in the performance appraisals in the form of green targets, and environmental responsibilities; the number of green incidents, and </w:t>
      </w:r>
      <w:r>
        <w:rPr>
          <w:rStyle w:val="A3"/>
        </w:rPr>
        <w:lastRenderedPageBreak/>
        <w:t xml:space="preserve">effective communication to all employees about environmental policy and green schemes and ensuring the establishment of organization-wide dialogue on matters of greening. </w:t>
      </w:r>
    </w:p>
    <w:p w14:paraId="3A86E186" w14:textId="77777777" w:rsidR="009F33CD" w:rsidRDefault="00E40740">
      <w:pPr>
        <w:spacing w:before="240"/>
        <w:rPr>
          <w:rStyle w:val="A3"/>
          <w:bCs/>
        </w:rPr>
      </w:pPr>
      <w:r>
        <w:rPr>
          <w:bCs/>
          <w:color w:val="000000"/>
        </w:rPr>
        <w:t xml:space="preserve">Sobaih (2019) conducted a study entitled Green Human Resource Management in Egyptian Hotels by considering the extent the hotels in Egypt adopted GHRM practices and the barriers faced during implementation. Some of the GHRM practices considered in this study were: green job analysis and design, green recruitment and selection, green training and development, green induction, green discipline, green reward, and green employee relations. A random sample of 303 hotel managers in the Red Sea Region filled self-administered questionnaire was analyzed. The results revealed that Egyptian hotels do not apply GHRM practices because of the barriers facing the management and employees in the implementation process. </w:t>
      </w:r>
    </w:p>
    <w:p w14:paraId="6386B389" w14:textId="77777777" w:rsidR="009F33CD" w:rsidRDefault="00E40740">
      <w:pPr>
        <w:spacing w:before="240"/>
        <w:rPr>
          <w:rFonts w:cs="Times New Roman"/>
          <w:iCs/>
          <w:szCs w:val="24"/>
        </w:rPr>
      </w:pPr>
      <w:bookmarkStart w:id="555" w:name="_Toc529121486"/>
      <w:bookmarkStart w:id="556" w:name="_Toc529115545"/>
      <w:bookmarkEnd w:id="553"/>
      <w:bookmarkEnd w:id="554"/>
      <w:r>
        <w:rPr>
          <w:rFonts w:cs="Times New Roman"/>
          <w:iCs/>
          <w:szCs w:val="24"/>
        </w:rPr>
        <w:t>A study was conducted by Yen-Ku, Tariq, Shuja, Fakhrul, Mahir, and Rudsada (2022) on the i</w:t>
      </w:r>
      <w:r>
        <w:rPr>
          <w:rFonts w:cs="Times New Roman"/>
          <w:bCs/>
          <w:iCs/>
          <w:szCs w:val="24"/>
        </w:rPr>
        <w:t xml:space="preserve">mpact of Green HRM Practices on Environmental Performance in the </w:t>
      </w:r>
      <w:r>
        <w:rPr>
          <w:rFonts w:cs="Times New Roman"/>
          <w:iCs/>
          <w:szCs w:val="24"/>
        </w:rPr>
        <w:t>chemical industry in Pakistan. This study was a cross-sectional online survey of 500 permanent employees and the theories that supported this study were: social learning theory and resource-based theory. The study variables were: green compensation and reward, green training and development, green recruitment and selection, green performance management and appraisal, and finally green innovation as a mediating variable. The findings of this study showed a significant positive effect of green human resource management practices through green innovation on environmental performance. Further, results showed that each independent variable had a significant and positive impact on environmental performance. Finally, the results of the mediating variable indicated that green innovation had strong support in mediating the effect between green HRM and environmental performance. The study was conducted in a chemical industry in a developing country and was limited to the study of the mediating role of green innovation on the relationship between GHRM practices and environmental performance. The researcher recommended a comparative study of green HRM practices in developing and developed countries.</w:t>
      </w:r>
    </w:p>
    <w:p w14:paraId="41A27127" w14:textId="77777777" w:rsidR="009F33CD" w:rsidRDefault="00E40740">
      <w:pPr>
        <w:spacing w:before="240"/>
        <w:rPr>
          <w:rFonts w:cs="Times New Roman"/>
          <w:bCs/>
          <w:iCs/>
          <w:szCs w:val="24"/>
        </w:rPr>
      </w:pPr>
      <w:r>
        <w:rPr>
          <w:rFonts w:cs="Times New Roman"/>
          <w:bCs/>
          <w:iCs/>
          <w:szCs w:val="24"/>
        </w:rPr>
        <w:lastRenderedPageBreak/>
        <w:t xml:space="preserve">Kavitha Haldorai </w:t>
      </w:r>
      <w:r>
        <w:rPr>
          <w:rFonts w:cs="Times New Roman"/>
          <w:bCs/>
          <w:i/>
          <w:iCs/>
          <w:szCs w:val="24"/>
        </w:rPr>
        <w:t>et al</w:t>
      </w:r>
      <w:r>
        <w:rPr>
          <w:rFonts w:cs="Times New Roman"/>
          <w:bCs/>
          <w:iCs/>
          <w:szCs w:val="24"/>
        </w:rPr>
        <w:t xml:space="preserve"> (2022) carried out a study on the impact of top management green commitment and green intellectual capital on hotel environmental performance with a focus on the mediating role of green human resource management in Manila, United States of America. A longitudinal online survey was used on a sample of 800 hotel employees. The results revealed that top management's green commitment and green intellectual capital had a direct impact on green human resource management and hotel environmental performance.  Green training for employees develops firm human capital as a valuable, non-substitutable, rare, and difficult to imitate resource. The results further revealed that the business environment has changed due to resource constraints, technological advancements, emerging markets, environmental degradation, and environmental awareness. Green drivers such as top management green commitment and green intellectual capital cause high environmental performance.</w:t>
      </w:r>
    </w:p>
    <w:p w14:paraId="0FDBAB9B" w14:textId="77777777" w:rsidR="009F33CD" w:rsidRDefault="00E40740">
      <w:pPr>
        <w:spacing w:before="240"/>
        <w:rPr>
          <w:rFonts w:cs="Times New Roman"/>
          <w:bCs/>
          <w:iCs/>
          <w:szCs w:val="24"/>
        </w:rPr>
      </w:pPr>
      <w:r>
        <w:rPr>
          <w:rFonts w:cs="Times New Roman"/>
          <w:bCs/>
          <w:iCs/>
          <w:szCs w:val="24"/>
        </w:rPr>
        <w:t xml:space="preserve"> A study was carried out by Mandago (2019) to evaluate the influence of green human resources management practices on the environmental sustainability of service-based state corporations in Kenya. The study focused on the effect of green recruitment and selection, green training and development, green reward, and green performance management on environmental sustainability. The study applied a descriptive research design with a sample of 122 respondents who filled out self-administered questionnaires. The study found that green human resource management practices had a positive and significant influence on environmental sustainability in service-based state corporations in Kenya. The study recommended that state corporations should adopt green HRM initiatives that can enhance environmental sustainability. The study also recommended further studies to be conducted by introducing mediating or moderating factors in the relationship between independent and dependent variables. </w:t>
      </w:r>
    </w:p>
    <w:p w14:paraId="795302E4" w14:textId="77777777" w:rsidR="009F33CD" w:rsidRDefault="00E40740">
      <w:pPr>
        <w:spacing w:before="240"/>
        <w:rPr>
          <w:rFonts w:cs="Times New Roman"/>
          <w:szCs w:val="24"/>
        </w:rPr>
      </w:pPr>
      <w:r>
        <w:rPr>
          <w:rFonts w:cs="Times New Roman"/>
          <w:szCs w:val="24"/>
        </w:rPr>
        <w:t xml:space="preserve">Kenyan Healthcare Sector (2016) research found that the capacity and quality of training of health workers is a continuous concern in Kenya. Over the years there has been a gradient growth in private sector health training institutions which assists in increasing the supply of health workers, particularly in the private sector where there is a large shortage of workers being able to work up to their standards. There is a high health worker shortage which gap can be (partially) filled by providing E-Learning </w:t>
      </w:r>
      <w:r>
        <w:rPr>
          <w:rFonts w:cs="Times New Roman"/>
          <w:szCs w:val="24"/>
        </w:rPr>
        <w:lastRenderedPageBreak/>
        <w:t>solutions and quality improvement courses for health workers to keep up with the latest trends in developments in the treatment of patients</w:t>
      </w:r>
      <w:bookmarkEnd w:id="555"/>
      <w:bookmarkEnd w:id="556"/>
      <w:r>
        <w:rPr>
          <w:rFonts w:cs="Times New Roman"/>
          <w:szCs w:val="24"/>
        </w:rPr>
        <w:t>.</w:t>
      </w:r>
    </w:p>
    <w:p w14:paraId="00A2DDC4" w14:textId="77777777" w:rsidR="009F33CD" w:rsidRDefault="00E40740" w:rsidP="00542524">
      <w:pPr>
        <w:pStyle w:val="Heading2"/>
        <w:rPr>
          <w:lang w:val="en-GB"/>
        </w:rPr>
      </w:pPr>
      <w:bookmarkStart w:id="557" w:name="_Toc224237687"/>
      <w:bookmarkEnd w:id="248"/>
      <w:bookmarkEnd w:id="249"/>
      <w:bookmarkEnd w:id="250"/>
      <w:bookmarkEnd w:id="251"/>
      <w:r>
        <w:rPr>
          <w:lang w:val="en-GB"/>
        </w:rPr>
        <w:t xml:space="preserve">2.5 Critique of the </w:t>
      </w:r>
      <w:r w:rsidRPr="00542524">
        <w:t>Existing</w:t>
      </w:r>
      <w:r>
        <w:rPr>
          <w:lang w:val="en-GB"/>
        </w:rPr>
        <w:t xml:space="preserve"> Literature Reviewed</w:t>
      </w:r>
      <w:bookmarkEnd w:id="557"/>
    </w:p>
    <w:p w14:paraId="03226247" w14:textId="77777777" w:rsidR="009F33CD" w:rsidRDefault="00E40740">
      <w:pPr>
        <w:spacing w:before="240"/>
        <w:rPr>
          <w:rFonts w:eastAsia="TimesNewRoman" w:cs="Times New Roman"/>
          <w:bCs/>
          <w:szCs w:val="24"/>
        </w:rPr>
      </w:pPr>
      <w:bookmarkStart w:id="558" w:name="_Hlk183541504"/>
      <w:r>
        <w:rPr>
          <w:rFonts w:eastAsia="TimesNewRoman" w:cs="Times New Roman"/>
          <w:bCs/>
          <w:szCs w:val="24"/>
        </w:rPr>
        <w:t xml:space="preserve">Huma </w:t>
      </w:r>
      <w:r>
        <w:rPr>
          <w:rFonts w:eastAsia="TimesNewRoman" w:cs="Times New Roman"/>
          <w:bCs/>
          <w:i/>
          <w:szCs w:val="24"/>
        </w:rPr>
        <w:t>et al.</w:t>
      </w:r>
      <w:r>
        <w:rPr>
          <w:rFonts w:eastAsia="TimesNewRoman" w:cs="Times New Roman"/>
          <w:bCs/>
          <w:szCs w:val="24"/>
        </w:rPr>
        <w:t xml:space="preserve"> (2017) conducted a study on the impact of green human resource management practices on job seekers’ attraction in Pakistan. The study findings indicated that green HRM practices had a positive impact on job seekers’ attraction and employers’ good reputation was found to increase the positive effect of green HRM practices on job seekers’ attraction</w:t>
      </w:r>
      <w:bookmarkEnd w:id="558"/>
      <w:r>
        <w:rPr>
          <w:rFonts w:eastAsia="TimesNewRoman" w:cs="Times New Roman"/>
          <w:bCs/>
          <w:szCs w:val="24"/>
        </w:rPr>
        <w:t xml:space="preserve">. The researcher further found that greening of human resource management was a new and emerging area for research scholars and therefore recommended a further study in the same area based on other developing economies. </w:t>
      </w:r>
    </w:p>
    <w:p w14:paraId="5920E881" w14:textId="77777777" w:rsidR="009F33CD" w:rsidRDefault="00E40740">
      <w:pPr>
        <w:autoSpaceDE/>
        <w:autoSpaceDN/>
        <w:adjustRightInd/>
        <w:spacing w:before="240" w:after="200"/>
        <w:rPr>
          <w:rFonts w:eastAsia="TimesNewRoman" w:cs="Times New Roman"/>
          <w:bCs/>
          <w:szCs w:val="24"/>
        </w:rPr>
      </w:pPr>
      <w:r>
        <w:rPr>
          <w:rFonts w:eastAsia="TimesNewRoman" w:cs="Times New Roman"/>
          <w:bCs/>
          <w:szCs w:val="24"/>
        </w:rPr>
        <w:t>A study was carried out by Bhutto and Auranzeb (2016) on the impact of Green Human Resource practices on the performance of firms in Pakistan. Limitations of this study include first, the use of subjective performance measures; and second, the study was based only on employee perspective of green practices and organizational performance and ignored strategic perspective. This study did not consider other green HRM practices such as green training, green performance evaluation, and green employee relations, among others. The study did not consider the influence of moderating variables on the study variables and moreover it was based on one firm performance in Pakistan so it cannot be generalized to other firms in other countries like Kenya.</w:t>
      </w:r>
    </w:p>
    <w:p w14:paraId="5E84705E" w14:textId="77777777" w:rsidR="009F33CD" w:rsidRDefault="00E40740">
      <w:pPr>
        <w:autoSpaceDE/>
        <w:autoSpaceDN/>
        <w:adjustRightInd/>
        <w:spacing w:before="240" w:after="200"/>
        <w:rPr>
          <w:rFonts w:cs="Times New Roman"/>
          <w:bCs/>
          <w:iCs/>
          <w:color w:val="000000"/>
          <w:szCs w:val="24"/>
        </w:rPr>
      </w:pPr>
      <w:r>
        <w:rPr>
          <w:rFonts w:eastAsia="TimesNewRoman" w:cs="Times New Roman"/>
          <w:bCs/>
          <w:szCs w:val="24"/>
        </w:rPr>
        <w:t xml:space="preserve"> </w:t>
      </w:r>
      <w:r>
        <w:rPr>
          <w:rFonts w:cs="Times New Roman"/>
          <w:szCs w:val="24"/>
        </w:rPr>
        <w:t xml:space="preserve">Haridas and Sivasubramanaian (2016) investigated </w:t>
      </w:r>
      <w:r>
        <w:rPr>
          <w:rFonts w:cs="Times New Roman"/>
          <w:bCs/>
          <w:iCs/>
          <w:color w:val="000000"/>
          <w:szCs w:val="24"/>
        </w:rPr>
        <w:t xml:space="preserve">the degree of effect of Green HRM practices on the organization performance of Manufacturing Industries in Pakistan. A questionnaire was used to collect data, while Pearson Correlation and Regression analysis were conducted to test the study hypothesis. The study results indicated that the application of Green HRM practices particularly green recruitment, green training together with green employee involvement had a significant effect on the performance of industries in Pakistan. </w:t>
      </w:r>
      <w:r>
        <w:rPr>
          <w:rStyle w:val="A3"/>
          <w:rFonts w:cs="Times New Roman"/>
          <w:szCs w:val="24"/>
        </w:rPr>
        <w:t xml:space="preserve">The study recommended </w:t>
      </w:r>
      <w:r>
        <w:rPr>
          <w:rFonts w:cs="Times New Roman"/>
          <w:szCs w:val="24"/>
        </w:rPr>
        <w:t xml:space="preserve">that HR managers in the organizations should develop and implement appropriate Green HRM policies that will result in a great impact on firm performance which also leads to environmental sustainability. This research, however, did not consider other green HRM practices </w:t>
      </w:r>
      <w:r>
        <w:rPr>
          <w:rFonts w:cs="Times New Roman"/>
          <w:szCs w:val="24"/>
        </w:rPr>
        <w:lastRenderedPageBreak/>
        <w:t>such as green performance evaluation occupational safety and health that may affect firm performance. This research has a gap because it does not give a sampling design and sample size, and the researcher collected data using only a questionnaire.</w:t>
      </w:r>
      <w:r>
        <w:rPr>
          <w:color w:val="000000" w:themeColor="text1"/>
        </w:rPr>
        <w:t xml:space="preserve"> </w:t>
      </w:r>
    </w:p>
    <w:p w14:paraId="19D7AD07" w14:textId="77777777" w:rsidR="009F33CD" w:rsidRDefault="00E40740">
      <w:pPr>
        <w:autoSpaceDE/>
        <w:autoSpaceDN/>
        <w:adjustRightInd/>
        <w:spacing w:after="200"/>
        <w:rPr>
          <w:rFonts w:eastAsia="TimesNewRoman" w:cs="Times New Roman"/>
          <w:bCs/>
          <w:szCs w:val="24"/>
        </w:rPr>
      </w:pPr>
      <w:r>
        <w:rPr>
          <w:rFonts w:cs="Times New Roman"/>
          <w:szCs w:val="24"/>
        </w:rPr>
        <w:t xml:space="preserve">Rawashdeha (2018) conducted a study </w:t>
      </w:r>
      <w:r>
        <w:rPr>
          <w:rFonts w:eastAsia="TimesNewRoman" w:cs="Times New Roman"/>
          <w:bCs/>
          <w:szCs w:val="24"/>
        </w:rPr>
        <w:t xml:space="preserve">about </w:t>
      </w:r>
      <w:r>
        <w:rPr>
          <w:rFonts w:cs="Times New Roman"/>
          <w:szCs w:val="24"/>
        </w:rPr>
        <w:t>the impact of green HRM on the environmental performance of health service organizations in Jordan. Data was collected from a sample of</w:t>
      </w:r>
      <w:r>
        <w:rPr>
          <w:rFonts w:eastAsia="TimesNewRoman" w:cs="Times New Roman"/>
          <w:bCs/>
          <w:szCs w:val="24"/>
        </w:rPr>
        <w:t xml:space="preserve"> 87 respondents using a questionnaire. Descriptive statistical methods were applied to analyze and present data. The findings of this study revealed a moderate application of a bundle of Green HRM practices. The sample size of 87 was inadequate for any meaningful conclusions. The study could have, also, used interviews in addition to questionnaires to collect data from hospital managers who were excluded from the study.</w:t>
      </w:r>
    </w:p>
    <w:p w14:paraId="0215A815" w14:textId="77777777" w:rsidR="009F33CD" w:rsidRDefault="00E40740" w:rsidP="00B30252">
      <w:pPr>
        <w:spacing w:before="240"/>
        <w:rPr>
          <w:rFonts w:cs="Times New Roman"/>
          <w:szCs w:val="24"/>
        </w:rPr>
      </w:pPr>
      <w:r>
        <w:rPr>
          <w:rFonts w:cs="Times New Roman"/>
          <w:bCs/>
          <w:szCs w:val="24"/>
        </w:rPr>
        <w:t xml:space="preserve">Naser </w:t>
      </w:r>
      <w:r>
        <w:rPr>
          <w:rFonts w:cs="Times New Roman"/>
          <w:bCs/>
          <w:i/>
          <w:szCs w:val="24"/>
        </w:rPr>
        <w:t>et al.</w:t>
      </w:r>
      <w:r>
        <w:rPr>
          <w:rFonts w:cs="Times New Roman"/>
          <w:bCs/>
          <w:szCs w:val="24"/>
        </w:rPr>
        <w:t xml:space="preserve"> (2013) researched whether HRM practices can affect hospital performance in Jordan hospitals and found that HRM practices are related to hospital performance. The research further found that even though HRM practices have been considered to be significant factors in boosting the performance of an organization, most Jordanian hospitals do not practice HRM effectively in their business. The study persuaded hospital managers to consider how to enhance their capabilities in the fields of human resource and skills development in order to increase hospital performance. Future studies should look into the possible inclusion of other HRM factors, such as supervision, employee participation, job description, and pay practices, as important factors in relation to job satisfaction and hospital performance. </w:t>
      </w:r>
      <w:r>
        <w:rPr>
          <w:rStyle w:val="mixed-citation"/>
          <w:rFonts w:cs="Times New Roman"/>
          <w:szCs w:val="24"/>
        </w:rPr>
        <w:t>Vermeeren</w:t>
      </w:r>
      <w:r>
        <w:rPr>
          <w:rFonts w:cs="Times New Roman"/>
          <w:szCs w:val="24"/>
        </w:rPr>
        <w:t xml:space="preserve"> </w:t>
      </w:r>
      <w:r>
        <w:rPr>
          <w:rFonts w:cs="Times New Roman"/>
          <w:i/>
          <w:szCs w:val="24"/>
        </w:rPr>
        <w:t>et al.</w:t>
      </w:r>
      <w:r>
        <w:rPr>
          <w:rFonts w:cs="Times New Roman"/>
          <w:szCs w:val="24"/>
        </w:rPr>
        <w:t xml:space="preserve"> (2014) stated that there exists a link between HRM and performance in the healthcare sector. This link could be direct or indirect HR outcomes namely: employee performance, financial performance, and organizational performance. The application of more practices of HR leads to reduced employee absenteeism, greater client satisfaction, and better profit margin. This study indicated that greater job satisfaction is linked with associated with higher organizational performance and client satisfaction. This is because if employees are satisfied with their jobs, then their behaviour towards customers will improve and this will increase the desirable service experience. </w:t>
      </w:r>
    </w:p>
    <w:p w14:paraId="13DDEC7F" w14:textId="77777777" w:rsidR="00963B08" w:rsidRDefault="00963B08" w:rsidP="00B30252">
      <w:pPr>
        <w:spacing w:before="240"/>
        <w:rPr>
          <w:rFonts w:cs="Times New Roman"/>
          <w:szCs w:val="24"/>
        </w:rPr>
      </w:pPr>
      <w:r>
        <w:rPr>
          <w:rFonts w:cs="Times New Roman"/>
          <w:szCs w:val="24"/>
        </w:rPr>
        <w:t xml:space="preserve"> </w:t>
      </w:r>
    </w:p>
    <w:p w14:paraId="43C686D3" w14:textId="77777777" w:rsidR="009F33CD" w:rsidRDefault="00E40740" w:rsidP="00542524">
      <w:pPr>
        <w:pStyle w:val="Heading2"/>
        <w:rPr>
          <w:lang w:val="en-GB"/>
        </w:rPr>
      </w:pPr>
      <w:bookmarkStart w:id="559" w:name="_Toc224237688"/>
      <w:r>
        <w:rPr>
          <w:lang w:val="en-GB"/>
        </w:rPr>
        <w:lastRenderedPageBreak/>
        <w:t xml:space="preserve">2.6 </w:t>
      </w:r>
      <w:r w:rsidRPr="00542524">
        <w:t>Research</w:t>
      </w:r>
      <w:r>
        <w:rPr>
          <w:lang w:val="en-GB"/>
        </w:rPr>
        <w:t xml:space="preserve"> Gaps</w:t>
      </w:r>
      <w:bookmarkEnd w:id="559"/>
    </w:p>
    <w:p w14:paraId="322F3075" w14:textId="77777777" w:rsidR="009F33CD" w:rsidRDefault="00E40740">
      <w:pPr>
        <w:spacing w:before="240"/>
        <w:rPr>
          <w:rFonts w:cs="Times New Roman"/>
          <w:szCs w:val="24"/>
        </w:rPr>
      </w:pPr>
      <w:r>
        <w:rPr>
          <w:rFonts w:cs="Times New Roman"/>
          <w:szCs w:val="24"/>
        </w:rPr>
        <w:t xml:space="preserve">Haridas and Sivasubramanaian (2016) investigated </w:t>
      </w:r>
      <w:r>
        <w:rPr>
          <w:rFonts w:cs="Times New Roman"/>
          <w:bCs/>
          <w:iCs/>
          <w:szCs w:val="24"/>
        </w:rPr>
        <w:t xml:space="preserve">the effect of Green HRM practices on the organization performance of Manufacturing Industries in Pakistan. A questionnaire was used to collect data, while Pearson Correlation and Regression analysis were conducted to test the study hypothesis. The study results indicated that the application of Green HRM practices particularly green recruiting, green training together with green employee involvement had a significant effect on the performance of industries in Pakistan. </w:t>
      </w:r>
      <w:r>
        <w:rPr>
          <w:rFonts w:cs="Times New Roman"/>
          <w:szCs w:val="24"/>
        </w:rPr>
        <w:t xml:space="preserve">The gap in this study is that it did not consider other green HRM practices such as green occupational safety and health, and green performance evaluation which this current study considered. The research did not give a sampling design and sample size, and the study only used a questionnaire to collect data. The current study used a sample of 118 respondents and utilized interviews and questionnaires to collect data. </w:t>
      </w:r>
    </w:p>
    <w:p w14:paraId="5762D03E" w14:textId="77777777" w:rsidR="009F33CD" w:rsidRDefault="00E40740">
      <w:pPr>
        <w:spacing w:before="240"/>
        <w:rPr>
          <w:rFonts w:cs="Times New Roman"/>
          <w:bCs/>
          <w:szCs w:val="24"/>
        </w:rPr>
      </w:pPr>
      <w:r>
        <w:rPr>
          <w:rFonts w:cs="Times New Roman"/>
          <w:bCs/>
          <w:szCs w:val="24"/>
        </w:rPr>
        <w:t xml:space="preserve">Huma </w:t>
      </w:r>
      <w:r>
        <w:rPr>
          <w:rFonts w:cs="Times New Roman"/>
          <w:bCs/>
          <w:i/>
          <w:szCs w:val="24"/>
        </w:rPr>
        <w:t>et al.</w:t>
      </w:r>
      <w:r>
        <w:rPr>
          <w:rFonts w:cs="Times New Roman"/>
          <w:bCs/>
          <w:szCs w:val="24"/>
        </w:rPr>
        <w:t xml:space="preserve"> (2017) conducted a study on the impact of green human resource management practices on job seekers’ attraction in Pakistan. The researcher found that greening of human resource management was a new and emerging area for scholars and therefore recommended a further study in the same area based on other developing economies.  In response, the current study is based in a developing economy, Kenya. There was a need to consider other GHRM practices not only on job seekers’ attraction but also on the organization performance of devolved healthcare services.</w:t>
      </w:r>
    </w:p>
    <w:p w14:paraId="04DBCF44" w14:textId="77777777" w:rsidR="009F33CD" w:rsidRDefault="00E40740">
      <w:pPr>
        <w:spacing w:before="240"/>
        <w:rPr>
          <w:rFonts w:cs="Times New Roman"/>
          <w:bCs/>
          <w:szCs w:val="24"/>
        </w:rPr>
      </w:pPr>
      <w:r>
        <w:rPr>
          <w:rFonts w:cs="Times New Roman"/>
          <w:bCs/>
          <w:szCs w:val="24"/>
        </w:rPr>
        <w:t xml:space="preserve">A study was carried out by Bhutto and Auranzeb (2016) on the impact of Green Human Resource practices on the performance of firms in Pakistan. The gaps in this research were that it did not consider other green HRM practices under the current study such as green performance evaluation and green employee safety and health on performance. The study used a questionnaire as the only data collection instrument and did not consider the influence of any moderating variable on the study variables. The current study used interviews, content analysis, and questionnaires to collect data. The current study assessed the moderating effect of management style on the relationship between the independent variable and the dependent variable. Further, this study was done on firm performance in Pakistan and it cannot be generalized to other </w:t>
      </w:r>
      <w:r>
        <w:rPr>
          <w:rFonts w:cs="Times New Roman"/>
          <w:bCs/>
          <w:szCs w:val="24"/>
        </w:rPr>
        <w:lastRenderedPageBreak/>
        <w:t xml:space="preserve">firms in other countries nor can it be generalized to healthcare services which is the focus of this study. </w:t>
      </w:r>
    </w:p>
    <w:p w14:paraId="7FAB1707" w14:textId="77777777" w:rsidR="009F33CD" w:rsidRDefault="00E40740">
      <w:pPr>
        <w:spacing w:before="240"/>
        <w:rPr>
          <w:rFonts w:cs="Times New Roman"/>
          <w:bCs/>
          <w:szCs w:val="24"/>
        </w:rPr>
      </w:pPr>
      <w:r>
        <w:rPr>
          <w:rFonts w:cs="Times New Roman"/>
          <w:bCs/>
          <w:szCs w:val="24"/>
        </w:rPr>
        <w:t>The existing literature about green HRM is generally centered on the western countries and because Kenya is experiencing some economic growth and development, there is a gap in the available literature regarding green HRM practices in the devolved healthcare services. Although there is great potential in research related to Green HRM, the literature available in healthcare services is little, missing or the area is not properly researched and documented to facilitate any publications from academicians and practitioners. The gap consists of the scope of green practices, coverage, a process model, and the research agenda.</w:t>
      </w:r>
    </w:p>
    <w:p w14:paraId="619F51A4" w14:textId="77777777" w:rsidR="009F33CD" w:rsidRDefault="00E40740">
      <w:pPr>
        <w:spacing w:before="240"/>
        <w:rPr>
          <w:rFonts w:cs="Times New Roman"/>
          <w:szCs w:val="24"/>
        </w:rPr>
      </w:pPr>
      <w:r>
        <w:rPr>
          <w:rFonts w:cs="Times New Roman"/>
          <w:iCs/>
          <w:szCs w:val="24"/>
        </w:rPr>
        <w:t xml:space="preserve">A number of studies </w:t>
      </w:r>
      <w:r>
        <w:rPr>
          <w:rFonts w:cs="Times New Roman"/>
          <w:szCs w:val="24"/>
        </w:rPr>
        <w:t xml:space="preserve">(such as </w:t>
      </w:r>
      <w:r>
        <w:rPr>
          <w:rFonts w:cs="Times New Roman"/>
          <w:bCs/>
          <w:szCs w:val="24"/>
        </w:rPr>
        <w:t>Bhutto &amp; Auranzeb (2016)</w:t>
      </w:r>
      <w:r>
        <w:rPr>
          <w:rFonts w:cs="Times New Roman"/>
          <w:szCs w:val="24"/>
        </w:rPr>
        <w:t>;</w:t>
      </w:r>
      <w:r>
        <w:rPr>
          <w:rFonts w:cs="Times New Roman"/>
          <w:bCs/>
          <w:szCs w:val="24"/>
        </w:rPr>
        <w:t xml:space="preserve"> </w:t>
      </w:r>
      <w:r>
        <w:rPr>
          <w:rFonts w:cs="Times New Roman"/>
          <w:szCs w:val="24"/>
        </w:rPr>
        <w:t xml:space="preserve">Haridas &amp; Sivasubramanaian (2016); </w:t>
      </w:r>
      <w:r>
        <w:rPr>
          <w:rFonts w:cs="Times New Roman"/>
          <w:bCs/>
          <w:szCs w:val="24"/>
        </w:rPr>
        <w:t xml:space="preserve">Hameed, 2016; </w:t>
      </w:r>
      <w:r>
        <w:rPr>
          <w:rFonts w:cs="Times New Roman"/>
          <w:szCs w:val="24"/>
        </w:rPr>
        <w:t>Mwita &amp; Kinemo (2018); and Naser</w:t>
      </w:r>
      <w:r>
        <w:rPr>
          <w:rFonts w:cs="Times New Roman"/>
          <w:bCs/>
          <w:szCs w:val="24"/>
        </w:rPr>
        <w:t xml:space="preserve"> </w:t>
      </w:r>
      <w:r>
        <w:rPr>
          <w:rFonts w:cs="Times New Roman"/>
          <w:bCs/>
          <w:i/>
          <w:szCs w:val="24"/>
        </w:rPr>
        <w:t>et al.,</w:t>
      </w:r>
      <w:r>
        <w:rPr>
          <w:rFonts w:cs="Times New Roman"/>
          <w:bCs/>
          <w:szCs w:val="24"/>
        </w:rPr>
        <w:t xml:space="preserve"> 2013</w:t>
      </w:r>
      <w:r>
        <w:rPr>
          <w:rFonts w:cs="Times New Roman"/>
          <w:szCs w:val="24"/>
        </w:rPr>
        <w:t xml:space="preserve">) were conducted in the area of green HRM and organization or firm performance, but very few have investigated how green HRM practices affect the performance of devolved healthcare services which this study is focusing on. Secondly, most studies on green practices have been conducted in Western countries while little research has been conducted in Kenya, especially in the area of devolved healthcare services in Kenya. </w:t>
      </w:r>
    </w:p>
    <w:p w14:paraId="380BE236" w14:textId="77777777" w:rsidR="009F33CD" w:rsidRDefault="00E40740">
      <w:pPr>
        <w:pStyle w:val="Heading2"/>
        <w:spacing w:before="240"/>
        <w:rPr>
          <w:lang w:val="en-GB"/>
        </w:rPr>
      </w:pPr>
      <w:bookmarkStart w:id="560" w:name="_Toc224237689"/>
      <w:r>
        <w:rPr>
          <w:lang w:val="en-GB"/>
        </w:rPr>
        <w:t>2.7 Summary of Literature Reviewed</w:t>
      </w:r>
      <w:bookmarkEnd w:id="560"/>
    </w:p>
    <w:p w14:paraId="3AF1FF18" w14:textId="77777777" w:rsidR="009F33CD" w:rsidRDefault="00E40740">
      <w:pPr>
        <w:pStyle w:val="Default"/>
        <w:spacing w:before="240" w:line="360" w:lineRule="auto"/>
        <w:jc w:val="both"/>
        <w:rPr>
          <w:rFonts w:eastAsiaTheme="minorHAnsi"/>
        </w:rPr>
      </w:pPr>
      <w:r>
        <w:t>This study was supported by social exchange theory that investigates the relationship between the workers and the organization. The theory is based on the premise that human behaviour is an exchange of activity, tangible and intangible, particularly of rewards and costs. The human capital theory</w:t>
      </w:r>
      <w:r>
        <w:rPr>
          <w:rFonts w:eastAsiaTheme="minorHAnsi"/>
        </w:rPr>
        <w:t xml:space="preserve"> sees people as assets and that organizations that invest in people improve their performance which eventually generates positive results for the organization. </w:t>
      </w:r>
      <w:r>
        <w:t>The AMO theory</w:t>
      </w:r>
      <w:r>
        <w:rPr>
          <w:bCs/>
        </w:rPr>
        <w:t xml:space="preserve"> proposes that the level of ability of the employee and the relationship of ability to performance is dependent on the motivation of the employee.</w:t>
      </w:r>
      <w:r>
        <w:t xml:space="preserve"> The other theory that supports this study is the resource-based. </w:t>
      </w:r>
      <w:r>
        <w:rPr>
          <w:rFonts w:eastAsia="TimesNewRoman"/>
          <w:bCs/>
        </w:rPr>
        <w:t>The resource-based theory is based on the premise that firms can achieve competitive advantage when they manage their resources in a manner that makes them develop positive performance and become market leaders.</w:t>
      </w:r>
      <w:r>
        <w:t xml:space="preserve"> Studies addressing the link between GHRM and organizational performance are very few </w:t>
      </w:r>
      <w:r>
        <w:lastRenderedPageBreak/>
        <w:t xml:space="preserve">(Mwita &amp; Kinemo, 2018; </w:t>
      </w:r>
      <w:r>
        <w:rPr>
          <w:rFonts w:eastAsia="TimesNewRoman"/>
          <w:bCs/>
        </w:rPr>
        <w:t xml:space="preserve">Bhutto &amp; Auranzeb (2016) while others have </w:t>
      </w:r>
      <w:r>
        <w:t>looked at GHRM and environmental sustainability, and yet different GHRM practices and measures do exist. In conjunction with these studies, another body of research suggested that GHRM practices have positive effects on firm performance. These studies were done in foreign countries and based on the commercial sector.</w:t>
      </w:r>
      <w:r>
        <w:rPr>
          <w:rFonts w:eastAsiaTheme="minorHAnsi"/>
          <w:bCs/>
        </w:rPr>
        <w:t xml:space="preserve"> </w:t>
      </w:r>
    </w:p>
    <w:p w14:paraId="70D40E83" w14:textId="77777777" w:rsidR="009F33CD" w:rsidRDefault="00E40740">
      <w:pPr>
        <w:pStyle w:val="Default"/>
        <w:spacing w:before="240" w:line="360" w:lineRule="auto"/>
        <w:jc w:val="both"/>
      </w:pPr>
      <w:r>
        <w:rPr>
          <w:rFonts w:eastAsiaTheme="minorHAnsi"/>
          <w:bCs/>
        </w:rPr>
        <w:t xml:space="preserve">Secondly, there is a need to </w:t>
      </w:r>
      <w:r>
        <w:rPr>
          <w:bCs/>
        </w:rPr>
        <w:t xml:space="preserve">adopt green HRM practices in the healthcare sector to effectively strengthen employee green performance in devolved healthcare services in Kenya, while protecting and conserving environmental sustainability. </w:t>
      </w:r>
      <w:r>
        <w:t>Therefore, this study aims to determine the effect of GHRM practices on the performance of devolved healthcare services in Kenya. In other words, t</w:t>
      </w:r>
      <w:r>
        <w:rPr>
          <w:bCs/>
        </w:rPr>
        <w:t xml:space="preserve">he researcher will find out how the adoption of specific GHRM practices has affected performance initiatives in devolved healthcare services. </w:t>
      </w:r>
      <w:r>
        <w:t>The strength of the relationship between variables and the moderating role of management style will be significant in this study.</w:t>
      </w:r>
    </w:p>
    <w:p w14:paraId="123DACC8" w14:textId="77777777" w:rsidR="009F33CD" w:rsidRDefault="00E40740" w:rsidP="00542524">
      <w:pPr>
        <w:pStyle w:val="Heading1"/>
      </w:pPr>
      <w:r>
        <w:br w:type="page"/>
      </w:r>
      <w:bookmarkStart w:id="561" w:name="_Toc224237690"/>
      <w:r w:rsidRPr="00542524">
        <w:lastRenderedPageBreak/>
        <w:t>CHAPTER</w:t>
      </w:r>
      <w:r>
        <w:t xml:space="preserve"> THREE</w:t>
      </w:r>
      <w:bookmarkEnd w:id="561"/>
    </w:p>
    <w:p w14:paraId="631A2B6D" w14:textId="77777777" w:rsidR="009F33CD" w:rsidRDefault="00E40740" w:rsidP="00542524">
      <w:pPr>
        <w:pStyle w:val="Heading1"/>
      </w:pPr>
      <w:bookmarkStart w:id="562" w:name="_Toc224237691"/>
      <w:r w:rsidRPr="00542524">
        <w:t>RESEARCH</w:t>
      </w:r>
      <w:r>
        <w:t xml:space="preserve"> METHODOLOGY</w:t>
      </w:r>
      <w:bookmarkEnd w:id="562"/>
    </w:p>
    <w:p w14:paraId="7E00EC54" w14:textId="77777777" w:rsidR="009F33CD" w:rsidRDefault="00E40740">
      <w:pPr>
        <w:pStyle w:val="Heading2"/>
        <w:rPr>
          <w:lang w:val="en-GB"/>
        </w:rPr>
      </w:pPr>
      <w:bookmarkStart w:id="563" w:name="_Toc188442568"/>
      <w:bookmarkStart w:id="564" w:name="_Toc224237692"/>
      <w:r>
        <w:rPr>
          <w:lang w:val="en-GB"/>
        </w:rPr>
        <w:t>3.1 Introduction</w:t>
      </w:r>
      <w:bookmarkEnd w:id="563"/>
      <w:bookmarkEnd w:id="564"/>
    </w:p>
    <w:p w14:paraId="04775CC3" w14:textId="77777777" w:rsidR="009F33CD" w:rsidRDefault="00E40740">
      <w:pPr>
        <w:spacing w:after="240"/>
        <w:rPr>
          <w:rFonts w:cs="Times New Roman"/>
          <w:szCs w:val="24"/>
        </w:rPr>
      </w:pPr>
      <w:r>
        <w:rPr>
          <w:rFonts w:cs="Times New Roman"/>
          <w:szCs w:val="24"/>
        </w:rPr>
        <w:t xml:space="preserve">This chapter presents various aspects of the research methodology that the researcher applied in this study. Specifically, this chapter contains the research design, research philosophy, the target population, the sampling frame, the technique of sampling and size of the sample, data collection tools and procedure, the pilot study, and data analysis and presentation. </w:t>
      </w:r>
    </w:p>
    <w:p w14:paraId="722E5D42" w14:textId="77777777" w:rsidR="009F33CD" w:rsidRDefault="00E40740">
      <w:pPr>
        <w:pStyle w:val="Heading2"/>
        <w:rPr>
          <w:lang w:val="en-GB"/>
        </w:rPr>
      </w:pPr>
      <w:bookmarkStart w:id="565" w:name="_Toc165626342"/>
      <w:bookmarkStart w:id="566" w:name="_Toc178942592"/>
      <w:bookmarkStart w:id="567" w:name="_Toc178940551"/>
      <w:bookmarkStart w:id="568" w:name="_Toc188442569"/>
      <w:bookmarkStart w:id="569" w:name="_Toc178945001"/>
      <w:bookmarkStart w:id="570" w:name="_Toc178939597"/>
      <w:bookmarkStart w:id="571" w:name="_Toc178944249"/>
      <w:bookmarkStart w:id="572" w:name="_Toc224237693"/>
      <w:r>
        <w:rPr>
          <w:lang w:val="en-GB"/>
        </w:rPr>
        <w:t xml:space="preserve">3.2 Research </w:t>
      </w:r>
      <w:bookmarkEnd w:id="565"/>
      <w:r>
        <w:rPr>
          <w:lang w:val="en-GB"/>
        </w:rPr>
        <w:t>Philosophy</w:t>
      </w:r>
      <w:bookmarkEnd w:id="566"/>
      <w:bookmarkEnd w:id="567"/>
      <w:bookmarkEnd w:id="568"/>
      <w:bookmarkEnd w:id="569"/>
      <w:bookmarkEnd w:id="570"/>
      <w:bookmarkEnd w:id="571"/>
      <w:bookmarkEnd w:id="572"/>
    </w:p>
    <w:p w14:paraId="77BCA48F" w14:textId="77777777" w:rsidR="005C3B72" w:rsidRDefault="00E40740">
      <w:pPr>
        <w:spacing w:after="240"/>
        <w:rPr>
          <w:lang w:val="en-US"/>
        </w:rPr>
      </w:pPr>
      <w:r>
        <w:rPr>
          <w:rFonts w:cs="Times New Roman"/>
          <w:szCs w:val="24"/>
        </w:rPr>
        <w:t xml:space="preserve">According to Wang (2012), research philosophy is a belief about how data about a phenomenon should be gathered, analyzed, and used. It is the continuous development of knowledge and the nature of that knowledge whereby previous theories are tested and confirmed by researchers (Sounders </w:t>
      </w:r>
      <w:r>
        <w:rPr>
          <w:rFonts w:cs="Times New Roman"/>
          <w:i/>
          <w:szCs w:val="24"/>
        </w:rPr>
        <w:t>et al.</w:t>
      </w:r>
      <w:r>
        <w:rPr>
          <w:rFonts w:cs="Times New Roman"/>
          <w:szCs w:val="24"/>
        </w:rPr>
        <w:t>, 2009). Two major research philosophies have been identified in the Western tradition of science namely: positivism and interpretivism.</w:t>
      </w:r>
      <w:bookmarkStart w:id="573" w:name="_Toc139980656"/>
      <w:r>
        <w:rPr>
          <w:rFonts w:cs="Times New Roman"/>
          <w:szCs w:val="24"/>
        </w:rPr>
        <w:t xml:space="preserve"> </w:t>
      </w:r>
      <w:r>
        <w:rPr>
          <w:rFonts w:cs="Times New Roman"/>
          <w:bCs/>
          <w:szCs w:val="24"/>
        </w:rPr>
        <w:t xml:space="preserve">This study applied the positivism approach </w:t>
      </w:r>
      <w:r w:rsidR="00A00474" w:rsidRPr="00A00474">
        <w:rPr>
          <w:rFonts w:cs="Times New Roman"/>
          <w:bCs/>
          <w:szCs w:val="24"/>
          <w:lang w:val="en-US"/>
        </w:rPr>
        <w:t>to gain a more complete understanding, using one set of data to inform the other or integrating them for deeper insights.</w:t>
      </w:r>
      <w:r w:rsidR="005C3B72" w:rsidRPr="005C3B72">
        <w:rPr>
          <w:rFonts w:cs="Times New Roman"/>
          <w:kern w:val="2"/>
          <w:szCs w:val="24"/>
          <w:lang w:val="en-US"/>
          <w14:ligatures w14:val="standardContextual"/>
        </w:rPr>
        <w:t xml:space="preserve"> </w:t>
      </w:r>
      <w:r w:rsidR="005C3B72">
        <w:rPr>
          <w:rFonts w:cs="Times New Roman"/>
          <w:bCs/>
          <w:szCs w:val="24"/>
          <w:lang w:val="en-US"/>
        </w:rPr>
        <w:t xml:space="preserve">The </w:t>
      </w:r>
      <w:r w:rsidR="005C3B72" w:rsidRPr="005C3B72">
        <w:rPr>
          <w:rFonts w:cs="Times New Roman"/>
          <w:bCs/>
          <w:szCs w:val="24"/>
          <w:lang w:val="en-US"/>
        </w:rPr>
        <w:t xml:space="preserve">framework integrates </w:t>
      </w:r>
      <w:r w:rsidR="005C3B72">
        <w:rPr>
          <w:rFonts w:cs="Times New Roman"/>
          <w:bCs/>
          <w:szCs w:val="24"/>
          <w:lang w:val="en-US"/>
        </w:rPr>
        <w:t>quantitative and qualitative</w:t>
      </w:r>
      <w:r w:rsidR="005C3B72" w:rsidRPr="005C3B72">
        <w:rPr>
          <w:rFonts w:cs="Times New Roman"/>
          <w:bCs/>
          <w:szCs w:val="24"/>
          <w:lang w:val="en-US"/>
        </w:rPr>
        <w:t>, highlighting philosophical underpinnings (positivism for quant</w:t>
      </w:r>
      <w:r w:rsidR="00A27A0B">
        <w:rPr>
          <w:rFonts w:cs="Times New Roman"/>
          <w:bCs/>
          <w:szCs w:val="24"/>
          <w:lang w:val="en-US"/>
        </w:rPr>
        <w:t>itative</w:t>
      </w:r>
      <w:r w:rsidR="005C3B72" w:rsidRPr="005C3B72">
        <w:rPr>
          <w:rFonts w:cs="Times New Roman"/>
          <w:bCs/>
          <w:szCs w:val="24"/>
          <w:lang w:val="en-US"/>
        </w:rPr>
        <w:t>, interpretivism for qual</w:t>
      </w:r>
      <w:r w:rsidR="00A27A0B">
        <w:rPr>
          <w:rFonts w:cs="Times New Roman"/>
          <w:bCs/>
          <w:szCs w:val="24"/>
          <w:lang w:val="en-US"/>
        </w:rPr>
        <w:t>itative</w:t>
      </w:r>
      <w:r w:rsidR="005C3B72" w:rsidRPr="005C3B72">
        <w:rPr>
          <w:rFonts w:cs="Times New Roman"/>
          <w:bCs/>
          <w:szCs w:val="24"/>
          <w:lang w:val="en-US"/>
        </w:rPr>
        <w:t>) and practical application, stressing the importance of matching design to objectives for valid results, often combining approaches (mixed methods) for richer insights</w:t>
      </w:r>
      <w:r w:rsidR="005C3B72">
        <w:rPr>
          <w:rFonts w:cs="Times New Roman"/>
          <w:bCs/>
          <w:szCs w:val="24"/>
          <w:lang w:val="en-US"/>
        </w:rPr>
        <w:t xml:space="preserve"> (Mugenda &amp; Mugenda, 2012)</w:t>
      </w:r>
      <w:r w:rsidR="005C3B72" w:rsidRPr="005C3B72">
        <w:rPr>
          <w:rFonts w:cs="Times New Roman"/>
          <w:bCs/>
          <w:szCs w:val="24"/>
          <w:lang w:val="en-US"/>
        </w:rPr>
        <w:t>.</w:t>
      </w:r>
      <w:r w:rsidR="005C3B72">
        <w:rPr>
          <w:rFonts w:cs="Times New Roman"/>
          <w:bCs/>
          <w:szCs w:val="24"/>
        </w:rPr>
        <w:t xml:space="preserve"> </w:t>
      </w:r>
      <w:r>
        <w:rPr>
          <w:rFonts w:cs="Times New Roman"/>
          <w:bCs/>
          <w:szCs w:val="24"/>
        </w:rPr>
        <w:t>The principles of positivism philosophy can be summarized as: there are no differences in the logic of inquiry across sciences; the research should aim to explain and predict; research should be empirically observable via human senses; science is not the same as common sense; and Science must be value-free and it should be judged only by logic.</w:t>
      </w:r>
      <w:r w:rsidR="0065426C" w:rsidRPr="0065426C">
        <w:rPr>
          <w:lang w:val="en-US"/>
        </w:rPr>
        <w:t xml:space="preserve"> </w:t>
      </w:r>
    </w:p>
    <w:p w14:paraId="1B01FE42" w14:textId="77777777" w:rsidR="009F33CD" w:rsidRDefault="001D326E">
      <w:pPr>
        <w:spacing w:after="240"/>
        <w:rPr>
          <w:rFonts w:cs="Times New Roman"/>
          <w:bCs/>
          <w:szCs w:val="24"/>
        </w:rPr>
      </w:pPr>
      <w:r>
        <w:rPr>
          <w:rFonts w:cs="Times New Roman"/>
          <w:bCs/>
          <w:szCs w:val="24"/>
        </w:rPr>
        <w:t xml:space="preserve">By </w:t>
      </w:r>
      <w:r w:rsidR="0065426C" w:rsidRPr="0065426C">
        <w:rPr>
          <w:rFonts w:cs="Times New Roman"/>
          <w:bCs/>
          <w:szCs w:val="24"/>
        </w:rPr>
        <w:t xml:space="preserve">utilizing both quantitative and qualitative approaches, researchers can validate findings, examine different perspectives, and address complex questions more effectively (Creswell &amp; Clark, 2017). </w:t>
      </w:r>
      <w:r>
        <w:rPr>
          <w:rFonts w:cs="Times New Roman"/>
          <w:bCs/>
          <w:szCs w:val="24"/>
        </w:rPr>
        <w:t xml:space="preserve">Some researchers, for example, Ongoncho </w:t>
      </w:r>
      <w:r>
        <w:rPr>
          <w:rFonts w:cs="Times New Roman"/>
          <w:bCs/>
          <w:szCs w:val="24"/>
        </w:rPr>
        <w:lastRenderedPageBreak/>
        <w:t>(2019) and Langat (2016) have used the positivism philosophy in their studies with a lot of success. As a general rule, positivism studies mostly adopt a deductive research approach, whereas an inductive research approach is usually associated with a phenomenology philosophy. Positivism viewpoint requires the researcher to concentrate on facts, whereas phenomenology concentrates on the meaning and has provision for the researcher’s interest.</w:t>
      </w:r>
      <w:bookmarkEnd w:id="573"/>
      <w:r>
        <w:rPr>
          <w:rFonts w:cs="Times New Roman"/>
          <w:bCs/>
          <w:szCs w:val="24"/>
        </w:rPr>
        <w:t xml:space="preserve"> </w:t>
      </w:r>
    </w:p>
    <w:p w14:paraId="3683EAA4" w14:textId="77777777" w:rsidR="009F33CD" w:rsidRDefault="00E40740">
      <w:pPr>
        <w:pStyle w:val="Heading2"/>
        <w:rPr>
          <w:lang w:val="en-GB"/>
        </w:rPr>
      </w:pPr>
      <w:bookmarkStart w:id="574" w:name="_Toc188442570"/>
      <w:bookmarkStart w:id="575" w:name="_Toc224237694"/>
      <w:r>
        <w:rPr>
          <w:lang w:val="en-GB"/>
        </w:rPr>
        <w:t>3.3 Research Design</w:t>
      </w:r>
      <w:bookmarkEnd w:id="574"/>
      <w:bookmarkEnd w:id="575"/>
    </w:p>
    <w:p w14:paraId="7DCD660C" w14:textId="77777777" w:rsidR="009F33CD" w:rsidRDefault="00E40740">
      <w:pPr>
        <w:autoSpaceDE/>
        <w:autoSpaceDN/>
        <w:adjustRightInd/>
        <w:spacing w:after="240"/>
        <w:rPr>
          <w:rFonts w:cs="Times New Roman"/>
          <w:szCs w:val="24"/>
        </w:rPr>
      </w:pPr>
      <w:r>
        <w:rPr>
          <w:rFonts w:cs="Times New Roman"/>
          <w:szCs w:val="24"/>
        </w:rPr>
        <w:t xml:space="preserve">Research design according to Kothari (2019) is defined as the conceptual framework that constitutes the blueprint for the collection, measurement, and analysis of data in a manner that tends to combine relevance to the purpose of research with an economy of research procedure. Kombo and Tromp (2006) define a research design as the structure of research, that is, the glue that holds all the elements in a research project together. Study design is a way to systematically solve the research problem. It is the various steps that are generally adopted by a researcher in studying a research problem along with the logic behind them. </w:t>
      </w:r>
    </w:p>
    <w:p w14:paraId="4BD0DDB5" w14:textId="77777777" w:rsidR="0065426C" w:rsidRDefault="00E40740">
      <w:pPr>
        <w:rPr>
          <w:rFonts w:ascii="DM Sans" w:hAnsi="DM Sans"/>
          <w:sz w:val="21"/>
          <w:szCs w:val="21"/>
          <w:shd w:val="clear" w:color="auto" w:fill="FFFFFF"/>
        </w:rPr>
      </w:pPr>
      <w:r>
        <w:t xml:space="preserve">Mixed-methods research design with a combination of qualitative and quantitative approaches was used in this study. </w:t>
      </w:r>
      <w:r w:rsidR="00F06E19">
        <w:t xml:space="preserve">Mugenda and Mugenda </w:t>
      </w:r>
      <w:r w:rsidR="00F06E19" w:rsidRPr="00F06E19">
        <w:t>(2012), define mixed methods as a research design that integrates both qualitative and quantitative approaches within one study</w:t>
      </w:r>
      <w:r w:rsidR="00F06E19">
        <w:t xml:space="preserve"> with an intention for </w:t>
      </w:r>
      <w:r w:rsidR="00F06E19" w:rsidRPr="00F06E19">
        <w:t>a more comprehensive analysis and increased confidence in the study's results.</w:t>
      </w:r>
      <w:r w:rsidR="00F06E19">
        <w:t xml:space="preserve"> </w:t>
      </w:r>
      <w:r w:rsidR="0065426C" w:rsidRPr="0065426C">
        <w:rPr>
          <w:lang w:val="en-US"/>
        </w:rPr>
        <w:t xml:space="preserve">According to Mugenda </w:t>
      </w:r>
      <w:r w:rsidR="0065426C">
        <w:rPr>
          <w:lang w:val="en-US"/>
        </w:rPr>
        <w:t>and</w:t>
      </w:r>
      <w:r w:rsidR="0065426C" w:rsidRPr="0065426C">
        <w:rPr>
          <w:lang w:val="en-US"/>
        </w:rPr>
        <w:t xml:space="preserve"> Mugenda (2012), quantitative research uses numerical data and statistics to test hypotheses and find patterns, focusing on objectivity, while qualitative research explores in-depth understanding of phenomena through non-numerical data like words and themes, emphasizing context and meaning.</w:t>
      </w:r>
      <w:r w:rsidR="00A27A0B">
        <w:t xml:space="preserve"> </w:t>
      </w:r>
      <w:r w:rsidR="00A27A0B" w:rsidRPr="00A27A0B">
        <w:t>Mixed methods integrate positivist-driven quantitative data with qualitative data (from interpretivism) to overcome limitations</w:t>
      </w:r>
      <w:r w:rsidR="00A27A0B">
        <w:t xml:space="preserve"> of using single method</w:t>
      </w:r>
      <w:r w:rsidR="00A27A0B" w:rsidRPr="00A27A0B">
        <w:t>.</w:t>
      </w:r>
      <w:r w:rsidR="00A27A0B">
        <w:t xml:space="preserve"> </w:t>
      </w:r>
      <w:r>
        <w:t xml:space="preserve">The method was used because it allows researchers to consolidate data and seek a wider perspective of their study phenomenon (Shorten &amp; Smith, 2017) and it also helps to overcome any weakness that may arise from using a single method in a </w:t>
      </w:r>
      <w:r w:rsidR="0065426C">
        <w:t xml:space="preserve">research </w:t>
      </w:r>
      <w:r>
        <w:t xml:space="preserve">study (Plano &amp; Ivankova, </w:t>
      </w:r>
      <w:r w:rsidRPr="0065426C">
        <w:t>2016).</w:t>
      </w:r>
      <w:r w:rsidRPr="0065426C">
        <w:rPr>
          <w:rFonts w:ascii="DM Sans" w:hAnsi="DM Sans"/>
          <w:sz w:val="21"/>
          <w:szCs w:val="21"/>
          <w:shd w:val="clear" w:color="auto" w:fill="FFFFFF"/>
        </w:rPr>
        <w:t xml:space="preserve"> </w:t>
      </w:r>
    </w:p>
    <w:p w14:paraId="26D652A1" w14:textId="77777777" w:rsidR="00963B08" w:rsidRDefault="00963B08">
      <w:pPr>
        <w:rPr>
          <w:rFonts w:ascii="DM Sans" w:hAnsi="DM Sans"/>
          <w:color w:val="EE0000"/>
          <w:sz w:val="21"/>
          <w:szCs w:val="21"/>
          <w:shd w:val="clear" w:color="auto" w:fill="FFFFFF"/>
        </w:rPr>
      </w:pPr>
    </w:p>
    <w:p w14:paraId="072CB738" w14:textId="77777777" w:rsidR="009F33CD" w:rsidRDefault="00E40740">
      <w:pPr>
        <w:pStyle w:val="Heading2"/>
        <w:spacing w:before="240"/>
        <w:rPr>
          <w:lang w:val="en-GB"/>
        </w:rPr>
      </w:pPr>
      <w:bookmarkStart w:id="576" w:name="_Toc188442571"/>
      <w:bookmarkStart w:id="577" w:name="_Toc224237695"/>
      <w:r>
        <w:rPr>
          <w:lang w:val="en-GB"/>
        </w:rPr>
        <w:lastRenderedPageBreak/>
        <w:t>3.4 Target Population</w:t>
      </w:r>
      <w:bookmarkEnd w:id="576"/>
      <w:bookmarkEnd w:id="577"/>
    </w:p>
    <w:p w14:paraId="597D92D1" w14:textId="77777777" w:rsidR="009F33CD" w:rsidRDefault="00E40740">
      <w:pPr>
        <w:rPr>
          <w:rFonts w:cs="Times New Roman"/>
          <w:bCs/>
          <w:szCs w:val="24"/>
        </w:rPr>
      </w:pPr>
      <w:r>
        <w:rPr>
          <w:rFonts w:cs="Times New Roman"/>
          <w:szCs w:val="24"/>
        </w:rPr>
        <w:t>Mugenda and Mugenda (201</w:t>
      </w:r>
      <w:r w:rsidR="0002198B">
        <w:rPr>
          <w:rFonts w:cs="Times New Roman"/>
          <w:szCs w:val="24"/>
        </w:rPr>
        <w:t>2</w:t>
      </w:r>
      <w:r>
        <w:rPr>
          <w:rFonts w:cs="Times New Roman"/>
          <w:szCs w:val="24"/>
        </w:rPr>
        <w:t>) describe the population as an entire group of persons, objects, and events with common observable characteristics.</w:t>
      </w:r>
      <w:r>
        <w:t xml:space="preserve"> </w:t>
      </w:r>
      <w:r w:rsidR="00A94C37">
        <w:t xml:space="preserve">According to </w:t>
      </w:r>
      <w:r w:rsidR="00A94C37" w:rsidRPr="00C951E4">
        <w:t>Creswell and Creswell (2023)</w:t>
      </w:r>
      <w:r w:rsidR="00C951E4">
        <w:t>,</w:t>
      </w:r>
      <w:r w:rsidR="00C951E4" w:rsidRPr="00C951E4">
        <w:t xml:space="preserve"> t</w:t>
      </w:r>
      <w:r w:rsidR="00A94C37" w:rsidRPr="00C951E4">
        <w:t>he</w:t>
      </w:r>
      <w:r w:rsidR="00A94C37" w:rsidRPr="00A94C37">
        <w:t> target population is the total group of individuals or objects that possess the specific characteristics the researcher is interested in studying and to whom the results will be applied</w:t>
      </w:r>
      <w:r>
        <w:rPr>
          <w:rFonts w:cs="Times New Roman"/>
          <w:bCs/>
          <w:szCs w:val="24"/>
        </w:rPr>
        <w:t xml:space="preserve">. This study utilized a target population of 5,960 </w:t>
      </w:r>
      <w:r w:rsidR="001B1AFA">
        <w:rPr>
          <w:rFonts w:cs="Times New Roman"/>
          <w:bCs/>
          <w:szCs w:val="24"/>
        </w:rPr>
        <w:t>managers</w:t>
      </w:r>
      <w:r w:rsidR="00483D69">
        <w:rPr>
          <w:rFonts w:cs="Times New Roman"/>
          <w:bCs/>
          <w:szCs w:val="24"/>
        </w:rPr>
        <w:t xml:space="preserve"> </w:t>
      </w:r>
      <w:r>
        <w:rPr>
          <w:rFonts w:cs="Times New Roman"/>
          <w:bCs/>
          <w:szCs w:val="24"/>
        </w:rPr>
        <w:t>working in Kenya’s Level Five Hospitals (Ministry of Health, 2019).</w:t>
      </w:r>
      <w:r w:rsidR="00C951E4">
        <w:rPr>
          <w:rFonts w:cs="Times New Roman"/>
          <w:bCs/>
          <w:szCs w:val="24"/>
        </w:rPr>
        <w:t xml:space="preserve"> </w:t>
      </w:r>
      <w:r>
        <w:rPr>
          <w:rFonts w:cs="Times New Roman"/>
          <w:bCs/>
          <w:szCs w:val="24"/>
        </w:rPr>
        <w:t xml:space="preserve">The target population consisted of both male and female </w:t>
      </w:r>
      <w:r w:rsidR="001B1AFA">
        <w:rPr>
          <w:rFonts w:cs="Times New Roman"/>
          <w:bCs/>
          <w:szCs w:val="24"/>
        </w:rPr>
        <w:t xml:space="preserve">managers </w:t>
      </w:r>
      <w:r>
        <w:rPr>
          <w:rFonts w:cs="Times New Roman"/>
          <w:bCs/>
          <w:szCs w:val="24"/>
        </w:rPr>
        <w:t xml:space="preserve">working in different departments and </w:t>
      </w:r>
      <w:r w:rsidR="00483D69">
        <w:rPr>
          <w:rFonts w:cs="Times New Roman"/>
          <w:bCs/>
          <w:szCs w:val="24"/>
        </w:rPr>
        <w:t>sections or units</w:t>
      </w:r>
      <w:r>
        <w:rPr>
          <w:rFonts w:cs="Times New Roman"/>
          <w:bCs/>
          <w:szCs w:val="24"/>
        </w:rPr>
        <w:t xml:space="preserve"> of Level Five Hospitals. </w:t>
      </w:r>
      <w:r w:rsidR="005B4A56">
        <w:rPr>
          <w:rFonts w:cs="Times New Roman"/>
          <w:bCs/>
          <w:szCs w:val="24"/>
        </w:rPr>
        <w:t xml:space="preserve">The managers of these hospitals were targeted because they had the information required for the study and they are responsible for formulation and implementation of human resource policies and practices in their respective hospitals. </w:t>
      </w:r>
      <w:r>
        <w:rPr>
          <w:rFonts w:cs="Times New Roman"/>
          <w:bCs/>
          <w:szCs w:val="24"/>
        </w:rPr>
        <w:t>Twelve hospitals are operating in major counties and are managed by county governments as Level Five Hospitals. They comprise the former provincial and some district hospitals that were elevated to become Level Five Hospitals. They serve as regional referral centers for devolved healthcare services in Kenya. These hospitals formed the unit of analysis (major entity being analyzed) in this study, while managers formed the unit of observation (subject or object from where data is obtained for research study). The list of these Level Five Hospitals is in Appendix 6.</w:t>
      </w:r>
    </w:p>
    <w:p w14:paraId="417653F6" w14:textId="77777777" w:rsidR="009F33CD" w:rsidRDefault="00E40740">
      <w:pPr>
        <w:pStyle w:val="Heading2"/>
        <w:spacing w:before="240"/>
        <w:rPr>
          <w:lang w:val="en-GB"/>
        </w:rPr>
      </w:pPr>
      <w:bookmarkStart w:id="578" w:name="_Toc188442572"/>
      <w:bookmarkStart w:id="579" w:name="_Toc224237696"/>
      <w:r>
        <w:rPr>
          <w:lang w:val="en-GB"/>
        </w:rPr>
        <w:t>3.5 Sampling Frame</w:t>
      </w:r>
      <w:bookmarkEnd w:id="578"/>
      <w:bookmarkEnd w:id="579"/>
    </w:p>
    <w:p w14:paraId="737FDDC1" w14:textId="77777777" w:rsidR="009F33CD" w:rsidRDefault="00E40740">
      <w:pPr>
        <w:rPr>
          <w:rFonts w:cs="Times New Roman"/>
          <w:bCs/>
          <w:szCs w:val="24"/>
        </w:rPr>
      </w:pPr>
      <w:r>
        <w:rPr>
          <w:rFonts w:cs="Times New Roman"/>
          <w:bCs/>
          <w:szCs w:val="24"/>
        </w:rPr>
        <w:t>According to Kothari and Gang (201</w:t>
      </w:r>
      <w:r w:rsidR="00D652EA">
        <w:rPr>
          <w:rFonts w:cs="Times New Roman"/>
          <w:bCs/>
          <w:szCs w:val="24"/>
        </w:rPr>
        <w:t>9</w:t>
      </w:r>
      <w:r>
        <w:rPr>
          <w:rFonts w:cs="Times New Roman"/>
          <w:bCs/>
          <w:szCs w:val="24"/>
        </w:rPr>
        <w:t>), a sampling frame is a list consisting of all elements of a sample of a particular population. The 12 Level Five Hospitals formed a sampling frame from which a sample of four Level Five Hospitals with an accessible population of 1310</w:t>
      </w:r>
      <w:r w:rsidR="00990620">
        <w:rPr>
          <w:rFonts w:cs="Times New Roman"/>
          <w:bCs/>
          <w:szCs w:val="24"/>
        </w:rPr>
        <w:t xml:space="preserve"> </w:t>
      </w:r>
      <w:r w:rsidR="00715237">
        <w:rPr>
          <w:rFonts w:cs="Times New Roman"/>
          <w:bCs/>
          <w:szCs w:val="24"/>
        </w:rPr>
        <w:t xml:space="preserve">managers who comprised of departmental heads, section and unit heads </w:t>
      </w:r>
      <w:r>
        <w:rPr>
          <w:rFonts w:cs="Times New Roman"/>
          <w:bCs/>
          <w:szCs w:val="24"/>
        </w:rPr>
        <w:t xml:space="preserve">was picked. These hospitals were: </w:t>
      </w:r>
      <w:bookmarkStart w:id="580" w:name="_Hlk219469149"/>
      <w:r>
        <w:rPr>
          <w:rFonts w:cs="Times New Roman"/>
          <w:bCs/>
          <w:szCs w:val="24"/>
        </w:rPr>
        <w:t xml:space="preserve">Machakos Level Five Hospital with a population of 334 </w:t>
      </w:r>
      <w:r w:rsidR="00715237">
        <w:rPr>
          <w:rFonts w:cs="Times New Roman"/>
          <w:bCs/>
          <w:szCs w:val="24"/>
        </w:rPr>
        <w:t>managers</w:t>
      </w:r>
      <w:r>
        <w:rPr>
          <w:rFonts w:cs="Times New Roman"/>
          <w:bCs/>
          <w:szCs w:val="24"/>
        </w:rPr>
        <w:t xml:space="preserve">, Mama Lucy Kibaki Level Five Hospital which had 288, Embu Level Five Hospital which had 316 and Nakuru Level Five Hospital with a population of 372 </w:t>
      </w:r>
      <w:r w:rsidR="00715237">
        <w:rPr>
          <w:rFonts w:cs="Times New Roman"/>
          <w:bCs/>
          <w:szCs w:val="24"/>
        </w:rPr>
        <w:t>man</w:t>
      </w:r>
      <w:r w:rsidR="00D14819">
        <w:rPr>
          <w:rFonts w:cs="Times New Roman"/>
          <w:bCs/>
          <w:szCs w:val="24"/>
        </w:rPr>
        <w:t>a</w:t>
      </w:r>
      <w:r w:rsidR="00715237">
        <w:rPr>
          <w:rFonts w:cs="Times New Roman"/>
          <w:bCs/>
          <w:szCs w:val="24"/>
        </w:rPr>
        <w:t>gers</w:t>
      </w:r>
      <w:r>
        <w:rPr>
          <w:rFonts w:cs="Times New Roman"/>
          <w:bCs/>
          <w:szCs w:val="24"/>
        </w:rPr>
        <w:t xml:space="preserve"> </w:t>
      </w:r>
      <w:bookmarkEnd w:id="580"/>
      <w:r>
        <w:rPr>
          <w:rFonts w:cs="Times New Roman"/>
          <w:bCs/>
          <w:szCs w:val="24"/>
        </w:rPr>
        <w:t xml:space="preserve">(Ministry of Health, 2019). Level Five Hospitals were selected for this study because, since 2014 when healthcare services were devolved, the county governments have continued to allocate more financial resources to them </w:t>
      </w:r>
      <w:r>
        <w:rPr>
          <w:rFonts w:cs="Times New Roman"/>
          <w:bCs/>
          <w:szCs w:val="24"/>
        </w:rPr>
        <w:lastRenderedPageBreak/>
        <w:t xml:space="preserve">to enable them to improve and provide specialized healthcare services to the citizens. Level Five Hospitals were important in this study because they are required to enhance eco-friendly universal healthcare coverage to all citizens in various counties as envisioned in the Kenya constitution (2010). </w:t>
      </w:r>
    </w:p>
    <w:p w14:paraId="0B6B29B5" w14:textId="77777777" w:rsidR="009F33CD" w:rsidRDefault="00E40740">
      <w:pPr>
        <w:spacing w:before="240"/>
        <w:rPr>
          <w:rFonts w:cs="Times New Roman"/>
          <w:bCs/>
          <w:szCs w:val="24"/>
        </w:rPr>
      </w:pPr>
      <w:r>
        <w:rPr>
          <w:rFonts w:cs="Times New Roman"/>
          <w:bCs/>
          <w:szCs w:val="24"/>
        </w:rPr>
        <w:t xml:space="preserve">Level Five Hospitals in Kenya play an important role in achieving universal healthcare, particularly emphasized in Vision 2030. The national government's initiatives aim to enhance </w:t>
      </w:r>
      <w:r w:rsidR="003248E0">
        <w:rPr>
          <w:rFonts w:cs="Times New Roman"/>
          <w:bCs/>
          <w:szCs w:val="24"/>
        </w:rPr>
        <w:t xml:space="preserve">performance of </w:t>
      </w:r>
      <w:r>
        <w:rPr>
          <w:rFonts w:cs="Times New Roman"/>
          <w:bCs/>
          <w:szCs w:val="24"/>
        </w:rPr>
        <w:t xml:space="preserve">these hospitals through better medical equipment, grants, and improved budgetary allocations, ensuring they can provide comprehensive medical services and meet the healthcare demands of the population. The contributions of these hospitals will, therefore, be achieved if the county healthcare service administrators apply appropriate green HRM policies and practices as a deliberate effort to </w:t>
      </w:r>
      <w:r w:rsidR="003248E0">
        <w:rPr>
          <w:rFonts w:cs="Times New Roman"/>
          <w:bCs/>
          <w:szCs w:val="24"/>
        </w:rPr>
        <w:t xml:space="preserve">boost performance of </w:t>
      </w:r>
      <w:r>
        <w:rPr>
          <w:rFonts w:cs="Times New Roman"/>
          <w:bCs/>
          <w:szCs w:val="24"/>
        </w:rPr>
        <w:t>healthcare service</w:t>
      </w:r>
      <w:r w:rsidR="003248E0">
        <w:rPr>
          <w:rFonts w:cs="Times New Roman"/>
          <w:bCs/>
          <w:szCs w:val="24"/>
        </w:rPr>
        <w:t>s</w:t>
      </w:r>
      <w:r>
        <w:rPr>
          <w:rFonts w:cs="Times New Roman"/>
          <w:bCs/>
          <w:szCs w:val="24"/>
        </w:rPr>
        <w:t xml:space="preserve">. </w:t>
      </w:r>
    </w:p>
    <w:p w14:paraId="292BAA25" w14:textId="77777777" w:rsidR="009F33CD" w:rsidRDefault="00E40740">
      <w:pPr>
        <w:pStyle w:val="Heading2"/>
        <w:spacing w:before="240"/>
        <w:rPr>
          <w:lang w:val="en-GB"/>
        </w:rPr>
      </w:pPr>
      <w:bookmarkStart w:id="581" w:name="_Toc224237697"/>
      <w:r>
        <w:rPr>
          <w:lang w:val="en-GB"/>
        </w:rPr>
        <w:t>3.6 Sample Size and Sampling Technique</w:t>
      </w:r>
      <w:bookmarkEnd w:id="581"/>
    </w:p>
    <w:p w14:paraId="0B2B196C" w14:textId="77777777" w:rsidR="009F33CD" w:rsidRDefault="00D652EA">
      <w:r w:rsidRPr="00D652EA">
        <w:t>According to Creswell and Creswell (2023), sample size represents the total count of subjects or units involved in research, while sampling denotes the systematic approach or technique employed to select and engage these individuals from the wider population.</w:t>
      </w:r>
      <w:r w:rsidR="00C951E4">
        <w:t xml:space="preserve"> </w:t>
      </w:r>
      <w:r>
        <w:t>This section explains these two concepts as follows.</w:t>
      </w:r>
    </w:p>
    <w:p w14:paraId="0F7AFEC2" w14:textId="77777777" w:rsidR="009F33CD" w:rsidRDefault="00E40740" w:rsidP="00542524">
      <w:pPr>
        <w:pStyle w:val="Heading3"/>
      </w:pPr>
      <w:bookmarkStart w:id="582" w:name="_Toc178944253"/>
      <w:bookmarkStart w:id="583" w:name="_Toc178945005"/>
      <w:bookmarkStart w:id="584" w:name="_Toc178939601"/>
      <w:bookmarkStart w:id="585" w:name="_Toc188130601"/>
      <w:bookmarkStart w:id="586" w:name="_Toc187080814"/>
      <w:bookmarkStart w:id="587" w:name="_Toc185614044"/>
      <w:bookmarkStart w:id="588" w:name="_Toc178942596"/>
      <w:bookmarkStart w:id="589" w:name="_Toc178940555"/>
      <w:bookmarkStart w:id="590" w:name="_Toc224237698"/>
      <w:r>
        <w:t>3.6.1 Sample Size</w:t>
      </w:r>
      <w:bookmarkEnd w:id="582"/>
      <w:bookmarkEnd w:id="583"/>
      <w:bookmarkEnd w:id="584"/>
      <w:bookmarkEnd w:id="585"/>
      <w:bookmarkEnd w:id="586"/>
      <w:bookmarkEnd w:id="587"/>
      <w:bookmarkEnd w:id="588"/>
      <w:bookmarkEnd w:id="589"/>
      <w:bookmarkEnd w:id="590"/>
      <w:r>
        <w:t xml:space="preserve"> </w:t>
      </w:r>
    </w:p>
    <w:p w14:paraId="7C8C06A1" w14:textId="77777777" w:rsidR="009F33CD" w:rsidRDefault="00E17F65">
      <w:pPr>
        <w:rPr>
          <w:rFonts w:cs="Times New Roman"/>
          <w:szCs w:val="24"/>
        </w:rPr>
      </w:pPr>
      <w:r w:rsidRPr="00CE4F08">
        <w:rPr>
          <w:rFonts w:cs="Times New Roman"/>
          <w:szCs w:val="24"/>
        </w:rPr>
        <w:t>According t</w:t>
      </w:r>
      <w:r>
        <w:rPr>
          <w:rFonts w:cs="Times New Roman"/>
          <w:szCs w:val="24"/>
        </w:rPr>
        <w:t xml:space="preserve">o </w:t>
      </w:r>
      <w:r w:rsidRPr="00CE4F08">
        <w:rPr>
          <w:rFonts w:cs="Times New Roman"/>
          <w:szCs w:val="24"/>
        </w:rPr>
        <w:t>Kothari (201</w:t>
      </w:r>
      <w:r>
        <w:rPr>
          <w:rFonts w:cs="Times New Roman"/>
          <w:szCs w:val="24"/>
        </w:rPr>
        <w:t>9</w:t>
      </w:r>
      <w:r w:rsidRPr="00CE4F08">
        <w:rPr>
          <w:rFonts w:cs="Times New Roman"/>
          <w:szCs w:val="24"/>
        </w:rPr>
        <w:t>), determining an appropriate sample size involves balancing the desire for high-precision estimates against the practical realities of cost and available resources. He outlines two primary conceptual approaches</w:t>
      </w:r>
      <w:r w:rsidRPr="00E17F65">
        <w:rPr>
          <w:rFonts w:cs="Times New Roman"/>
          <w:szCs w:val="24"/>
        </w:rPr>
        <w:t xml:space="preserve"> namely: precision-based and Value-based approaches. Precision-based</w:t>
      </w:r>
      <w:r>
        <w:rPr>
          <w:rFonts w:cs="Times New Roman"/>
          <w:szCs w:val="24"/>
        </w:rPr>
        <w:t xml:space="preserve"> method</w:t>
      </w:r>
      <w:r w:rsidRPr="00E17F65">
        <w:rPr>
          <w:rFonts w:cs="Times New Roman"/>
          <w:szCs w:val="24"/>
        </w:rPr>
        <w:t xml:space="preserve"> means that t</w:t>
      </w:r>
      <w:r w:rsidRPr="00CE4F08">
        <w:rPr>
          <w:rFonts w:cs="Times New Roman"/>
          <w:szCs w:val="24"/>
        </w:rPr>
        <w:t xml:space="preserve">he researcher first specifies the desired level of estimation precision and then calculates the sample size necessary to achieve </w:t>
      </w:r>
      <w:r w:rsidRPr="00E17F65">
        <w:rPr>
          <w:rFonts w:cs="Times New Roman"/>
          <w:szCs w:val="24"/>
        </w:rPr>
        <w:t xml:space="preserve">it. </w:t>
      </w:r>
      <w:r>
        <w:rPr>
          <w:rFonts w:cs="Times New Roman"/>
          <w:szCs w:val="24"/>
        </w:rPr>
        <w:t xml:space="preserve">Further, </w:t>
      </w:r>
      <w:r w:rsidRPr="00E17F65">
        <w:rPr>
          <w:rFonts w:cs="Times New Roman"/>
          <w:szCs w:val="24"/>
        </w:rPr>
        <w:t xml:space="preserve">Value-based </w:t>
      </w:r>
      <w:r w:rsidRPr="00CE4F08">
        <w:rPr>
          <w:rFonts w:cs="Times New Roman"/>
          <w:szCs w:val="24"/>
        </w:rPr>
        <w:t xml:space="preserve">method </w:t>
      </w:r>
      <w:r w:rsidRPr="00E17F65">
        <w:rPr>
          <w:rFonts w:cs="Times New Roman"/>
          <w:szCs w:val="24"/>
        </w:rPr>
        <w:t xml:space="preserve">usually </w:t>
      </w:r>
      <w:r w:rsidRPr="00CE4F08">
        <w:rPr>
          <w:rFonts w:cs="Times New Roman"/>
          <w:szCs w:val="24"/>
        </w:rPr>
        <w:t>weighs the expense of obtaining additional data against the expected value that information will add to the study. </w:t>
      </w:r>
      <w:r>
        <w:rPr>
          <w:rFonts w:cs="Times New Roman"/>
          <w:szCs w:val="24"/>
        </w:rPr>
        <w:t xml:space="preserve">Saunders et al. (2019) observes that determination of sample size is guided by the population size from where the sample of the study is drawn, the confidence level, the margin of error that can be allowed and the type of analyses to be conducted. </w:t>
      </w:r>
      <w:r w:rsidR="00EF2AB7">
        <w:rPr>
          <w:rFonts w:cs="Times New Roman"/>
          <w:szCs w:val="24"/>
        </w:rPr>
        <w:t xml:space="preserve">Mathematical formulars can also be used to determine the </w:t>
      </w:r>
      <w:r w:rsidR="00EF2AB7">
        <w:rPr>
          <w:rFonts w:cs="Times New Roman"/>
          <w:szCs w:val="24"/>
        </w:rPr>
        <w:lastRenderedPageBreak/>
        <w:t xml:space="preserve">sample size (Kothari, 2019). </w:t>
      </w:r>
      <w:r>
        <w:rPr>
          <w:rFonts w:cs="Times New Roman"/>
          <w:szCs w:val="24"/>
        </w:rPr>
        <w:t>The sample size for the current study was calculated using Yamane formula (1967) which is also cited by Owino and Kwasira (2016):</w:t>
      </w:r>
    </w:p>
    <w:p w14:paraId="22E74A7F" w14:textId="77777777" w:rsidR="009F33CD" w:rsidRDefault="00E40740">
      <w:pPr>
        <w:ind w:firstLine="720"/>
        <w:rPr>
          <w:rFonts w:cs="Times New Roman"/>
          <w:szCs w:val="24"/>
          <w:u w:val="single"/>
        </w:rPr>
      </w:pPr>
      <w:bookmarkStart w:id="591" w:name="_Hlk195900381"/>
      <w:r>
        <w:rPr>
          <w:rFonts w:cs="Times New Roman"/>
          <w:szCs w:val="24"/>
        </w:rPr>
        <w:t xml:space="preserve">Sample Size </w:t>
      </w:r>
      <m:oMath>
        <m:r>
          <w:rPr>
            <w:rFonts w:ascii="Cambria Math" w:hAnsi="Cambria Math" w:cs="Times New Roman"/>
            <w:szCs w:val="24"/>
          </w:rPr>
          <m:t xml:space="preserve">(n) = </m:t>
        </m:r>
        <m:r>
          <w:rPr>
            <w:rFonts w:ascii="Cambria Math" w:hAnsi="Cambria Math" w:cs="Times New Roman"/>
            <w:szCs w:val="24"/>
            <w:u w:val="single"/>
          </w:rPr>
          <m:t xml:space="preserve">      </m:t>
        </m:r>
        <m:f>
          <m:fPr>
            <m:ctrlPr>
              <w:rPr>
                <w:rFonts w:ascii="Cambria Math" w:hAnsi="Cambria Math" w:cs="Times New Roman"/>
                <w:i/>
                <w:szCs w:val="24"/>
                <w:u w:val="single"/>
              </w:rPr>
            </m:ctrlPr>
          </m:fPr>
          <m:num>
            <m:r>
              <w:rPr>
                <w:rFonts w:ascii="Cambria Math" w:hAnsi="Cambria Math" w:cs="Times New Roman"/>
                <w:szCs w:val="24"/>
                <w:u w:val="single"/>
              </w:rPr>
              <m:t>N</m:t>
            </m:r>
          </m:num>
          <m:den>
            <m:r>
              <w:rPr>
                <w:rFonts w:ascii="Cambria Math" w:hAnsi="Cambria Math" w:cs="Times New Roman"/>
                <w:szCs w:val="24"/>
                <w:u w:val="single"/>
              </w:rPr>
              <m:t>1+N</m:t>
            </m:r>
            <m:sSup>
              <m:sSupPr>
                <m:ctrlPr>
                  <w:rPr>
                    <w:rFonts w:ascii="Cambria Math" w:hAnsi="Cambria Math" w:cs="Times New Roman"/>
                    <w:i/>
                    <w:szCs w:val="24"/>
                    <w:u w:val="single"/>
                  </w:rPr>
                </m:ctrlPr>
              </m:sSupPr>
              <m:e>
                <m:r>
                  <w:rPr>
                    <w:rFonts w:ascii="Cambria Math" w:hAnsi="Cambria Math" w:cs="Times New Roman"/>
                    <w:szCs w:val="24"/>
                    <w:u w:val="single"/>
                  </w:rPr>
                  <m:t>(e)</m:t>
                </m:r>
              </m:e>
              <m:sup>
                <m:r>
                  <w:rPr>
                    <w:rFonts w:ascii="Cambria Math" w:hAnsi="Cambria Math" w:cs="Times New Roman"/>
                    <w:szCs w:val="24"/>
                    <w:u w:val="single"/>
                  </w:rPr>
                  <m:t>2</m:t>
                </m:r>
              </m:sup>
            </m:sSup>
          </m:den>
        </m:f>
      </m:oMath>
    </w:p>
    <w:bookmarkEnd w:id="591"/>
    <w:p w14:paraId="1E21B54B" w14:textId="77777777" w:rsidR="009F33CD" w:rsidRDefault="00E40740">
      <w:pPr>
        <w:rPr>
          <w:rFonts w:cs="Times New Roman"/>
          <w:szCs w:val="24"/>
        </w:rPr>
      </w:pPr>
      <w:r>
        <w:rPr>
          <w:rFonts w:cs="Times New Roman"/>
          <w:szCs w:val="24"/>
        </w:rPr>
        <w:t>Where: n = sample size, N = population size, and e = margin of error</w:t>
      </w:r>
    </w:p>
    <w:p w14:paraId="0E34B8D8" w14:textId="77777777" w:rsidR="009F33CD" w:rsidRDefault="00E40740">
      <w:pPr>
        <w:ind w:firstLine="720"/>
        <w:rPr>
          <w:rFonts w:cs="Times New Roman"/>
          <w:szCs w:val="24"/>
        </w:rPr>
      </w:pPr>
      <m:oMath>
        <m:r>
          <w:rPr>
            <w:rFonts w:ascii="Cambria Math" w:hAnsi="Cambria Math" w:cs="Times New Roman"/>
            <w:szCs w:val="24"/>
          </w:rPr>
          <m:t xml:space="preserve">n =          </m:t>
        </m:r>
        <m:f>
          <m:fPr>
            <m:ctrlPr>
              <w:rPr>
                <w:rFonts w:ascii="Cambria Math" w:hAnsi="Cambria Math" w:cs="Times New Roman"/>
                <w:i/>
                <w:szCs w:val="24"/>
              </w:rPr>
            </m:ctrlPr>
          </m:fPr>
          <m:num>
            <m:r>
              <w:rPr>
                <w:rFonts w:ascii="Cambria Math" w:hAnsi="Cambria Math" w:cs="Times New Roman"/>
                <w:szCs w:val="24"/>
              </w:rPr>
              <m:t xml:space="preserve"> 1310</m:t>
            </m:r>
          </m:num>
          <m:den>
            <m:r>
              <m:rPr>
                <m:sty m:val="p"/>
              </m:rPr>
              <w:rPr>
                <w:rFonts w:ascii="Cambria Math" w:hAnsi="Cambria Math" w:cs="Times New Roman"/>
                <w:szCs w:val="24"/>
              </w:rPr>
              <m:t xml:space="preserve">1+1310 </m:t>
            </m:r>
            <m:sSup>
              <m:sSupPr>
                <m:ctrlPr>
                  <w:rPr>
                    <w:rFonts w:ascii="Cambria Math" w:hAnsi="Cambria Math" w:cs="Times New Roman"/>
                    <w:szCs w:val="24"/>
                  </w:rPr>
                </m:ctrlPr>
              </m:sSupPr>
              <m:e>
                <m:r>
                  <m:rPr>
                    <m:sty m:val="p"/>
                  </m:rPr>
                  <w:rPr>
                    <w:rFonts w:ascii="Cambria Math" w:hAnsi="Cambria Math" w:cs="Times New Roman"/>
                    <w:szCs w:val="24"/>
                  </w:rPr>
                  <m:t>(0.083)</m:t>
                </m:r>
              </m:e>
              <m:sup>
                <m:r>
                  <w:rPr>
                    <w:rFonts w:ascii="Cambria Math" w:hAnsi="Cambria Math" w:cs="Times New Roman"/>
                    <w:szCs w:val="24"/>
                  </w:rPr>
                  <m:t>2</m:t>
                </m:r>
              </m:sup>
            </m:sSup>
            <m:r>
              <m:rPr>
                <m:sty m:val="p"/>
              </m:rPr>
              <w:rPr>
                <w:rFonts w:ascii="Cambria Math" w:hAnsi="Cambria Math" w:cs="Times New Roman"/>
                <w:szCs w:val="24"/>
              </w:rPr>
              <m:t xml:space="preserve"> </m:t>
            </m:r>
          </m:den>
        </m:f>
      </m:oMath>
      <w:r>
        <w:rPr>
          <w:rFonts w:cs="Times New Roman"/>
          <w:szCs w:val="24"/>
        </w:rPr>
        <w:tab/>
        <w:t>= 130.679</w:t>
      </w:r>
      <w:r>
        <w:rPr>
          <w:rFonts w:cs="Times New Roman"/>
          <w:szCs w:val="24"/>
        </w:rPr>
        <w:tab/>
      </w:r>
      <w:r>
        <w:rPr>
          <w:rFonts w:cs="Times New Roman"/>
          <w:b/>
          <w:szCs w:val="24"/>
        </w:rPr>
        <w:t>n = 131 respondents</w:t>
      </w:r>
    </w:p>
    <w:p w14:paraId="17A3EB98" w14:textId="77777777" w:rsidR="009F33CD" w:rsidRDefault="00E40740">
      <w:r>
        <w:t>Consequently, Mugenda and Mugenda (201</w:t>
      </w:r>
      <w:r w:rsidR="0002198B">
        <w:t>2</w:t>
      </w:r>
      <w:r>
        <w:t xml:space="preserve">) recommend a sample ranging between 10- 30 percent or even higher percentage of the accessible population for better representative results. </w:t>
      </w:r>
      <w:r w:rsidR="0020706C" w:rsidRPr="0020706C">
        <w:t xml:space="preserve">Stratified sampling technique was </w:t>
      </w:r>
      <w:r w:rsidR="0020706C">
        <w:t xml:space="preserve">utilized to group </w:t>
      </w:r>
      <w:r w:rsidR="0020706C" w:rsidRPr="0020706C">
        <w:t xml:space="preserve">managers </w:t>
      </w:r>
      <w:r w:rsidR="00911A05">
        <w:t>according to the hospital they belonged to.</w:t>
      </w:r>
      <w:r w:rsidR="0020706C">
        <w:t xml:space="preserve"> S</w:t>
      </w:r>
      <w:r w:rsidR="0020706C" w:rsidRPr="0020706C">
        <w:t xml:space="preserve">imple random sampling technique was used to select </w:t>
      </w:r>
      <w:r w:rsidR="0020706C">
        <w:t xml:space="preserve">10% of </w:t>
      </w:r>
      <w:r w:rsidR="0020706C" w:rsidRPr="0020706C">
        <w:t xml:space="preserve">managers from each </w:t>
      </w:r>
      <w:r w:rsidR="00911A05">
        <w:t>hospital.</w:t>
      </w:r>
      <w:r w:rsidR="0020706C">
        <w:t xml:space="preserve"> </w:t>
      </w:r>
      <w:r>
        <w:t>A sample of 131 respondents</w:t>
      </w:r>
      <w:r w:rsidR="00EF2AB7">
        <w:t xml:space="preserve"> </w:t>
      </w:r>
      <w:r w:rsidR="00911A05">
        <w:t xml:space="preserve">representing </w:t>
      </w:r>
      <w:r>
        <w:t xml:space="preserve">10% of the accessible population of 1310 </w:t>
      </w:r>
      <w:r w:rsidR="00EF2AB7">
        <w:t xml:space="preserve">managers working in four </w:t>
      </w:r>
      <w:r>
        <w:t>selected</w:t>
      </w:r>
      <w:r w:rsidR="00EF2AB7">
        <w:t xml:space="preserve"> </w:t>
      </w:r>
      <w:r w:rsidR="000738DB">
        <w:t xml:space="preserve">Level </w:t>
      </w:r>
      <w:r w:rsidR="00EF2AB7">
        <w:t>Five hospitals was used</w:t>
      </w:r>
      <w:r w:rsidR="00111EC7">
        <w:t xml:space="preserve">. </w:t>
      </w:r>
      <w:r>
        <w:t>The sample was manageable and the choice of the four hospitals was also supported by a research study conducted by Makhamara (2017) who used a sample of 146 employees from four public hospitals with a target population of 1428. Kuria and Mose (2019) also carried out a study to determine the effect of GHRM practices on the organizational effectiveness of universities in Kenya and used a sample of 120 respondents who were selected using purposive sampling from a target population of 400 employees. Table 3.</w:t>
      </w:r>
      <w:r w:rsidR="000738DB">
        <w:t>1</w:t>
      </w:r>
      <w:r>
        <w:t xml:space="preserve"> indicates Level Five hospitals </w:t>
      </w:r>
      <w:r w:rsidR="00E3106E">
        <w:t xml:space="preserve">under study </w:t>
      </w:r>
      <w:r>
        <w:t>with their respective sample.</w:t>
      </w:r>
    </w:p>
    <w:p w14:paraId="0691F7BF" w14:textId="77777777" w:rsidR="009F33CD" w:rsidRDefault="00E40740" w:rsidP="00963B08">
      <w:pPr>
        <w:pStyle w:val="Heading6"/>
      </w:pPr>
      <w:bookmarkStart w:id="592" w:name="_Toc178942597"/>
      <w:bookmarkStart w:id="593" w:name="_Toc178940556"/>
      <w:bookmarkStart w:id="594" w:name="_Toc178944254"/>
      <w:bookmarkStart w:id="595" w:name="_Toc139981634"/>
      <w:bookmarkStart w:id="596" w:name="_Toc178945006"/>
      <w:bookmarkStart w:id="597" w:name="_Toc139987460"/>
      <w:bookmarkStart w:id="598" w:name="_Toc147950212"/>
      <w:bookmarkStart w:id="599" w:name="_Toc165626347"/>
      <w:bookmarkStart w:id="600" w:name="_Toc185614045"/>
      <w:bookmarkStart w:id="601" w:name="_Toc165623566"/>
      <w:bookmarkStart w:id="602" w:name="_Toc147946873"/>
      <w:bookmarkStart w:id="603" w:name="_Toc187080815"/>
      <w:bookmarkStart w:id="604" w:name="_Toc224237428"/>
      <w:r>
        <w:t>Table 3.1: Sample Size</w:t>
      </w:r>
      <w:bookmarkEnd w:id="592"/>
      <w:bookmarkEnd w:id="593"/>
      <w:bookmarkEnd w:id="594"/>
      <w:bookmarkEnd w:id="595"/>
      <w:bookmarkEnd w:id="596"/>
      <w:bookmarkEnd w:id="597"/>
      <w:bookmarkEnd w:id="598"/>
      <w:bookmarkEnd w:id="599"/>
      <w:bookmarkEnd w:id="600"/>
      <w:bookmarkEnd w:id="601"/>
      <w:bookmarkEnd w:id="602"/>
      <w:bookmarkEnd w:id="603"/>
      <w:bookmarkEnd w:id="6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1422"/>
        <w:gridCol w:w="3316"/>
      </w:tblGrid>
      <w:tr w:rsidR="001B1AFA" w:rsidRPr="0010403E" w14:paraId="4D2F01FC" w14:textId="77777777" w:rsidTr="005B19E5">
        <w:trPr>
          <w:cantSplit/>
          <w:trHeight w:val="221"/>
        </w:trPr>
        <w:tc>
          <w:tcPr>
            <w:tcW w:w="2118" w:type="pct"/>
            <w:tcBorders>
              <w:top w:val="single" w:sz="4" w:space="0" w:color="auto"/>
              <w:bottom w:val="single" w:sz="4" w:space="0" w:color="auto"/>
            </w:tcBorders>
          </w:tcPr>
          <w:p w14:paraId="28D9FF7A" w14:textId="77777777" w:rsidR="001B1AFA" w:rsidRPr="0010403E" w:rsidRDefault="001B1AFA">
            <w:pPr>
              <w:autoSpaceDE/>
              <w:autoSpaceDN/>
              <w:adjustRightInd/>
              <w:spacing w:before="0" w:beforeAutospacing="0" w:after="0" w:afterAutospacing="0" w:line="240" w:lineRule="auto"/>
              <w:jc w:val="left"/>
              <w:rPr>
                <w:b/>
                <w:szCs w:val="24"/>
              </w:rPr>
            </w:pPr>
            <w:r w:rsidRPr="0010403E">
              <w:rPr>
                <w:b/>
                <w:szCs w:val="24"/>
              </w:rPr>
              <w:t>Level Five Hospital</w:t>
            </w:r>
          </w:p>
        </w:tc>
        <w:tc>
          <w:tcPr>
            <w:tcW w:w="865" w:type="pct"/>
            <w:tcBorders>
              <w:top w:val="single" w:sz="4" w:space="0" w:color="auto"/>
              <w:bottom w:val="single" w:sz="4" w:space="0" w:color="auto"/>
            </w:tcBorders>
          </w:tcPr>
          <w:p w14:paraId="4E2AC1C9" w14:textId="77777777" w:rsidR="001B1AFA" w:rsidRPr="0010403E" w:rsidRDefault="001B1AFA" w:rsidP="00747714">
            <w:pPr>
              <w:autoSpaceDE/>
              <w:autoSpaceDN/>
              <w:adjustRightInd/>
              <w:spacing w:before="0" w:beforeAutospacing="0" w:after="0" w:afterAutospacing="0" w:line="240" w:lineRule="auto"/>
              <w:jc w:val="center"/>
              <w:rPr>
                <w:b/>
                <w:bCs/>
                <w:szCs w:val="24"/>
                <w:lang w:bidi="en-US"/>
              </w:rPr>
            </w:pPr>
            <w:r w:rsidRPr="0010403E">
              <w:rPr>
                <w:b/>
                <w:bCs/>
                <w:szCs w:val="24"/>
                <w:lang w:bidi="en-US"/>
              </w:rPr>
              <w:t>Number of Managers</w:t>
            </w:r>
          </w:p>
        </w:tc>
        <w:tc>
          <w:tcPr>
            <w:tcW w:w="2017" w:type="pct"/>
            <w:tcBorders>
              <w:top w:val="single" w:sz="4" w:space="0" w:color="auto"/>
              <w:bottom w:val="single" w:sz="4" w:space="0" w:color="auto"/>
            </w:tcBorders>
          </w:tcPr>
          <w:p w14:paraId="59592D63"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 xml:space="preserve">Sample </w:t>
            </w:r>
            <w:r w:rsidR="004E0FA2" w:rsidRPr="0010403E">
              <w:rPr>
                <w:b/>
                <w:szCs w:val="24"/>
              </w:rPr>
              <w:t xml:space="preserve">of Managers </w:t>
            </w:r>
            <w:r w:rsidRPr="0010403E">
              <w:rPr>
                <w:b/>
                <w:szCs w:val="24"/>
              </w:rPr>
              <w:t>per Hospital</w:t>
            </w:r>
          </w:p>
        </w:tc>
      </w:tr>
      <w:tr w:rsidR="001B1AFA" w:rsidRPr="0010403E" w14:paraId="05D8D24E" w14:textId="77777777" w:rsidTr="005B19E5">
        <w:trPr>
          <w:cantSplit/>
          <w:trHeight w:val="241"/>
        </w:trPr>
        <w:tc>
          <w:tcPr>
            <w:tcW w:w="2118" w:type="pct"/>
            <w:tcBorders>
              <w:top w:val="single" w:sz="4" w:space="0" w:color="auto"/>
            </w:tcBorders>
          </w:tcPr>
          <w:p w14:paraId="1F6C0447"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Machakos Level Five Hospital</w:t>
            </w:r>
          </w:p>
        </w:tc>
        <w:tc>
          <w:tcPr>
            <w:tcW w:w="865" w:type="pct"/>
            <w:tcBorders>
              <w:top w:val="single" w:sz="4" w:space="0" w:color="auto"/>
            </w:tcBorders>
          </w:tcPr>
          <w:p w14:paraId="0DECE892"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334</w:t>
            </w:r>
          </w:p>
        </w:tc>
        <w:tc>
          <w:tcPr>
            <w:tcW w:w="2017" w:type="pct"/>
            <w:tcBorders>
              <w:top w:val="single" w:sz="4" w:space="0" w:color="auto"/>
            </w:tcBorders>
          </w:tcPr>
          <w:p w14:paraId="54A2D52C"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33</w:t>
            </w:r>
          </w:p>
        </w:tc>
      </w:tr>
      <w:tr w:rsidR="001B1AFA" w:rsidRPr="0010403E" w14:paraId="00A56E61" w14:textId="77777777" w:rsidTr="005B19E5">
        <w:trPr>
          <w:cantSplit/>
          <w:trHeight w:val="322"/>
        </w:trPr>
        <w:tc>
          <w:tcPr>
            <w:tcW w:w="2118" w:type="pct"/>
          </w:tcPr>
          <w:p w14:paraId="6A089B3A"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Mama Lucy Kibaki Level Five Hospital</w:t>
            </w:r>
          </w:p>
        </w:tc>
        <w:tc>
          <w:tcPr>
            <w:tcW w:w="865" w:type="pct"/>
          </w:tcPr>
          <w:p w14:paraId="6737F64E"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288</w:t>
            </w:r>
          </w:p>
        </w:tc>
        <w:tc>
          <w:tcPr>
            <w:tcW w:w="2017" w:type="pct"/>
          </w:tcPr>
          <w:p w14:paraId="68F1004D"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29</w:t>
            </w:r>
          </w:p>
        </w:tc>
      </w:tr>
      <w:tr w:rsidR="001B1AFA" w:rsidRPr="0010403E" w14:paraId="3CD1E6C1" w14:textId="77777777" w:rsidTr="005B19E5">
        <w:trPr>
          <w:cantSplit/>
          <w:trHeight w:val="343"/>
        </w:trPr>
        <w:tc>
          <w:tcPr>
            <w:tcW w:w="2118" w:type="pct"/>
          </w:tcPr>
          <w:p w14:paraId="658841FF"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Embu Level Five Hospital</w:t>
            </w:r>
          </w:p>
        </w:tc>
        <w:tc>
          <w:tcPr>
            <w:tcW w:w="865" w:type="pct"/>
          </w:tcPr>
          <w:p w14:paraId="3758CDC6"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316</w:t>
            </w:r>
          </w:p>
        </w:tc>
        <w:tc>
          <w:tcPr>
            <w:tcW w:w="2017" w:type="pct"/>
          </w:tcPr>
          <w:p w14:paraId="64DAE6B7"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32</w:t>
            </w:r>
          </w:p>
        </w:tc>
      </w:tr>
      <w:tr w:rsidR="001B1AFA" w:rsidRPr="0010403E" w14:paraId="75DE9890" w14:textId="77777777" w:rsidTr="005B19E5">
        <w:trPr>
          <w:cantSplit/>
          <w:trHeight w:val="337"/>
        </w:trPr>
        <w:tc>
          <w:tcPr>
            <w:tcW w:w="2118" w:type="pct"/>
          </w:tcPr>
          <w:p w14:paraId="5B8E3FA5"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Nakuru Level Five Hospital</w:t>
            </w:r>
          </w:p>
        </w:tc>
        <w:tc>
          <w:tcPr>
            <w:tcW w:w="865" w:type="pct"/>
          </w:tcPr>
          <w:p w14:paraId="7B2C8C5B"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372</w:t>
            </w:r>
          </w:p>
        </w:tc>
        <w:tc>
          <w:tcPr>
            <w:tcW w:w="2017" w:type="pct"/>
          </w:tcPr>
          <w:p w14:paraId="77118314" w14:textId="77777777" w:rsidR="001B1AFA" w:rsidRPr="0010403E" w:rsidRDefault="001B1AFA">
            <w:pPr>
              <w:autoSpaceDE/>
              <w:autoSpaceDN/>
              <w:adjustRightInd/>
              <w:spacing w:before="0" w:beforeAutospacing="0" w:after="0" w:afterAutospacing="0" w:line="240" w:lineRule="auto"/>
              <w:jc w:val="center"/>
              <w:rPr>
                <w:szCs w:val="24"/>
              </w:rPr>
            </w:pPr>
            <w:r w:rsidRPr="0010403E">
              <w:rPr>
                <w:szCs w:val="24"/>
              </w:rPr>
              <w:t>37</w:t>
            </w:r>
          </w:p>
        </w:tc>
      </w:tr>
      <w:tr w:rsidR="001B1AFA" w:rsidRPr="0010403E" w14:paraId="5FC496F6" w14:textId="77777777" w:rsidTr="005B19E5">
        <w:trPr>
          <w:cantSplit/>
          <w:trHeight w:val="54"/>
        </w:trPr>
        <w:tc>
          <w:tcPr>
            <w:tcW w:w="2118" w:type="pct"/>
            <w:tcBorders>
              <w:bottom w:val="single" w:sz="4" w:space="0" w:color="auto"/>
            </w:tcBorders>
          </w:tcPr>
          <w:p w14:paraId="778FC7B7" w14:textId="77777777" w:rsidR="001B1AFA" w:rsidRPr="0010403E" w:rsidRDefault="001B1AFA">
            <w:pPr>
              <w:autoSpaceDE/>
              <w:autoSpaceDN/>
              <w:adjustRightInd/>
              <w:spacing w:before="0" w:beforeAutospacing="0" w:after="0" w:afterAutospacing="0" w:line="240" w:lineRule="auto"/>
              <w:rPr>
                <w:b/>
                <w:szCs w:val="24"/>
              </w:rPr>
            </w:pPr>
            <w:r w:rsidRPr="0010403E">
              <w:rPr>
                <w:b/>
                <w:szCs w:val="24"/>
              </w:rPr>
              <w:t>Total</w:t>
            </w:r>
          </w:p>
        </w:tc>
        <w:tc>
          <w:tcPr>
            <w:tcW w:w="865" w:type="pct"/>
            <w:tcBorders>
              <w:bottom w:val="single" w:sz="4" w:space="0" w:color="auto"/>
            </w:tcBorders>
          </w:tcPr>
          <w:p w14:paraId="61EDBDFA" w14:textId="77777777" w:rsidR="001B1AFA" w:rsidRPr="0010403E" w:rsidRDefault="001B1AFA">
            <w:pPr>
              <w:autoSpaceDE/>
              <w:autoSpaceDN/>
              <w:adjustRightInd/>
              <w:spacing w:before="0" w:beforeAutospacing="0" w:after="0" w:afterAutospacing="0" w:line="240" w:lineRule="auto"/>
              <w:jc w:val="center"/>
              <w:rPr>
                <w:b/>
                <w:szCs w:val="24"/>
              </w:rPr>
            </w:pPr>
            <w:r w:rsidRPr="0010403E">
              <w:rPr>
                <w:b/>
                <w:szCs w:val="24"/>
              </w:rPr>
              <w:t>1310</w:t>
            </w:r>
          </w:p>
        </w:tc>
        <w:tc>
          <w:tcPr>
            <w:tcW w:w="2017" w:type="pct"/>
            <w:tcBorders>
              <w:bottom w:val="single" w:sz="4" w:space="0" w:color="auto"/>
            </w:tcBorders>
          </w:tcPr>
          <w:p w14:paraId="789DFB74" w14:textId="77777777" w:rsidR="001B1AFA" w:rsidRPr="0010403E" w:rsidRDefault="001B1AFA">
            <w:pPr>
              <w:autoSpaceDE/>
              <w:autoSpaceDN/>
              <w:adjustRightInd/>
              <w:spacing w:before="0" w:beforeAutospacing="0" w:after="0" w:afterAutospacing="0" w:line="240" w:lineRule="auto"/>
              <w:jc w:val="center"/>
              <w:rPr>
                <w:b/>
                <w:szCs w:val="24"/>
              </w:rPr>
            </w:pPr>
            <w:r w:rsidRPr="0010403E">
              <w:rPr>
                <w:b/>
                <w:szCs w:val="24"/>
              </w:rPr>
              <w:t>131</w:t>
            </w:r>
          </w:p>
        </w:tc>
      </w:tr>
    </w:tbl>
    <w:p w14:paraId="13E04518" w14:textId="77777777" w:rsidR="009F33CD" w:rsidRDefault="00E40740" w:rsidP="00747714">
      <w:pPr>
        <w:pStyle w:val="Heading3"/>
      </w:pPr>
      <w:bookmarkStart w:id="605" w:name="_Toc178944255"/>
      <w:bookmarkStart w:id="606" w:name="_Toc178942598"/>
      <w:bookmarkStart w:id="607" w:name="_Toc185614046"/>
      <w:bookmarkStart w:id="608" w:name="_Toc178945007"/>
      <w:bookmarkStart w:id="609" w:name="_Toc178940557"/>
      <w:bookmarkStart w:id="610" w:name="_Toc188130602"/>
      <w:bookmarkStart w:id="611" w:name="_Toc187080816"/>
      <w:bookmarkStart w:id="612" w:name="_Toc178939602"/>
      <w:bookmarkStart w:id="613" w:name="_Toc224237699"/>
      <w:r>
        <w:lastRenderedPageBreak/>
        <w:t>3.6.2 Sampling Technique</w:t>
      </w:r>
      <w:bookmarkEnd w:id="605"/>
      <w:bookmarkEnd w:id="606"/>
      <w:bookmarkEnd w:id="607"/>
      <w:bookmarkEnd w:id="608"/>
      <w:bookmarkEnd w:id="609"/>
      <w:bookmarkEnd w:id="610"/>
      <w:bookmarkEnd w:id="611"/>
      <w:bookmarkEnd w:id="612"/>
      <w:bookmarkEnd w:id="613"/>
    </w:p>
    <w:p w14:paraId="1DC76883" w14:textId="77777777" w:rsidR="00282F2C" w:rsidRDefault="00562F28">
      <w:pPr>
        <w:rPr>
          <w:rFonts w:cs="Times New Roman"/>
          <w:szCs w:val="24"/>
        </w:rPr>
      </w:pPr>
      <w:r w:rsidRPr="00562F28">
        <w:rPr>
          <w:rFonts w:cs="Times New Roman"/>
          <w:szCs w:val="24"/>
        </w:rPr>
        <w:t xml:space="preserve">A sampling technique is the practical framework used to determine which elements of a population are integrated into a study’s sample </w:t>
      </w:r>
      <w:r>
        <w:rPr>
          <w:rFonts w:cs="Times New Roman"/>
          <w:szCs w:val="24"/>
        </w:rPr>
        <w:t>through</w:t>
      </w:r>
      <w:r w:rsidRPr="00562F28">
        <w:rPr>
          <w:rFonts w:cs="Times New Roman"/>
          <w:szCs w:val="24"/>
        </w:rPr>
        <w:t xml:space="preserve"> various probability or non-probability approaches (Hair et al., 2024).</w:t>
      </w:r>
      <w:r>
        <w:rPr>
          <w:rFonts w:cs="Times New Roman"/>
          <w:szCs w:val="24"/>
        </w:rPr>
        <w:t xml:space="preserve"> </w:t>
      </w:r>
      <w:bookmarkStart w:id="614" w:name="_Hlk219459795"/>
      <w:r w:rsidR="00282F2C" w:rsidRPr="00282F2C">
        <w:rPr>
          <w:rFonts w:cs="Times New Roman"/>
          <w:szCs w:val="24"/>
        </w:rPr>
        <w:t>According to Kothari</w:t>
      </w:r>
      <w:r w:rsidR="00282F2C" w:rsidRPr="00E97B89">
        <w:rPr>
          <w:rFonts w:cs="Times New Roman"/>
          <w:szCs w:val="24"/>
        </w:rPr>
        <w:t xml:space="preserve"> (2019), </w:t>
      </w:r>
      <w:r w:rsidR="00282F2C" w:rsidRPr="00282F2C">
        <w:rPr>
          <w:rFonts w:cs="Times New Roman"/>
          <w:szCs w:val="24"/>
        </w:rPr>
        <w:t xml:space="preserve">there are two types of sampling technique: probability sampling </w:t>
      </w:r>
      <w:r w:rsidR="00282F2C">
        <w:rPr>
          <w:rFonts w:cs="Times New Roman"/>
          <w:szCs w:val="24"/>
        </w:rPr>
        <w:t xml:space="preserve">which </w:t>
      </w:r>
      <w:r w:rsidR="00282F2C" w:rsidRPr="00282F2C">
        <w:rPr>
          <w:rFonts w:cs="Times New Roman"/>
          <w:szCs w:val="24"/>
        </w:rPr>
        <w:t>is an approach where</w:t>
      </w:r>
      <w:r w:rsidR="00282F2C">
        <w:rPr>
          <w:rFonts w:cs="Times New Roman"/>
          <w:szCs w:val="24"/>
        </w:rPr>
        <w:t>by</w:t>
      </w:r>
      <w:r w:rsidR="00282F2C" w:rsidRPr="00E97B89">
        <w:rPr>
          <w:rFonts w:cs="Times New Roman"/>
          <w:szCs w:val="24"/>
        </w:rPr>
        <w:t xml:space="preserve"> every member of the target population has a known, non-zero chance of being selected</w:t>
      </w:r>
      <w:r w:rsidR="00282F2C" w:rsidRPr="00282F2C">
        <w:rPr>
          <w:rFonts w:cs="Times New Roman"/>
          <w:szCs w:val="24"/>
        </w:rPr>
        <w:t>.</w:t>
      </w:r>
      <w:r w:rsidR="00282F2C" w:rsidRPr="00E97B89">
        <w:rPr>
          <w:rFonts w:cs="Times New Roman"/>
          <w:szCs w:val="24"/>
        </w:rPr>
        <w:t> Because the sample is statistically representative, researchers can make inferences and generalize the findings back to the entire target population.</w:t>
      </w:r>
      <w:r w:rsidR="00DF0A3F">
        <w:rPr>
          <w:rFonts w:cs="Times New Roman"/>
          <w:szCs w:val="24"/>
        </w:rPr>
        <w:t xml:space="preserve"> The most c</w:t>
      </w:r>
      <w:r w:rsidR="00282F2C" w:rsidRPr="00BB177A">
        <w:rPr>
          <w:rFonts w:cs="Times New Roman"/>
          <w:szCs w:val="24"/>
        </w:rPr>
        <w:t>ommon methods</w:t>
      </w:r>
      <w:r w:rsidR="00DF0A3F">
        <w:rPr>
          <w:rFonts w:cs="Times New Roman"/>
          <w:szCs w:val="24"/>
        </w:rPr>
        <w:t xml:space="preserve"> of probability sampling </w:t>
      </w:r>
      <w:r w:rsidR="00282F2C" w:rsidRPr="00BB177A">
        <w:rPr>
          <w:rFonts w:cs="Times New Roman"/>
          <w:szCs w:val="24"/>
        </w:rPr>
        <w:t>include simple random sampling, stratified sampling, systematic sampling, cluster sampling</w:t>
      </w:r>
      <w:r w:rsidR="00DF0A3F">
        <w:rPr>
          <w:rFonts w:cs="Times New Roman"/>
          <w:szCs w:val="24"/>
        </w:rPr>
        <w:t xml:space="preserve"> and multistage sampling.</w:t>
      </w:r>
    </w:p>
    <w:p w14:paraId="06012550" w14:textId="77777777" w:rsidR="00A7587D" w:rsidRDefault="00DF0A3F">
      <w:pPr>
        <w:rPr>
          <w:rFonts w:ascii="Arial" w:hAnsi="Arial" w:cs="Arial"/>
          <w:color w:val="0A0A0A"/>
          <w:shd w:val="clear" w:color="auto" w:fill="FFFFFF"/>
        </w:rPr>
      </w:pPr>
      <w:r w:rsidRPr="00DF0A3F">
        <w:rPr>
          <w:rFonts w:cs="Times New Roman"/>
          <w:szCs w:val="24"/>
        </w:rPr>
        <w:t>Non-Probability Sampling</w:t>
      </w:r>
      <w:r w:rsidR="00E17182">
        <w:rPr>
          <w:rFonts w:cs="Times New Roman"/>
          <w:szCs w:val="24"/>
        </w:rPr>
        <w:t xml:space="preserve">, on the other hand, </w:t>
      </w:r>
      <w:r w:rsidRPr="00DF0A3F">
        <w:rPr>
          <w:rFonts w:cs="Times New Roman"/>
          <w:szCs w:val="24"/>
        </w:rPr>
        <w:t xml:space="preserve">is </w:t>
      </w:r>
      <w:r w:rsidR="00E17182">
        <w:rPr>
          <w:rFonts w:cs="Times New Roman"/>
          <w:szCs w:val="24"/>
        </w:rPr>
        <w:t>a technique</w:t>
      </w:r>
      <w:r w:rsidRPr="00DF0A3F">
        <w:rPr>
          <w:rFonts w:cs="Times New Roman"/>
          <w:szCs w:val="24"/>
        </w:rPr>
        <w:t xml:space="preserve"> whereby sample selection is based on subjective judgment, convenience, or specific criteria rather than random chance. </w:t>
      </w:r>
      <w:r w:rsidR="00E17182">
        <w:rPr>
          <w:rFonts w:cs="Times New Roman"/>
          <w:szCs w:val="24"/>
        </w:rPr>
        <w:t>In this method n</w:t>
      </w:r>
      <w:r w:rsidRPr="00DF0A3F">
        <w:rPr>
          <w:rFonts w:cs="Times New Roman"/>
          <w:szCs w:val="24"/>
        </w:rPr>
        <w:t xml:space="preserve">ot every member of the population has a chance of being included, and the probability of selection is unknown. </w:t>
      </w:r>
      <w:r w:rsidR="00E17182" w:rsidRPr="00E17182">
        <w:rPr>
          <w:rFonts w:cs="Times New Roman"/>
          <w:szCs w:val="24"/>
        </w:rPr>
        <w:t xml:space="preserve">Accuracy </w:t>
      </w:r>
      <w:r w:rsidR="00E17182">
        <w:rPr>
          <w:rFonts w:cs="Times New Roman"/>
          <w:szCs w:val="24"/>
        </w:rPr>
        <w:t xml:space="preserve">of this technique </w:t>
      </w:r>
      <w:r w:rsidR="00E17182" w:rsidRPr="00E17182">
        <w:rPr>
          <w:rFonts w:cs="Times New Roman"/>
          <w:szCs w:val="24"/>
        </w:rPr>
        <w:t xml:space="preserve">depends heavily on the researcher's skill and lack of bias, as the representative nature of the sample is not mathematically assured. It is </w:t>
      </w:r>
      <w:r w:rsidR="00E17182">
        <w:rPr>
          <w:rFonts w:cs="Times New Roman"/>
          <w:szCs w:val="24"/>
        </w:rPr>
        <w:t>mainly</w:t>
      </w:r>
      <w:r w:rsidR="00E17182" w:rsidRPr="00E17182">
        <w:rPr>
          <w:rFonts w:cs="Times New Roman"/>
          <w:szCs w:val="24"/>
        </w:rPr>
        <w:t xml:space="preserve"> used when the goal </w:t>
      </w:r>
      <w:r w:rsidR="00E17182">
        <w:rPr>
          <w:rFonts w:cs="Times New Roman"/>
          <w:szCs w:val="24"/>
        </w:rPr>
        <w:t xml:space="preserve">of the study </w:t>
      </w:r>
      <w:r w:rsidR="00E17182" w:rsidRPr="00E17182">
        <w:rPr>
          <w:rFonts w:cs="Times New Roman"/>
          <w:szCs w:val="24"/>
        </w:rPr>
        <w:t xml:space="preserve">is to gain deep insights or explore a specific phenomenon rather than to make broad statistical inferences. </w:t>
      </w:r>
      <w:r w:rsidR="00E17182">
        <w:rPr>
          <w:rFonts w:cs="Times New Roman"/>
          <w:szCs w:val="24"/>
        </w:rPr>
        <w:t xml:space="preserve">The most common non-probability sampling </w:t>
      </w:r>
      <w:r w:rsidR="00E17182" w:rsidRPr="00E97B89">
        <w:rPr>
          <w:rFonts w:cs="Times New Roman"/>
          <w:szCs w:val="24"/>
        </w:rPr>
        <w:t>methods include purposive (judgmental) sampling, convenience sampling, quota sampling, and snowball sampling</w:t>
      </w:r>
      <w:r w:rsidR="005873C8">
        <w:rPr>
          <w:rFonts w:cs="Times New Roman"/>
          <w:szCs w:val="24"/>
        </w:rPr>
        <w:t xml:space="preserve"> (Mugenda &amp; Mugenda, 2012).</w:t>
      </w:r>
    </w:p>
    <w:bookmarkEnd w:id="614"/>
    <w:p w14:paraId="7501189E" w14:textId="77777777" w:rsidR="00813573" w:rsidRPr="00A7587D" w:rsidRDefault="00547E49">
      <w:pPr>
        <w:rPr>
          <w:rFonts w:cs="Times New Roman"/>
          <w:b/>
          <w:bCs/>
          <w:szCs w:val="24"/>
        </w:rPr>
      </w:pPr>
      <w:r w:rsidRPr="00547E49">
        <w:rPr>
          <w:rFonts w:cs="Times New Roman"/>
          <w:szCs w:val="24"/>
        </w:rPr>
        <w:t>According to Mugenda and Mugenda (2012), multistage sampling is a complex probability sampling technique where the selection of participants is carried out in two or more successive stages.</w:t>
      </w:r>
      <w:r w:rsidR="00A7587D">
        <w:rPr>
          <w:rFonts w:cs="Times New Roman"/>
          <w:szCs w:val="24"/>
        </w:rPr>
        <w:t xml:space="preserve"> </w:t>
      </w:r>
      <w:r w:rsidRPr="00547E49">
        <w:rPr>
          <w:rFonts w:cs="Times New Roman"/>
          <w:szCs w:val="24"/>
        </w:rPr>
        <w:t xml:space="preserve">The process involves drawing samples from larger </w:t>
      </w:r>
      <w:r w:rsidR="004E0FA2" w:rsidRPr="00547E49">
        <w:rPr>
          <w:rFonts w:cs="Times New Roman"/>
          <w:szCs w:val="24"/>
        </w:rPr>
        <w:t>groups and</w:t>
      </w:r>
      <w:r w:rsidRPr="00547E49">
        <w:rPr>
          <w:rFonts w:cs="Times New Roman"/>
          <w:szCs w:val="24"/>
        </w:rPr>
        <w:t xml:space="preserve"> then further sampling from within those groups. </w:t>
      </w:r>
      <w:r w:rsidR="00B129E1" w:rsidRPr="00B129E1">
        <w:rPr>
          <w:rFonts w:cs="Times New Roman"/>
          <w:bCs/>
          <w:szCs w:val="24"/>
        </w:rPr>
        <w:t xml:space="preserve">In the first stage, simple random sampling was used to select four </w:t>
      </w:r>
      <w:r w:rsidR="00A7587D">
        <w:rPr>
          <w:rFonts w:cs="Times New Roman"/>
          <w:bCs/>
          <w:szCs w:val="24"/>
        </w:rPr>
        <w:t xml:space="preserve">out </w:t>
      </w:r>
      <w:r w:rsidR="00B129E1" w:rsidRPr="00B129E1">
        <w:rPr>
          <w:rFonts w:cs="Times New Roman"/>
          <w:bCs/>
          <w:szCs w:val="24"/>
        </w:rPr>
        <w:t>of the 12 Level Five Hospitals with an accessible population of 1310</w:t>
      </w:r>
      <w:r w:rsidR="00B129E1">
        <w:rPr>
          <w:rFonts w:cs="Times New Roman"/>
          <w:bCs/>
          <w:szCs w:val="24"/>
        </w:rPr>
        <w:t xml:space="preserve"> managers. </w:t>
      </w:r>
      <w:r w:rsidR="004E0FA2">
        <w:rPr>
          <w:rFonts w:cs="Times New Roman"/>
          <w:bCs/>
          <w:szCs w:val="24"/>
        </w:rPr>
        <w:t xml:space="preserve">All the four level five </w:t>
      </w:r>
      <w:r w:rsidR="00B129E1" w:rsidRPr="00B129E1">
        <w:rPr>
          <w:rFonts w:cs="Times New Roman"/>
          <w:bCs/>
          <w:szCs w:val="24"/>
        </w:rPr>
        <w:t>hospitals have similar characteristics to the sample population and the four were manageable for the study.</w:t>
      </w:r>
      <w:r w:rsidR="00B129E1">
        <w:rPr>
          <w:rFonts w:cs="Times New Roman"/>
          <w:bCs/>
          <w:szCs w:val="24"/>
        </w:rPr>
        <w:t xml:space="preserve"> </w:t>
      </w:r>
    </w:p>
    <w:p w14:paraId="461A6C32" w14:textId="77777777" w:rsidR="009F33CD" w:rsidRPr="00813573" w:rsidRDefault="00B129E1">
      <w:pPr>
        <w:rPr>
          <w:rFonts w:cs="Times New Roman"/>
          <w:b/>
          <w:bCs/>
          <w:szCs w:val="24"/>
        </w:rPr>
      </w:pPr>
      <w:r w:rsidRPr="00B129E1">
        <w:rPr>
          <w:rFonts w:cs="Times New Roman"/>
          <w:bCs/>
          <w:szCs w:val="24"/>
        </w:rPr>
        <w:t xml:space="preserve">In the second stage, purposive sampling was used to select a sample of 131 </w:t>
      </w:r>
      <w:r>
        <w:rPr>
          <w:rFonts w:cs="Times New Roman"/>
          <w:bCs/>
          <w:szCs w:val="24"/>
        </w:rPr>
        <w:t xml:space="preserve">managers </w:t>
      </w:r>
      <w:r w:rsidR="004E0FA2">
        <w:rPr>
          <w:rFonts w:cs="Times New Roman"/>
          <w:bCs/>
          <w:szCs w:val="24"/>
        </w:rPr>
        <w:t xml:space="preserve">representing 10% </w:t>
      </w:r>
      <w:r w:rsidR="00911A05">
        <w:rPr>
          <w:rFonts w:cs="Times New Roman"/>
          <w:bCs/>
          <w:szCs w:val="24"/>
        </w:rPr>
        <w:t xml:space="preserve">from each level five hospital giving a total </w:t>
      </w:r>
      <w:r w:rsidR="00F23542">
        <w:rPr>
          <w:rFonts w:cs="Times New Roman"/>
          <w:bCs/>
          <w:szCs w:val="24"/>
        </w:rPr>
        <w:t xml:space="preserve">of </w:t>
      </w:r>
      <w:r w:rsidR="00911A05">
        <w:rPr>
          <w:rFonts w:cs="Times New Roman"/>
          <w:bCs/>
          <w:szCs w:val="24"/>
        </w:rPr>
        <w:t>1310</w:t>
      </w:r>
      <w:r w:rsidR="00F23542">
        <w:rPr>
          <w:rFonts w:cs="Times New Roman"/>
          <w:bCs/>
          <w:szCs w:val="24"/>
        </w:rPr>
        <w:t xml:space="preserve"> managers</w:t>
      </w:r>
      <w:r w:rsidR="00911A05">
        <w:rPr>
          <w:rFonts w:cs="Times New Roman"/>
          <w:bCs/>
          <w:szCs w:val="24"/>
        </w:rPr>
        <w:t>.</w:t>
      </w:r>
      <w:r w:rsidR="00D371C7">
        <w:rPr>
          <w:rFonts w:cs="Times New Roman"/>
          <w:bCs/>
          <w:szCs w:val="24"/>
        </w:rPr>
        <w:t xml:space="preserve"> The number of managers </w:t>
      </w:r>
      <w:r w:rsidR="00D14819">
        <w:rPr>
          <w:rFonts w:cs="Times New Roman"/>
          <w:bCs/>
          <w:szCs w:val="24"/>
        </w:rPr>
        <w:t xml:space="preserve">in Machakos </w:t>
      </w:r>
      <w:r w:rsidR="00D14819" w:rsidRPr="00D14819">
        <w:rPr>
          <w:rFonts w:cs="Times New Roman"/>
          <w:bCs/>
          <w:szCs w:val="24"/>
        </w:rPr>
        <w:t xml:space="preserve">Level Five Hospital </w:t>
      </w:r>
      <w:r w:rsidR="00D14819">
        <w:rPr>
          <w:rFonts w:cs="Times New Roman"/>
          <w:bCs/>
          <w:szCs w:val="24"/>
        </w:rPr>
        <w:t xml:space="preserve">was </w:t>
      </w:r>
      <w:r w:rsidR="00D14819" w:rsidRPr="00D14819">
        <w:rPr>
          <w:rFonts w:cs="Times New Roman"/>
          <w:bCs/>
          <w:szCs w:val="24"/>
        </w:rPr>
        <w:t xml:space="preserve">334, Mama Lucy Kibaki </w:t>
      </w:r>
      <w:r w:rsidR="00D14819" w:rsidRPr="00D14819">
        <w:rPr>
          <w:rFonts w:cs="Times New Roman"/>
          <w:bCs/>
          <w:szCs w:val="24"/>
        </w:rPr>
        <w:lastRenderedPageBreak/>
        <w:t xml:space="preserve">Level Five Hospital </w:t>
      </w:r>
      <w:r w:rsidR="00D14819">
        <w:rPr>
          <w:rFonts w:cs="Times New Roman"/>
          <w:bCs/>
          <w:szCs w:val="24"/>
        </w:rPr>
        <w:t>w</w:t>
      </w:r>
      <w:r w:rsidR="00167CEA">
        <w:rPr>
          <w:rFonts w:cs="Times New Roman"/>
          <w:bCs/>
          <w:szCs w:val="24"/>
        </w:rPr>
        <w:t>as</w:t>
      </w:r>
      <w:r w:rsidR="00D14819">
        <w:rPr>
          <w:rFonts w:cs="Times New Roman"/>
          <w:bCs/>
          <w:szCs w:val="24"/>
        </w:rPr>
        <w:t xml:space="preserve"> </w:t>
      </w:r>
      <w:r w:rsidR="00D14819" w:rsidRPr="00D14819">
        <w:rPr>
          <w:rFonts w:cs="Times New Roman"/>
          <w:bCs/>
          <w:szCs w:val="24"/>
        </w:rPr>
        <w:t xml:space="preserve">288, Embu Level Five Hospital </w:t>
      </w:r>
      <w:r w:rsidR="00D14819">
        <w:rPr>
          <w:rFonts w:cs="Times New Roman"/>
          <w:bCs/>
          <w:szCs w:val="24"/>
        </w:rPr>
        <w:t>w</w:t>
      </w:r>
      <w:r w:rsidR="00167CEA">
        <w:rPr>
          <w:rFonts w:cs="Times New Roman"/>
          <w:bCs/>
          <w:szCs w:val="24"/>
        </w:rPr>
        <w:t xml:space="preserve">as </w:t>
      </w:r>
      <w:r w:rsidR="00D14819" w:rsidRPr="00D14819">
        <w:rPr>
          <w:rFonts w:cs="Times New Roman"/>
          <w:bCs/>
          <w:szCs w:val="24"/>
        </w:rPr>
        <w:t xml:space="preserve">316 and Nakuru Level Five Hospital </w:t>
      </w:r>
      <w:r w:rsidR="00D14819">
        <w:rPr>
          <w:rFonts w:cs="Times New Roman"/>
          <w:bCs/>
          <w:szCs w:val="24"/>
        </w:rPr>
        <w:t>w</w:t>
      </w:r>
      <w:r w:rsidR="00167CEA">
        <w:rPr>
          <w:rFonts w:cs="Times New Roman"/>
          <w:bCs/>
          <w:szCs w:val="24"/>
        </w:rPr>
        <w:t>as</w:t>
      </w:r>
      <w:r w:rsidR="00D14819">
        <w:rPr>
          <w:rFonts w:cs="Times New Roman"/>
          <w:bCs/>
          <w:szCs w:val="24"/>
        </w:rPr>
        <w:t xml:space="preserve"> </w:t>
      </w:r>
      <w:r w:rsidR="00D14819" w:rsidRPr="00D14819">
        <w:rPr>
          <w:rFonts w:cs="Times New Roman"/>
          <w:bCs/>
          <w:szCs w:val="24"/>
        </w:rPr>
        <w:t>372</w:t>
      </w:r>
      <w:r w:rsidR="00D14819">
        <w:rPr>
          <w:rFonts w:cs="Times New Roman"/>
          <w:bCs/>
          <w:szCs w:val="24"/>
        </w:rPr>
        <w:t xml:space="preserve">. </w:t>
      </w:r>
      <w:r w:rsidRPr="00B129E1">
        <w:rPr>
          <w:rFonts w:cs="Times New Roman"/>
          <w:bCs/>
          <w:szCs w:val="24"/>
        </w:rPr>
        <w:t xml:space="preserve">Saunders </w:t>
      </w:r>
      <w:r w:rsidRPr="00B129E1">
        <w:rPr>
          <w:rFonts w:cs="Times New Roman"/>
          <w:bCs/>
          <w:i/>
          <w:iCs/>
          <w:szCs w:val="24"/>
        </w:rPr>
        <w:t>et al</w:t>
      </w:r>
      <w:r w:rsidRPr="00B129E1">
        <w:rPr>
          <w:rFonts w:cs="Times New Roman"/>
          <w:bCs/>
          <w:szCs w:val="24"/>
        </w:rPr>
        <w:t xml:space="preserve"> (2016) posit that the purposive sampling technique is particularly effective when researchers aim to gain insights from particular segments of a population that are believed to hold valuable information related to the research questions.</w:t>
      </w:r>
      <w:r w:rsidR="00167CEA" w:rsidRPr="00167CEA">
        <w:rPr>
          <w:rFonts w:cs="Times New Roman"/>
          <w:bCs/>
          <w:szCs w:val="24"/>
        </w:rPr>
        <w:t xml:space="preserve"> Hospital managers</w:t>
      </w:r>
      <w:r w:rsidR="00167CEA">
        <w:rPr>
          <w:rFonts w:cs="Times New Roman"/>
          <w:bCs/>
          <w:szCs w:val="24"/>
        </w:rPr>
        <w:t xml:space="preserve"> were perceived to have </w:t>
      </w:r>
      <w:r w:rsidR="00167CEA" w:rsidRPr="00167CEA">
        <w:rPr>
          <w:rFonts w:cs="Times New Roman"/>
          <w:bCs/>
          <w:szCs w:val="24"/>
        </w:rPr>
        <w:t xml:space="preserve">valuable information because they are responsible for </w:t>
      </w:r>
      <w:r w:rsidR="00911A05">
        <w:rPr>
          <w:rFonts w:cs="Times New Roman"/>
          <w:bCs/>
          <w:szCs w:val="24"/>
        </w:rPr>
        <w:t xml:space="preserve">formulation and </w:t>
      </w:r>
      <w:r w:rsidR="00167CEA" w:rsidRPr="00167CEA">
        <w:rPr>
          <w:rFonts w:cs="Times New Roman"/>
          <w:bCs/>
          <w:szCs w:val="24"/>
        </w:rPr>
        <w:t>implemen</w:t>
      </w:r>
      <w:r w:rsidR="00911A05">
        <w:rPr>
          <w:rFonts w:cs="Times New Roman"/>
          <w:bCs/>
          <w:szCs w:val="24"/>
        </w:rPr>
        <w:t>ta</w:t>
      </w:r>
      <w:r w:rsidR="00167CEA" w:rsidRPr="00167CEA">
        <w:rPr>
          <w:rFonts w:cs="Times New Roman"/>
          <w:bCs/>
          <w:szCs w:val="24"/>
        </w:rPr>
        <w:t>ti</w:t>
      </w:r>
      <w:r w:rsidR="00911A05">
        <w:rPr>
          <w:rFonts w:cs="Times New Roman"/>
          <w:bCs/>
          <w:szCs w:val="24"/>
        </w:rPr>
        <w:t xml:space="preserve">on of </w:t>
      </w:r>
      <w:r w:rsidR="00167CEA" w:rsidRPr="00167CEA">
        <w:rPr>
          <w:rFonts w:cs="Times New Roman"/>
          <w:bCs/>
          <w:szCs w:val="24"/>
        </w:rPr>
        <w:t>GHRM policies and practices.</w:t>
      </w:r>
      <w:r w:rsidRPr="00B129E1">
        <w:rPr>
          <w:rFonts w:cs="Times New Roman"/>
          <w:bCs/>
          <w:szCs w:val="24"/>
        </w:rPr>
        <w:t xml:space="preserve"> </w:t>
      </w:r>
      <w:r w:rsidR="00D14819">
        <w:rPr>
          <w:rFonts w:cs="Times New Roman"/>
          <w:bCs/>
          <w:szCs w:val="24"/>
        </w:rPr>
        <w:t xml:space="preserve">Proportionate distribution was used to get </w:t>
      </w:r>
      <w:r w:rsidR="00167CEA">
        <w:rPr>
          <w:rFonts w:cs="Times New Roman"/>
          <w:bCs/>
          <w:szCs w:val="24"/>
        </w:rPr>
        <w:t xml:space="preserve">sample of </w:t>
      </w:r>
      <w:r w:rsidR="00D14819">
        <w:rPr>
          <w:rFonts w:cs="Times New Roman"/>
          <w:bCs/>
          <w:szCs w:val="24"/>
        </w:rPr>
        <w:t xml:space="preserve">10% respondents from </w:t>
      </w:r>
      <w:r w:rsidR="00167CEA">
        <w:rPr>
          <w:rFonts w:cs="Times New Roman"/>
          <w:bCs/>
          <w:szCs w:val="24"/>
        </w:rPr>
        <w:t xml:space="preserve">each hospital: </w:t>
      </w:r>
      <w:r w:rsidR="00167CEA" w:rsidRPr="00167CEA">
        <w:rPr>
          <w:rFonts w:cs="Times New Roman"/>
          <w:bCs/>
          <w:szCs w:val="24"/>
        </w:rPr>
        <w:t>Machakos Level Five Hospital was 3</w:t>
      </w:r>
      <w:r w:rsidR="00167CEA">
        <w:rPr>
          <w:rFonts w:cs="Times New Roman"/>
          <w:bCs/>
          <w:szCs w:val="24"/>
        </w:rPr>
        <w:t>3</w:t>
      </w:r>
      <w:r w:rsidR="00167CEA" w:rsidRPr="00167CEA">
        <w:rPr>
          <w:rFonts w:cs="Times New Roman"/>
          <w:bCs/>
          <w:szCs w:val="24"/>
        </w:rPr>
        <w:t>, Mama Lucy Kibaki Level Five Hospital we</w:t>
      </w:r>
      <w:r w:rsidR="00167CEA">
        <w:rPr>
          <w:rFonts w:cs="Times New Roman"/>
          <w:bCs/>
          <w:szCs w:val="24"/>
        </w:rPr>
        <w:t>as</w:t>
      </w:r>
      <w:r w:rsidR="00167CEA" w:rsidRPr="00167CEA">
        <w:rPr>
          <w:rFonts w:cs="Times New Roman"/>
          <w:bCs/>
          <w:szCs w:val="24"/>
        </w:rPr>
        <w:t xml:space="preserve"> 2</w:t>
      </w:r>
      <w:r w:rsidR="00167CEA">
        <w:rPr>
          <w:rFonts w:cs="Times New Roman"/>
          <w:bCs/>
          <w:szCs w:val="24"/>
        </w:rPr>
        <w:t>9</w:t>
      </w:r>
      <w:r w:rsidR="00167CEA" w:rsidRPr="00167CEA">
        <w:rPr>
          <w:rFonts w:cs="Times New Roman"/>
          <w:bCs/>
          <w:szCs w:val="24"/>
        </w:rPr>
        <w:t>, Embu Level Five Hospital w</w:t>
      </w:r>
      <w:r w:rsidR="00167CEA">
        <w:rPr>
          <w:rFonts w:cs="Times New Roman"/>
          <w:bCs/>
          <w:szCs w:val="24"/>
        </w:rPr>
        <w:t>as</w:t>
      </w:r>
      <w:r w:rsidR="00167CEA" w:rsidRPr="00167CEA">
        <w:rPr>
          <w:rFonts w:cs="Times New Roman"/>
          <w:bCs/>
          <w:szCs w:val="24"/>
        </w:rPr>
        <w:t xml:space="preserve"> 3</w:t>
      </w:r>
      <w:r w:rsidR="00167CEA">
        <w:rPr>
          <w:rFonts w:cs="Times New Roman"/>
          <w:bCs/>
          <w:szCs w:val="24"/>
        </w:rPr>
        <w:t>2</w:t>
      </w:r>
      <w:r w:rsidR="00167CEA" w:rsidRPr="00167CEA">
        <w:rPr>
          <w:rFonts w:cs="Times New Roman"/>
          <w:bCs/>
          <w:szCs w:val="24"/>
        </w:rPr>
        <w:t xml:space="preserve"> and Nakuru Level Five Hospital w</w:t>
      </w:r>
      <w:r w:rsidR="00167CEA">
        <w:rPr>
          <w:rFonts w:cs="Times New Roman"/>
          <w:bCs/>
          <w:szCs w:val="24"/>
        </w:rPr>
        <w:t>as</w:t>
      </w:r>
      <w:r w:rsidR="00167CEA" w:rsidRPr="00167CEA">
        <w:rPr>
          <w:rFonts w:cs="Times New Roman"/>
          <w:bCs/>
          <w:szCs w:val="24"/>
        </w:rPr>
        <w:t xml:space="preserve"> 37</w:t>
      </w:r>
      <w:r w:rsidR="00167CEA">
        <w:rPr>
          <w:rFonts w:cs="Times New Roman"/>
          <w:bCs/>
          <w:szCs w:val="24"/>
        </w:rPr>
        <w:t>.</w:t>
      </w:r>
      <w:r w:rsidR="00D14819">
        <w:rPr>
          <w:rFonts w:cs="Times New Roman"/>
          <w:bCs/>
          <w:szCs w:val="24"/>
        </w:rPr>
        <w:t xml:space="preserve"> </w:t>
      </w:r>
      <w:r w:rsidR="00206D7E">
        <w:rPr>
          <w:rFonts w:cs="Times New Roman"/>
          <w:bCs/>
          <w:color w:val="000000"/>
          <w:szCs w:val="24"/>
        </w:rPr>
        <w:t xml:space="preserve">Simple random sampling was used in each hospital to pick the sampled respondents for the study. </w:t>
      </w:r>
      <w:r>
        <w:rPr>
          <w:rFonts w:cs="Times New Roman"/>
          <w:bCs/>
          <w:color w:val="000000"/>
          <w:szCs w:val="24"/>
        </w:rPr>
        <w:t>The sample size of 131</w:t>
      </w:r>
      <w:r w:rsidR="00813573">
        <w:rPr>
          <w:rFonts w:cs="Times New Roman"/>
          <w:bCs/>
          <w:color w:val="000000"/>
          <w:szCs w:val="24"/>
        </w:rPr>
        <w:t xml:space="preserve"> respondents</w:t>
      </w:r>
      <w:r>
        <w:rPr>
          <w:rFonts w:cs="Times New Roman"/>
          <w:bCs/>
          <w:color w:val="000000"/>
          <w:szCs w:val="24"/>
        </w:rPr>
        <w:t xml:space="preserve"> was adequate as it is supported by other studies such as Kuria and Mose (2019) </w:t>
      </w:r>
      <w:r w:rsidR="00E75E37">
        <w:rPr>
          <w:rFonts w:cs="Times New Roman"/>
          <w:bCs/>
          <w:color w:val="000000"/>
          <w:szCs w:val="24"/>
        </w:rPr>
        <w:t>who used a sample o</w:t>
      </w:r>
      <w:r w:rsidR="007C44B1">
        <w:rPr>
          <w:rFonts w:cs="Times New Roman"/>
          <w:bCs/>
          <w:color w:val="000000"/>
          <w:szCs w:val="24"/>
        </w:rPr>
        <w:t>f</w:t>
      </w:r>
      <w:r w:rsidR="00E75E37">
        <w:rPr>
          <w:rFonts w:cs="Times New Roman"/>
          <w:bCs/>
          <w:color w:val="000000"/>
          <w:szCs w:val="24"/>
        </w:rPr>
        <w:t xml:space="preserve"> 120 respondents </w:t>
      </w:r>
      <w:r>
        <w:rPr>
          <w:rFonts w:cs="Times New Roman"/>
          <w:bCs/>
          <w:color w:val="000000"/>
          <w:szCs w:val="24"/>
        </w:rPr>
        <w:t>and Mandago (2019)</w:t>
      </w:r>
      <w:r w:rsidR="00813573">
        <w:rPr>
          <w:rFonts w:cs="Times New Roman"/>
          <w:bCs/>
          <w:color w:val="000000"/>
          <w:szCs w:val="24"/>
        </w:rPr>
        <w:t xml:space="preserve"> who used </w:t>
      </w:r>
      <w:r w:rsidR="007C44B1">
        <w:rPr>
          <w:rFonts w:cs="Times New Roman"/>
          <w:bCs/>
          <w:color w:val="000000"/>
          <w:szCs w:val="24"/>
        </w:rPr>
        <w:t>a sample of 122 respondents</w:t>
      </w:r>
      <w:r>
        <w:rPr>
          <w:rFonts w:cs="Times New Roman"/>
          <w:bCs/>
          <w:color w:val="000000"/>
          <w:szCs w:val="24"/>
        </w:rPr>
        <w:t>.</w:t>
      </w:r>
    </w:p>
    <w:p w14:paraId="7EB58B4F" w14:textId="77777777" w:rsidR="009F33CD" w:rsidRDefault="00E40740">
      <w:pPr>
        <w:pStyle w:val="Heading2"/>
        <w:spacing w:before="240"/>
        <w:rPr>
          <w:lang w:val="en-GB"/>
        </w:rPr>
      </w:pPr>
      <w:bookmarkStart w:id="615" w:name="_Toc224237700"/>
      <w:r>
        <w:rPr>
          <w:lang w:val="en-GB"/>
        </w:rPr>
        <w:t>3.7 Data Collection Instruments</w:t>
      </w:r>
      <w:bookmarkEnd w:id="615"/>
    </w:p>
    <w:p w14:paraId="15AE4B0A" w14:textId="77777777" w:rsidR="009F33CD" w:rsidRDefault="00E40740">
      <w:pPr>
        <w:spacing w:before="240"/>
      </w:pPr>
      <w:r>
        <w:t>A data collection instrument is a device that is used to collect data objectively and systematically for the purpose of research (Kothari, 2014). This section presents instruments for collecting primary and secondary data and also the measurement of variables.</w:t>
      </w:r>
    </w:p>
    <w:p w14:paraId="5A81837E" w14:textId="77777777" w:rsidR="009F33CD" w:rsidRDefault="00E40740" w:rsidP="00747714">
      <w:pPr>
        <w:pStyle w:val="Heading3"/>
      </w:pPr>
      <w:bookmarkStart w:id="616" w:name="_Toc165623568"/>
      <w:bookmarkStart w:id="617" w:name="_Toc165626349"/>
      <w:bookmarkStart w:id="618" w:name="_Toc185614048"/>
      <w:bookmarkStart w:id="619" w:name="_Toc188443951"/>
      <w:bookmarkStart w:id="620" w:name="_Toc188130604"/>
      <w:bookmarkStart w:id="621" w:name="_Toc178940559"/>
      <w:bookmarkStart w:id="622" w:name="_Toc178939604"/>
      <w:bookmarkStart w:id="623" w:name="_Toc187080818"/>
      <w:bookmarkStart w:id="624" w:name="_Toc178945009"/>
      <w:bookmarkStart w:id="625" w:name="_Toc188442577"/>
      <w:bookmarkStart w:id="626" w:name="_Toc178942600"/>
      <w:bookmarkStart w:id="627" w:name="_Toc224160641"/>
      <w:bookmarkStart w:id="628" w:name="_Toc224237701"/>
      <w:r>
        <w:t xml:space="preserve">3.7.1 Primary and </w:t>
      </w:r>
      <w:bookmarkEnd w:id="616"/>
      <w:bookmarkEnd w:id="617"/>
      <w:r>
        <w:t>Secondary Data</w:t>
      </w:r>
      <w:bookmarkEnd w:id="618"/>
      <w:bookmarkEnd w:id="619"/>
      <w:bookmarkEnd w:id="620"/>
      <w:bookmarkEnd w:id="621"/>
      <w:bookmarkEnd w:id="622"/>
      <w:bookmarkEnd w:id="623"/>
      <w:bookmarkEnd w:id="624"/>
      <w:bookmarkEnd w:id="625"/>
      <w:bookmarkEnd w:id="626"/>
      <w:bookmarkEnd w:id="627"/>
      <w:bookmarkEnd w:id="628"/>
    </w:p>
    <w:p w14:paraId="359E4FD7" w14:textId="77777777" w:rsidR="009F33CD" w:rsidRDefault="00E40740">
      <w:pPr>
        <w:rPr>
          <w:rFonts w:cs="Times New Roman"/>
          <w:szCs w:val="24"/>
        </w:rPr>
      </w:pPr>
      <w:r>
        <w:rPr>
          <w:rFonts w:cs="Times New Roman"/>
          <w:szCs w:val="24"/>
        </w:rPr>
        <w:t xml:space="preserve">The most commonly used data collection instruments in social science research are: observation; interview and questionnaire (Cooper &amp; Schindler, 2013). Cooper and Schindler (2013) recommended the application of a questionnaire in descriptive studies because self-administered questionnaires cost less than personal interviews and sometimes it is suitable where sample accessibility for interview is difficult. </w:t>
      </w:r>
    </w:p>
    <w:p w14:paraId="1569C77F" w14:textId="77777777" w:rsidR="009F33CD" w:rsidRDefault="00E40740">
      <w:pPr>
        <w:rPr>
          <w:rFonts w:cs="Times New Roman"/>
          <w:szCs w:val="24"/>
        </w:rPr>
      </w:pPr>
      <w:r>
        <w:rPr>
          <w:rFonts w:cs="Times New Roman"/>
          <w:szCs w:val="24"/>
        </w:rPr>
        <w:t xml:space="preserve">The use of a questionnaire is informed by its ability to collect large amounts of data within a short time and its ability to give respondents anonymity and the freedom to express their views or opinions more objectively (Kothari, 2014). This study utilized a questionnaire and </w:t>
      </w:r>
      <w:r w:rsidR="000738DB">
        <w:rPr>
          <w:rFonts w:cs="Times New Roman"/>
          <w:szCs w:val="24"/>
        </w:rPr>
        <w:t>interview provided in Appendix III and Appendix V</w:t>
      </w:r>
      <w:r>
        <w:rPr>
          <w:rFonts w:cs="Times New Roman"/>
          <w:szCs w:val="24"/>
        </w:rPr>
        <w:t xml:space="preserve"> respectively </w:t>
      </w:r>
      <w:r>
        <w:rPr>
          <w:rFonts w:cs="Times New Roman"/>
          <w:szCs w:val="24"/>
        </w:rPr>
        <w:lastRenderedPageBreak/>
        <w:t>to collect primary data. The interview was conducted using an interview guide provide</w:t>
      </w:r>
      <w:r w:rsidR="000738DB">
        <w:rPr>
          <w:rFonts w:cs="Times New Roman"/>
          <w:szCs w:val="24"/>
        </w:rPr>
        <w:t>d in Appendix V</w:t>
      </w:r>
      <w:r>
        <w:rPr>
          <w:rFonts w:cs="Times New Roman"/>
          <w:szCs w:val="24"/>
        </w:rPr>
        <w:t xml:space="preserve"> to collect qualitative data from three key respondents, especially hospital administrator or human resource officer, the head of nursing services, and the head of information technology. </w:t>
      </w:r>
    </w:p>
    <w:p w14:paraId="16170531" w14:textId="77777777" w:rsidR="009F33CD" w:rsidRDefault="00E40740">
      <w:pPr>
        <w:spacing w:before="240"/>
        <w:rPr>
          <w:rFonts w:cs="Times New Roman"/>
          <w:szCs w:val="24"/>
        </w:rPr>
      </w:pPr>
      <w:r>
        <w:rPr>
          <w:rFonts w:cs="Times New Roman"/>
          <w:szCs w:val="24"/>
        </w:rPr>
        <w:t xml:space="preserve">Secondary data was collected using document analysis. Document analysis is a systematic procedure for reviewing and interpreting printed and electronic documents. It provides a way of tracking change and growth, provides supplementary data for research, and provides a way to corroborate evidence from other data sources (Bowen, 2009). Document Analysis was conducted to collect data from various records for a period of six years (2014-2019) including records on the number of patients attended to; records on client satisfaction indices; and records on the amount of revenue collected among others. </w:t>
      </w:r>
      <w:bookmarkStart w:id="629" w:name="_Toc178939605"/>
      <w:bookmarkStart w:id="630" w:name="_Toc178940560"/>
      <w:bookmarkStart w:id="631" w:name="_Toc165623569"/>
      <w:bookmarkStart w:id="632" w:name="_Toc178942601"/>
      <w:bookmarkStart w:id="633" w:name="_Toc165626350"/>
      <w:bookmarkStart w:id="634" w:name="_Toc178945010"/>
    </w:p>
    <w:p w14:paraId="0C2EE92B" w14:textId="77777777" w:rsidR="009F33CD" w:rsidRDefault="00E40740">
      <w:pPr>
        <w:pStyle w:val="Heading2"/>
        <w:spacing w:before="240"/>
        <w:rPr>
          <w:lang w:val="en-GB"/>
        </w:rPr>
      </w:pPr>
      <w:bookmarkStart w:id="635" w:name="_Toc224237702"/>
      <w:bookmarkEnd w:id="629"/>
      <w:bookmarkEnd w:id="630"/>
      <w:bookmarkEnd w:id="631"/>
      <w:bookmarkEnd w:id="632"/>
      <w:bookmarkEnd w:id="633"/>
      <w:bookmarkEnd w:id="634"/>
      <w:r>
        <w:rPr>
          <w:lang w:val="en-GB"/>
        </w:rPr>
        <w:t>3.8 Data Collection Procedure</w:t>
      </w:r>
      <w:bookmarkEnd w:id="635"/>
    </w:p>
    <w:p w14:paraId="7EB3CB38" w14:textId="77777777" w:rsidR="009F33CD" w:rsidRDefault="00E40740">
      <w:pPr>
        <w:spacing w:before="240"/>
        <w:rPr>
          <w:rFonts w:eastAsia="Calibri" w:cs="Times New Roman"/>
          <w:szCs w:val="24"/>
        </w:rPr>
      </w:pPr>
      <w:r>
        <w:rPr>
          <w:rFonts w:cs="Times New Roman"/>
          <w:szCs w:val="24"/>
        </w:rPr>
        <w:t>Data is anything given or admitted as a fact on which a research inference is based and data collection instruments are the tools and procedures used in the measurement of variables in research (Oso &amp; Onen, 2011). T</w:t>
      </w:r>
      <w:r>
        <w:rPr>
          <w:rFonts w:eastAsia="Calibri" w:cs="Times New Roman"/>
          <w:bCs/>
          <w:szCs w:val="24"/>
        </w:rPr>
        <w:t>he researcher obtained permission to collect f</w:t>
      </w:r>
      <w:r w:rsidR="000738DB">
        <w:rPr>
          <w:rFonts w:eastAsia="Calibri" w:cs="Times New Roman"/>
          <w:bCs/>
          <w:szCs w:val="24"/>
        </w:rPr>
        <w:t>rom JKUAT attached as Appendix VIII</w:t>
      </w:r>
      <w:r>
        <w:rPr>
          <w:rFonts w:eastAsia="Calibri" w:cs="Times New Roman"/>
          <w:bCs/>
          <w:szCs w:val="24"/>
        </w:rPr>
        <w:t>; and obtained Ethics Review Approval from the JKUAT</w:t>
      </w:r>
      <w:r>
        <w:rPr>
          <w:rFonts w:eastAsia="Calibri" w:cs="Times New Roman"/>
          <w:i/>
          <w:szCs w:val="24"/>
        </w:rPr>
        <w:t xml:space="preserve"> </w:t>
      </w:r>
      <w:r>
        <w:rPr>
          <w:rFonts w:eastAsia="Calibri" w:cs="Times New Roman"/>
          <w:szCs w:val="24"/>
        </w:rPr>
        <w:t xml:space="preserve">Institutional Scientific and Ethics Review </w:t>
      </w:r>
      <w:r w:rsidR="000738DB">
        <w:rPr>
          <w:rFonts w:eastAsia="Calibri" w:cs="Times New Roman"/>
          <w:szCs w:val="24"/>
        </w:rPr>
        <w:t>Committee attached as Appendix IX</w:t>
      </w:r>
      <w:r>
        <w:rPr>
          <w:rFonts w:eastAsia="Calibri" w:cs="Times New Roman"/>
          <w:szCs w:val="24"/>
        </w:rPr>
        <w:t>; and a rese</w:t>
      </w:r>
      <w:r>
        <w:rPr>
          <w:rFonts w:eastAsia="Calibri" w:cs="Times New Roman"/>
          <w:bCs/>
          <w:szCs w:val="24"/>
        </w:rPr>
        <w:t xml:space="preserve">arch permit from The National Commission for Science and Technology </w:t>
      </w:r>
      <w:r w:rsidR="000738DB">
        <w:rPr>
          <w:rFonts w:eastAsia="Calibri" w:cs="Times New Roman"/>
          <w:bCs/>
          <w:szCs w:val="24"/>
        </w:rPr>
        <w:t>(NACOST) attached as Appendix X</w:t>
      </w:r>
      <w:r>
        <w:rPr>
          <w:rFonts w:eastAsia="Calibri" w:cs="Times New Roman"/>
          <w:szCs w:val="24"/>
        </w:rPr>
        <w:t>. The researcher further obtained</w:t>
      </w:r>
      <w:r>
        <w:rPr>
          <w:rFonts w:eastAsia="Calibri" w:cs="Times New Roman"/>
          <w:bCs/>
          <w:szCs w:val="24"/>
        </w:rPr>
        <w:t xml:space="preserve"> written authority from respective Level Five Hospitals through their County Governments’ Health Dep</w:t>
      </w:r>
      <w:r w:rsidR="000738DB">
        <w:rPr>
          <w:rFonts w:eastAsia="Calibri" w:cs="Times New Roman"/>
          <w:bCs/>
          <w:szCs w:val="24"/>
        </w:rPr>
        <w:t>artments</w:t>
      </w:r>
      <w:r>
        <w:rPr>
          <w:rFonts w:eastAsia="Calibri" w:cs="Times New Roman"/>
          <w:bCs/>
          <w:szCs w:val="24"/>
        </w:rPr>
        <w:t xml:space="preserve">. The </w:t>
      </w:r>
      <w:r>
        <w:rPr>
          <w:rFonts w:eastAsia="Calibri" w:cs="Times New Roman"/>
          <w:szCs w:val="24"/>
        </w:rPr>
        <w:t>introduction letter obtained from the management of each Level Five hospital was used as an authority tool to access the respondents for informe</w:t>
      </w:r>
      <w:r w:rsidR="000738DB">
        <w:rPr>
          <w:rFonts w:eastAsia="Calibri" w:cs="Times New Roman"/>
          <w:szCs w:val="24"/>
        </w:rPr>
        <w:t>d consent provided as Appendix II</w:t>
      </w:r>
      <w:r>
        <w:rPr>
          <w:rFonts w:eastAsia="Calibri" w:cs="Times New Roman"/>
          <w:szCs w:val="24"/>
        </w:rPr>
        <w:t xml:space="preserve"> and for participating in this study.</w:t>
      </w:r>
    </w:p>
    <w:p w14:paraId="528810D0" w14:textId="77777777" w:rsidR="009F33CD" w:rsidRDefault="00E40740">
      <w:pPr>
        <w:spacing w:before="240"/>
        <w:rPr>
          <w:rFonts w:cs="Times New Roman"/>
          <w:szCs w:val="24"/>
        </w:rPr>
      </w:pPr>
      <w:r>
        <w:rPr>
          <w:rFonts w:cs="Times New Roman"/>
          <w:szCs w:val="24"/>
        </w:rPr>
        <w:t>The participating sample of respondents per hospital was first of all sensitized at their respective offices, departments, and sections about the concept of green human resource management practices. The respondents were also informed about the purpose of the study. The copies of the questionnaire were thereafter issued to the respondents at their levels in management, departments, and sections.</w:t>
      </w:r>
      <w:r>
        <w:rPr>
          <w:rFonts w:eastAsia="TimesNewRoman" w:cs="Times New Roman"/>
          <w:bCs/>
          <w:szCs w:val="24"/>
        </w:rPr>
        <w:t xml:space="preserve"> </w:t>
      </w:r>
      <w:r>
        <w:rPr>
          <w:rFonts w:cs="Times New Roman"/>
          <w:szCs w:val="24"/>
        </w:rPr>
        <w:t xml:space="preserve">The filled </w:t>
      </w:r>
      <w:r>
        <w:rPr>
          <w:rFonts w:cs="Times New Roman"/>
          <w:szCs w:val="24"/>
        </w:rPr>
        <w:lastRenderedPageBreak/>
        <w:t>questionnaires were collected by the researcher later in the same day and the remaining at various convenient intervals within one week so as to minimize misplacement or loss. A doc</w:t>
      </w:r>
      <w:r w:rsidR="000738DB">
        <w:rPr>
          <w:rFonts w:cs="Times New Roman"/>
          <w:szCs w:val="24"/>
        </w:rPr>
        <w:t>ument analysis guide (Appendix IV</w:t>
      </w:r>
      <w:r>
        <w:rPr>
          <w:rFonts w:cs="Times New Roman"/>
          <w:szCs w:val="24"/>
        </w:rPr>
        <w:t xml:space="preserve">) was used to collect secondary data from the departments of health information, public relations and communication, finance, human resources, and public health sections or departments of each of the participating hospitals. Interviews with three key Hospital Administration Team members namely: the human resource officer, head of nursing services, and information technology were conducted using the interview guide provided as Appendix </w:t>
      </w:r>
      <w:r w:rsidR="000738DB">
        <w:rPr>
          <w:rFonts w:cs="Times New Roman"/>
          <w:szCs w:val="24"/>
        </w:rPr>
        <w:t>V</w:t>
      </w:r>
      <w:r>
        <w:rPr>
          <w:rFonts w:cs="Times New Roman"/>
          <w:szCs w:val="24"/>
        </w:rPr>
        <w:t xml:space="preserve">. </w:t>
      </w:r>
      <w:r>
        <w:rPr>
          <w:rFonts w:cs="Times New Roman"/>
          <w:bCs/>
          <w:szCs w:val="24"/>
        </w:rPr>
        <w:t>These respondents were also sensitized individually about the concept of green HRM. The i</w:t>
      </w:r>
      <w:r>
        <w:rPr>
          <w:rFonts w:cs="Times New Roman"/>
          <w:szCs w:val="24"/>
        </w:rPr>
        <w:t>nterview took about ten minutes with each of the key respondents.</w:t>
      </w:r>
    </w:p>
    <w:p w14:paraId="48F9E3F0" w14:textId="77777777" w:rsidR="009F33CD" w:rsidRDefault="00E40740">
      <w:pPr>
        <w:pStyle w:val="Heading2"/>
        <w:spacing w:before="240"/>
        <w:rPr>
          <w:lang w:val="en-GB"/>
        </w:rPr>
      </w:pPr>
      <w:bookmarkStart w:id="636" w:name="_Toc224237703"/>
      <w:r>
        <w:rPr>
          <w:lang w:val="en-GB"/>
        </w:rPr>
        <w:t>3.9 Pilot Test</w:t>
      </w:r>
      <w:bookmarkEnd w:id="636"/>
    </w:p>
    <w:p w14:paraId="35AA4900" w14:textId="77777777" w:rsidR="009F33CD" w:rsidRDefault="00E40740">
      <w:pPr>
        <w:spacing w:before="240"/>
        <w:rPr>
          <w:rFonts w:cs="Times New Roman"/>
          <w:bCs/>
          <w:color w:val="000000"/>
          <w:szCs w:val="24"/>
          <w:lang w:eastAsia="en-GB" w:bidi="th-TH"/>
        </w:rPr>
      </w:pPr>
      <w:r>
        <w:rPr>
          <w:rFonts w:cs="Times New Roman"/>
          <w:bCs/>
          <w:color w:val="000000"/>
          <w:szCs w:val="24"/>
          <w:lang w:eastAsia="en-GB" w:bidi="th-TH"/>
        </w:rPr>
        <w:t>A pilot test on the research instruments was conducted before the main study to confirm their validity and reliability. Pilot studies are conducted to detect weaknesses in design and instrumentation and provide proxy data for the selection of probability samples (Cooper &amp; Schindler, 2007). The pilot study on some respondents who did not participate in the final study was done at Chuka Level Five Hospital. Cooper and Schindler (2007) propose a rule of thumb of 10% of the sample to be enough for the pilot study, Kothari (2019) recommends 1% of the study (target) population as being fit for statistical tests of instruments.</w:t>
      </w:r>
    </w:p>
    <w:p w14:paraId="60BF6488" w14:textId="77777777" w:rsidR="009F33CD" w:rsidRDefault="00E40740">
      <w:pPr>
        <w:spacing w:before="240"/>
        <w:rPr>
          <w:rFonts w:cs="Times New Roman"/>
          <w:bCs/>
          <w:color w:val="000000"/>
          <w:szCs w:val="24"/>
          <w:lang w:eastAsia="en-GB" w:bidi="th-TH"/>
        </w:rPr>
      </w:pPr>
      <w:r>
        <w:rPr>
          <w:rFonts w:cs="Times New Roman"/>
          <w:bCs/>
          <w:color w:val="000000"/>
          <w:szCs w:val="24"/>
          <w:lang w:eastAsia="en-GB" w:bidi="th-TH"/>
        </w:rPr>
        <w:t xml:space="preserve"> The pilot study was conducted on </w:t>
      </w:r>
      <w:r>
        <w:rPr>
          <w:rFonts w:cs="Times New Roman"/>
          <w:bCs/>
          <w:szCs w:val="24"/>
          <w:lang w:eastAsia="en-GB" w:bidi="th-TH"/>
        </w:rPr>
        <w:t>13</w:t>
      </w:r>
      <w:r>
        <w:rPr>
          <w:rFonts w:cs="Times New Roman"/>
          <w:bCs/>
          <w:color w:val="000000"/>
          <w:szCs w:val="24"/>
          <w:lang w:eastAsia="en-GB" w:bidi="th-TH"/>
        </w:rPr>
        <w:t xml:space="preserve"> respondents who were randomly selected from management employees of Chuka Level Five Hospital. The pilot study assisted the researcher in determining if the selected questions could measure what they were supposed to measure, if the wording was clear, and if all questions were interpreted in the same way by respondents. The research instrument was then modified based on the responses before administering it to actual respondents. </w:t>
      </w:r>
    </w:p>
    <w:p w14:paraId="2980A5F3" w14:textId="77777777" w:rsidR="009F33CD" w:rsidRDefault="00E40740" w:rsidP="00747714">
      <w:pPr>
        <w:pStyle w:val="Heading3"/>
      </w:pPr>
      <w:bookmarkStart w:id="637" w:name="_Toc178939608"/>
      <w:bookmarkStart w:id="638" w:name="_Toc165626353"/>
      <w:bookmarkStart w:id="639" w:name="_Toc178945013"/>
      <w:bookmarkStart w:id="640" w:name="_Toc165623572"/>
      <w:bookmarkStart w:id="641" w:name="_Toc178944261"/>
      <w:bookmarkStart w:id="642" w:name="_Toc185614051"/>
      <w:bookmarkStart w:id="643" w:name="_Toc178942604"/>
      <w:bookmarkStart w:id="644" w:name="_Toc187080821"/>
      <w:bookmarkStart w:id="645" w:name="_Toc178940563"/>
      <w:bookmarkStart w:id="646" w:name="_Toc224237704"/>
      <w:r>
        <w:t>3.9.1 Reliability of Research Instruments</w:t>
      </w:r>
      <w:bookmarkEnd w:id="637"/>
      <w:bookmarkEnd w:id="638"/>
      <w:bookmarkEnd w:id="639"/>
      <w:bookmarkEnd w:id="640"/>
      <w:bookmarkEnd w:id="641"/>
      <w:bookmarkEnd w:id="642"/>
      <w:bookmarkEnd w:id="643"/>
      <w:bookmarkEnd w:id="644"/>
      <w:bookmarkEnd w:id="645"/>
      <w:bookmarkEnd w:id="646"/>
    </w:p>
    <w:p w14:paraId="476B2E5F" w14:textId="77777777" w:rsidR="009F33CD" w:rsidRDefault="00E40740" w:rsidP="00747714">
      <w:r>
        <w:t>According to Mugenda and Mugenda (201</w:t>
      </w:r>
      <w:r w:rsidR="0002198B">
        <w:t>2</w:t>
      </w:r>
      <w:r>
        <w:t xml:space="preserve">), the degree to which a research instrument measures and gives consistent results after repeated trials is known as reliability. To ensure the reliability of the research instrument, a pilot study was carried </w:t>
      </w:r>
      <w:r>
        <w:lastRenderedPageBreak/>
        <w:t>out by administering 10% of the questionnaire to selected respondents of Chuka Level Five Hospital who were not to participate in the actual study. The research instrument was tested to ensure accuracy and clarify on the instrument the appropriateness of the language used.  The current study utilized Cronbach’s Alpha formula as a measure of testing the reliability of the research instrument. The following is the Cronbach’s alpha formula:</w:t>
      </w:r>
      <w:r>
        <w:tab/>
      </w:r>
      <w:r>
        <w:tab/>
      </w:r>
      <w:r>
        <w:rPr>
          <w:noProof/>
          <w:lang w:val="en-US"/>
        </w:rPr>
        <w:drawing>
          <wp:inline distT="0" distB="0" distL="0" distR="0" wp14:anchorId="34C618BE" wp14:editId="2EAFFD9A">
            <wp:extent cx="1623695" cy="532130"/>
            <wp:effectExtent l="19050" t="0" r="0" b="0"/>
            <wp:docPr id="8" name="Picture 5" descr="C:\Documents and Settings\Nelson Momanyi\Desktop\cronbachs-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Documents and Settings\Nelson Momanyi\Desktop\cronbachs-alpha.gif"/>
                    <pic:cNvPicPr>
                      <a:picLocks noChangeAspect="1" noChangeArrowheads="1"/>
                    </pic:cNvPicPr>
                  </pic:nvPicPr>
                  <pic:blipFill>
                    <a:blip r:embed="rId12" cstate="print"/>
                    <a:srcRect/>
                    <a:stretch>
                      <a:fillRect/>
                    </a:stretch>
                  </pic:blipFill>
                  <pic:spPr>
                    <a:xfrm>
                      <a:off x="0" y="0"/>
                      <a:ext cx="1623678" cy="532130"/>
                    </a:xfrm>
                    <a:prstGeom prst="rect">
                      <a:avLst/>
                    </a:prstGeom>
                    <a:noFill/>
                    <a:ln w="9525">
                      <a:noFill/>
                      <a:miter lim="800000"/>
                      <a:headEnd/>
                      <a:tailEnd/>
                    </a:ln>
                  </pic:spPr>
                </pic:pic>
              </a:graphicData>
            </a:graphic>
          </wp:inline>
        </w:drawing>
      </w:r>
    </w:p>
    <w:p w14:paraId="75DEDD35" w14:textId="77777777" w:rsidR="009F33CD" w:rsidRDefault="00E40740">
      <w:pPr>
        <w:rPr>
          <w:rFonts w:eastAsia="TimesNewRoman" w:cs="Times New Roman"/>
          <w:bCs/>
          <w:szCs w:val="24"/>
        </w:rPr>
      </w:pPr>
      <w:r>
        <w:rPr>
          <w:rFonts w:cs="Times New Roman"/>
          <w:szCs w:val="24"/>
        </w:rPr>
        <w:t>Where;</w:t>
      </w:r>
    </w:p>
    <w:p w14:paraId="01D92D46" w14:textId="77777777" w:rsidR="009F33CD" w:rsidRDefault="00E40740">
      <w:pPr>
        <w:autoSpaceDE/>
        <w:autoSpaceDN/>
        <w:adjustRightInd/>
        <w:rPr>
          <w:rFonts w:cs="Times New Roman"/>
          <w:szCs w:val="24"/>
        </w:rPr>
      </w:pPr>
      <w:r>
        <w:rPr>
          <w:rFonts w:cs="Times New Roman"/>
          <w:szCs w:val="24"/>
        </w:rPr>
        <w:t xml:space="preserve">N = the number of elements, v̄ = Average </w:t>
      </w:r>
      <w:hyperlink r:id="rId13" w:history="1">
        <w:r w:rsidR="009F33CD">
          <w:rPr>
            <w:rFonts w:cs="Times New Roman"/>
            <w:color w:val="000000" w:themeColor="text1"/>
            <w:szCs w:val="24"/>
          </w:rPr>
          <w:t>Variances</w:t>
        </w:r>
      </w:hyperlink>
      <w:r>
        <w:rPr>
          <w:rFonts w:cs="Times New Roman"/>
          <w:color w:val="000000" w:themeColor="text1"/>
          <w:szCs w:val="24"/>
        </w:rPr>
        <w:t xml:space="preserve">,  </w:t>
      </w:r>
      <w:r>
        <w:rPr>
          <w:rFonts w:cs="Times New Roman"/>
          <w:szCs w:val="24"/>
        </w:rPr>
        <w:t xml:space="preserve">c̄ = </w:t>
      </w:r>
      <w:hyperlink r:id="rId14" w:history="1">
        <w:r w:rsidR="009F33CD">
          <w:rPr>
            <w:rFonts w:cs="Times New Roman"/>
            <w:color w:val="000000" w:themeColor="text1"/>
            <w:szCs w:val="24"/>
          </w:rPr>
          <w:t xml:space="preserve">Average </w:t>
        </w:r>
      </w:hyperlink>
      <w:hyperlink r:id="rId15" w:history="1">
        <w:r w:rsidR="009F33CD">
          <w:rPr>
            <w:rFonts w:cs="Times New Roman"/>
            <w:color w:val="000000" w:themeColor="text1"/>
            <w:szCs w:val="24"/>
          </w:rPr>
          <w:t xml:space="preserve">Covariance </w:t>
        </w:r>
      </w:hyperlink>
      <w:r>
        <w:rPr>
          <w:rFonts w:cs="Times New Roman"/>
          <w:szCs w:val="24"/>
        </w:rPr>
        <w:t>between element-pairs</w:t>
      </w:r>
    </w:p>
    <w:p w14:paraId="03AA8304" w14:textId="77777777" w:rsidR="009F33CD" w:rsidRDefault="00E40740">
      <w:pPr>
        <w:rPr>
          <w:rFonts w:cs="Times New Roman"/>
          <w:bCs/>
          <w:szCs w:val="24"/>
        </w:rPr>
      </w:pPr>
      <w:r>
        <w:rPr>
          <w:rFonts w:cs="Times New Roman"/>
          <w:bCs/>
          <w:szCs w:val="24"/>
        </w:rPr>
        <w:t xml:space="preserve">Cronbach’s Alpha formula is </w:t>
      </w:r>
      <w:r>
        <w:rPr>
          <w:rFonts w:eastAsia="TimesNewRoman" w:cs="Times New Roman"/>
          <w:bCs/>
          <w:szCs w:val="24"/>
        </w:rPr>
        <w:t xml:space="preserve">usually applied to measure the internal reliability of psychometric test scores for a sample of respondents from the population. </w:t>
      </w:r>
      <w:bookmarkStart w:id="647" w:name="_Hlk184227430"/>
      <w:r>
        <w:rPr>
          <w:rFonts w:cs="Times New Roman"/>
          <w:bCs/>
          <w:szCs w:val="24"/>
        </w:rPr>
        <w:t>Pallant (2010) recommends that where Cronbach’s Alpha Coefficient is used for a reliability test, the acceptable value should be 0.7 to 0.9</w:t>
      </w:r>
      <w:bookmarkEnd w:id="647"/>
      <w:r>
        <w:rPr>
          <w:rFonts w:cs="Times New Roman"/>
          <w:bCs/>
          <w:szCs w:val="24"/>
        </w:rPr>
        <w:t>. According to Mugenda and Mugenda (201</w:t>
      </w:r>
      <w:r w:rsidR="0002198B">
        <w:rPr>
          <w:rFonts w:cs="Times New Roman"/>
          <w:bCs/>
          <w:szCs w:val="24"/>
        </w:rPr>
        <w:t>2</w:t>
      </w:r>
      <w:r>
        <w:rPr>
          <w:rFonts w:cs="Times New Roman"/>
          <w:bCs/>
          <w:szCs w:val="24"/>
        </w:rPr>
        <w:t>), a high coefficient of 0.7 or more implies a high degree of internal consistency or reliability of the research instrument.</w:t>
      </w:r>
    </w:p>
    <w:p w14:paraId="3F70E6DB" w14:textId="77777777" w:rsidR="009F33CD" w:rsidRDefault="00E40740" w:rsidP="00747714">
      <w:pPr>
        <w:pStyle w:val="Heading3"/>
      </w:pPr>
      <w:bookmarkStart w:id="648" w:name="_Toc185614052"/>
      <w:bookmarkStart w:id="649" w:name="_Toc187080822"/>
      <w:bookmarkStart w:id="650" w:name="_Toc165626354"/>
      <w:bookmarkStart w:id="651" w:name="_Toc178940564"/>
      <w:bookmarkStart w:id="652" w:name="_Toc178945014"/>
      <w:bookmarkStart w:id="653" w:name="_Toc178939609"/>
      <w:bookmarkStart w:id="654" w:name="_Toc178944262"/>
      <w:bookmarkStart w:id="655" w:name="_Toc178942605"/>
      <w:bookmarkStart w:id="656" w:name="_Toc165623573"/>
      <w:bookmarkStart w:id="657" w:name="_Toc224237705"/>
      <w:r>
        <w:t>3.9.2 Validity of Research Instrument</w:t>
      </w:r>
      <w:bookmarkEnd w:id="648"/>
      <w:bookmarkEnd w:id="649"/>
      <w:bookmarkEnd w:id="650"/>
      <w:bookmarkEnd w:id="651"/>
      <w:bookmarkEnd w:id="652"/>
      <w:bookmarkEnd w:id="653"/>
      <w:bookmarkEnd w:id="654"/>
      <w:bookmarkEnd w:id="655"/>
      <w:bookmarkEnd w:id="656"/>
      <w:bookmarkEnd w:id="657"/>
    </w:p>
    <w:p w14:paraId="69552515" w14:textId="77777777" w:rsidR="009F33CD" w:rsidRDefault="00E40740">
      <w:pPr>
        <w:spacing w:before="240"/>
        <w:rPr>
          <w:rFonts w:cs="Times New Roman"/>
          <w:szCs w:val="24"/>
        </w:rPr>
      </w:pPr>
      <w:r>
        <w:rPr>
          <w:rFonts w:cs="Times New Roman"/>
          <w:szCs w:val="24"/>
        </w:rPr>
        <w:t>Mugenda and Mugenda (201</w:t>
      </w:r>
      <w:r w:rsidR="0002198B">
        <w:rPr>
          <w:rFonts w:cs="Times New Roman"/>
          <w:szCs w:val="24"/>
        </w:rPr>
        <w:t>2</w:t>
      </w:r>
      <w:r>
        <w:rPr>
          <w:rFonts w:cs="Times New Roman"/>
          <w:szCs w:val="24"/>
        </w:rPr>
        <w:t>) argue that validity is the accuracy and meaningfulness of inferences based on the research results. Three types of validity namely: face, content, and construct validity were used. The researcher carried out a thorough review of the literature to identify the items required to measure the concepts and to ensure that the questionnaire covered all relevant dimensions.</w:t>
      </w:r>
    </w:p>
    <w:p w14:paraId="027C76C4" w14:textId="77777777" w:rsidR="009F33CD" w:rsidRDefault="00E40740">
      <w:pPr>
        <w:spacing w:before="240"/>
        <w:rPr>
          <w:rFonts w:cs="Times New Roman"/>
          <w:szCs w:val="24"/>
        </w:rPr>
      </w:pPr>
      <w:r>
        <w:rPr>
          <w:rFonts w:cs="Times New Roman"/>
          <w:szCs w:val="24"/>
        </w:rPr>
        <w:t xml:space="preserve"> Face validity, according to Kothari (2019), refers to the extent to which a measurement instrument, such as a questionnaire or test, appears to measure what it claims to measure, based on subjective judgment. Usually, it involves evaluating whether the items on the instrument seem to be appropriate and relevant to the construct being measured to the extent to which a test or assessment appears to measure what it is intended to measure. In addition, Saunders, Lewis, </w:t>
      </w:r>
      <w:r>
        <w:rPr>
          <w:rFonts w:cs="Times New Roman"/>
          <w:szCs w:val="24"/>
        </w:rPr>
        <w:lastRenderedPageBreak/>
        <w:t xml:space="preserve">and Thornhill (2016) argue that a group of experts in the field can review the measurement tool and give feedback on how well it covers the concept being measured. Therefore, two Research supervisors from Jomo Kenyatta University of Agriculture and Technology and two health professionals from Chuka Level Five Hospital </w:t>
      </w:r>
      <w:r w:rsidR="00485CC4">
        <w:rPr>
          <w:rFonts w:cs="Times New Roman"/>
          <w:szCs w:val="24"/>
        </w:rPr>
        <w:t xml:space="preserve">reviewed the face and content validity of the instrument and </w:t>
      </w:r>
      <w:r>
        <w:rPr>
          <w:rFonts w:cs="Times New Roman"/>
          <w:szCs w:val="24"/>
        </w:rPr>
        <w:t xml:space="preserve">their suggestions were incorporated in </w:t>
      </w:r>
      <w:r w:rsidR="00485CC4">
        <w:rPr>
          <w:rFonts w:cs="Times New Roman"/>
          <w:szCs w:val="24"/>
        </w:rPr>
        <w:t xml:space="preserve">adjusting </w:t>
      </w:r>
      <w:r>
        <w:rPr>
          <w:rFonts w:cs="Times New Roman"/>
          <w:szCs w:val="24"/>
        </w:rPr>
        <w:t xml:space="preserve">the instrument. </w:t>
      </w:r>
    </w:p>
    <w:p w14:paraId="7BE4F266" w14:textId="77777777" w:rsidR="009F33CD" w:rsidRPr="0077392C" w:rsidRDefault="00E40740">
      <w:pPr>
        <w:spacing w:before="240"/>
        <w:rPr>
          <w:rFonts w:cs="Times New Roman"/>
          <w:bCs/>
          <w:szCs w:val="24"/>
          <w:lang w:val="en-US"/>
        </w:rPr>
      </w:pPr>
      <w:r>
        <w:rPr>
          <w:rFonts w:cs="Times New Roman"/>
          <w:szCs w:val="24"/>
        </w:rPr>
        <w:t>Construct validity refers to how well one translates a concept, idea, or behaviour into an operating reality (Trochim, 2016). A construct is a theoretical idea or concept that cannot be seen directly but can be measured through a set of related behaviours or traits (</w:t>
      </w:r>
      <w:r>
        <w:rPr>
          <w:rFonts w:cs="Times New Roman"/>
          <w:iCs/>
          <w:szCs w:val="24"/>
        </w:rPr>
        <w:t>Cooper &amp; Schindler, 2013</w:t>
      </w:r>
      <w:r>
        <w:rPr>
          <w:rFonts w:cs="Times New Roman"/>
          <w:szCs w:val="24"/>
        </w:rPr>
        <w:t xml:space="preserve">). Construct validity checks whether a measure of concept relates strongly with another measure that it should strongly correlate with, that is, it checks whether the test measures the concept that it is supposed to measure. </w:t>
      </w:r>
      <w:r w:rsidR="005815B8" w:rsidRPr="00AD410E">
        <w:rPr>
          <w:rFonts w:cs="Times New Roman"/>
          <w:bCs/>
          <w:szCs w:val="24"/>
        </w:rPr>
        <w:t xml:space="preserve">To establish the statistical rigor of the research instrument, construct validity and factor suitability were evaluated using the Fornell-Larcker (1981) criterion and the Kaiser-Meyer-Olkin (KMO) measure. </w:t>
      </w:r>
      <w:r w:rsidR="0077392C" w:rsidRPr="0077392C">
        <w:rPr>
          <w:rFonts w:cs="Times New Roman"/>
          <w:bCs/>
          <w:szCs w:val="24"/>
          <w:lang w:val="en-US"/>
        </w:rPr>
        <w:t>Also construct validity was ensured through use of KMO and Bartlett's Test. According to Kothari (201</w:t>
      </w:r>
      <w:r w:rsidR="0077392C">
        <w:rPr>
          <w:rFonts w:cs="Times New Roman"/>
          <w:bCs/>
          <w:szCs w:val="24"/>
          <w:lang w:val="en-US"/>
        </w:rPr>
        <w:t>9</w:t>
      </w:r>
      <w:r w:rsidR="0077392C" w:rsidRPr="0077392C">
        <w:rPr>
          <w:rFonts w:cs="Times New Roman"/>
          <w:bCs/>
          <w:szCs w:val="24"/>
          <w:lang w:val="en-US"/>
        </w:rPr>
        <w:t>), the thumb rule for KMO values should range as; below 0.5 unacceptable, average ranges between 0.60-0.69 and above 0.70-0.90 very good.</w:t>
      </w:r>
    </w:p>
    <w:p w14:paraId="193431EA" w14:textId="77777777" w:rsidR="009F33CD" w:rsidRDefault="00E40740">
      <w:pPr>
        <w:pStyle w:val="Heading2"/>
        <w:spacing w:before="240"/>
        <w:rPr>
          <w:lang w:val="en-GB"/>
        </w:rPr>
      </w:pPr>
      <w:bookmarkStart w:id="658" w:name="_Toc224237706"/>
      <w:r>
        <w:rPr>
          <w:lang w:val="en-GB"/>
        </w:rPr>
        <w:t>3.10 Data Analysis and Presentation</w:t>
      </w:r>
      <w:bookmarkEnd w:id="658"/>
    </w:p>
    <w:p w14:paraId="026B95FC" w14:textId="77777777" w:rsidR="00513500" w:rsidRDefault="00E40740">
      <w:pPr>
        <w:spacing w:before="240"/>
        <w:rPr>
          <w:rFonts w:cs="Times New Roman"/>
          <w:bCs/>
          <w:szCs w:val="24"/>
        </w:rPr>
      </w:pPr>
      <w:r>
        <w:rPr>
          <w:rFonts w:cs="Times New Roman"/>
          <w:bCs/>
          <w:szCs w:val="24"/>
        </w:rPr>
        <w:t>Data analysis</w:t>
      </w:r>
      <w:r w:rsidR="008B7C70">
        <w:rPr>
          <w:rFonts w:cs="Times New Roman"/>
          <w:bCs/>
          <w:szCs w:val="24"/>
        </w:rPr>
        <w:t xml:space="preserve"> </w:t>
      </w:r>
      <w:r w:rsidR="008B7C70" w:rsidRPr="008B7C70">
        <w:rPr>
          <w:rFonts w:cs="Times New Roman"/>
          <w:bCs/>
          <w:szCs w:val="24"/>
        </w:rPr>
        <w:t>is the systematic process of editing, coding, classifying, and tabulating collected raw data to transform it into meaningful information. It involves using quantitative or qualitative techniques to summarize data, identify patterns, test hypotheses, and draw valid, evidence-based conclusions</w:t>
      </w:r>
      <w:r w:rsidR="008B7C70">
        <w:rPr>
          <w:rFonts w:cs="Times New Roman"/>
          <w:bCs/>
          <w:szCs w:val="24"/>
        </w:rPr>
        <w:t xml:space="preserve"> (Kothari, 2019)</w:t>
      </w:r>
      <w:r w:rsidR="008B7C70" w:rsidRPr="008B7C70">
        <w:rPr>
          <w:rFonts w:cs="Times New Roman"/>
          <w:bCs/>
          <w:szCs w:val="24"/>
        </w:rPr>
        <w:t>.</w:t>
      </w:r>
      <w:r>
        <w:rPr>
          <w:rFonts w:cs="Times New Roman"/>
          <w:bCs/>
          <w:szCs w:val="24"/>
        </w:rPr>
        <w:t xml:space="preserve"> This is done to ensure accuracy and the conversion of data from raw form to reduced and classified forms that are more appropriate for analysis. </w:t>
      </w:r>
      <w:r w:rsidR="008B7C70">
        <w:rPr>
          <w:rFonts w:cs="Times New Roman"/>
          <w:bCs/>
          <w:szCs w:val="24"/>
        </w:rPr>
        <w:t>In this study, t</w:t>
      </w:r>
      <w:r>
        <w:rPr>
          <w:rFonts w:cs="Times New Roman"/>
          <w:bCs/>
          <w:szCs w:val="24"/>
        </w:rPr>
        <w:t>he qualitative and quantitative data was organized edited, coded, and entered into a computer for analysis using Statistical Package for Social Sciences (SPSS) version 23.0. Data analysis was conducted first with diagnostic tests as provided in the following sections. Descriptive statistics was used to</w:t>
      </w:r>
      <w:r w:rsidR="008B7C70">
        <w:rPr>
          <w:rFonts w:cs="Times New Roman"/>
          <w:bCs/>
          <w:szCs w:val="24"/>
        </w:rPr>
        <w:t xml:space="preserve"> organize </w:t>
      </w:r>
      <w:r w:rsidR="005B19E5">
        <w:rPr>
          <w:rFonts w:cs="Times New Roman"/>
          <w:bCs/>
          <w:szCs w:val="24"/>
        </w:rPr>
        <w:t xml:space="preserve">and </w:t>
      </w:r>
      <w:r>
        <w:rPr>
          <w:rFonts w:cs="Times New Roman"/>
          <w:bCs/>
          <w:szCs w:val="24"/>
        </w:rPr>
        <w:t>summar</w:t>
      </w:r>
      <w:r w:rsidR="008B7C70">
        <w:rPr>
          <w:rFonts w:cs="Times New Roman"/>
          <w:bCs/>
          <w:szCs w:val="24"/>
        </w:rPr>
        <w:t>ize</w:t>
      </w:r>
      <w:r w:rsidR="00C02E63">
        <w:rPr>
          <w:rFonts w:cs="Times New Roman"/>
          <w:bCs/>
          <w:szCs w:val="24"/>
        </w:rPr>
        <w:t xml:space="preserve"> or describe </w:t>
      </w:r>
      <w:r w:rsidR="00C02E63" w:rsidRPr="00C02E63">
        <w:rPr>
          <w:rFonts w:cs="Times New Roman"/>
          <w:bCs/>
          <w:szCs w:val="24"/>
        </w:rPr>
        <w:t xml:space="preserve">key characteristics of a dataset, including central tendency (mean, median, mode, or midrange), data spread </w:t>
      </w:r>
      <w:r w:rsidR="00C02E63" w:rsidRPr="00C02E63">
        <w:rPr>
          <w:rFonts w:cs="Times New Roman"/>
          <w:bCs/>
          <w:szCs w:val="24"/>
        </w:rPr>
        <w:lastRenderedPageBreak/>
        <w:t>(range or standard deviation), and overall descriptions like the five-number summary</w:t>
      </w:r>
      <w:r w:rsidR="00C02E63">
        <w:rPr>
          <w:rFonts w:cs="Times New Roman"/>
          <w:bCs/>
          <w:szCs w:val="24"/>
        </w:rPr>
        <w:t xml:space="preserve"> (Kothari, 2014)</w:t>
      </w:r>
      <w:r>
        <w:rPr>
          <w:rFonts w:cs="Times New Roman"/>
          <w:bCs/>
          <w:szCs w:val="24"/>
        </w:rPr>
        <w:t xml:space="preserve">. </w:t>
      </w:r>
    </w:p>
    <w:p w14:paraId="74658BF5" w14:textId="77777777" w:rsidR="009F33CD" w:rsidRDefault="00E40740">
      <w:pPr>
        <w:spacing w:before="240"/>
        <w:rPr>
          <w:rFonts w:cs="Times New Roman"/>
          <w:bCs/>
          <w:szCs w:val="24"/>
        </w:rPr>
      </w:pPr>
      <w:r>
        <w:rPr>
          <w:rFonts w:cs="Times New Roman"/>
          <w:bCs/>
          <w:szCs w:val="24"/>
        </w:rPr>
        <w:t>Inferential statistics was used to make inferences.</w:t>
      </w:r>
      <w:r w:rsidR="00CD22F3">
        <w:rPr>
          <w:rFonts w:cs="Times New Roman"/>
          <w:bCs/>
          <w:szCs w:val="24"/>
        </w:rPr>
        <w:t xml:space="preserve"> I</w:t>
      </w:r>
      <w:r w:rsidR="00CD22F3" w:rsidRPr="00CD22F3">
        <w:rPr>
          <w:rFonts w:cs="Times New Roman"/>
          <w:szCs w:val="24"/>
        </w:rPr>
        <w:t>nferential statistics involves the mathematical and logical framework used to project</w:t>
      </w:r>
      <w:r w:rsidR="00CD22F3">
        <w:rPr>
          <w:rFonts w:cs="Times New Roman"/>
          <w:szCs w:val="24"/>
        </w:rPr>
        <w:t xml:space="preserve"> or infer</w:t>
      </w:r>
      <w:r w:rsidR="00CD22F3" w:rsidRPr="00CD22F3">
        <w:rPr>
          <w:rFonts w:cs="Times New Roman"/>
          <w:szCs w:val="24"/>
        </w:rPr>
        <w:t xml:space="preserve"> findings</w:t>
      </w:r>
      <w:r w:rsidR="00CD22F3">
        <w:rPr>
          <w:rFonts w:cs="Times New Roman"/>
          <w:szCs w:val="24"/>
        </w:rPr>
        <w:t xml:space="preserve"> </w:t>
      </w:r>
      <w:r w:rsidR="00CD22F3" w:rsidRPr="00CD22F3">
        <w:rPr>
          <w:rFonts w:cs="Times New Roman"/>
          <w:szCs w:val="24"/>
        </w:rPr>
        <w:t>from a sample onto a broader population.</w:t>
      </w:r>
      <w:r w:rsidR="005A1A83">
        <w:rPr>
          <w:rFonts w:cs="Times New Roman"/>
          <w:bCs/>
          <w:szCs w:val="24"/>
        </w:rPr>
        <w:t xml:space="preserve"> </w:t>
      </w:r>
      <w:r>
        <w:rPr>
          <w:rFonts w:cs="Times New Roman"/>
          <w:bCs/>
          <w:szCs w:val="24"/>
        </w:rPr>
        <w:t xml:space="preserve">In analyzing and presenting data, descriptive statistics such as frequencies and percentages were generated. Means were generated to measure central tendency and standard deviation was generated to measure dispersion from the mean </w:t>
      </w:r>
      <w:r>
        <w:rPr>
          <w:rFonts w:cs="Times New Roman"/>
          <w:bCs/>
          <w:color w:val="000000" w:themeColor="text1"/>
          <w:szCs w:val="24"/>
        </w:rPr>
        <w:t>(Mugenda &amp; Mugenda, 2013).</w:t>
      </w:r>
      <w:r>
        <w:rPr>
          <w:rFonts w:cs="Times New Roman"/>
          <w:bCs/>
          <w:szCs w:val="24"/>
        </w:rPr>
        <w:t xml:space="preserve">  Content analysis was used to measure qualitative data (Mugenda &amp; Mugenda, 2013). This means that qualitative data was organized and put into themes which were then analysed to generate frequencies and percentages. Inferential statistics measures such as Pearson’s coefficient of Correlation were calculated to determine the strength and direction of the relationship between the independent and dependent variables (Kothari, 2014). Pearson’s coefficient of Correlation was followed with simple linear regression and multiple regression to determine the cause-effect relationship between variables, that is, Y on X to a given data (Kothari, 2014); Analysis of variance (ANOVA)</w:t>
      </w:r>
      <w:r>
        <w:rPr>
          <w:rFonts w:cs="Times New Roman"/>
          <w:szCs w:val="24"/>
        </w:rPr>
        <w:t xml:space="preserve"> was applied to determine whether there were significant differences between two or more groups of samples at a selected probability level (Mugenda &amp; Mugenda, 2013). F</w:t>
      </w:r>
      <w:r>
        <w:rPr>
          <w:rFonts w:cs="Times New Roman"/>
          <w:bCs/>
          <w:szCs w:val="24"/>
        </w:rPr>
        <w:t xml:space="preserve">inally, the decision rule regarding the hypothesis testing was made. </w:t>
      </w:r>
    </w:p>
    <w:p w14:paraId="76B724AC" w14:textId="77777777" w:rsidR="009F33CD" w:rsidRDefault="00E40740" w:rsidP="00747714">
      <w:pPr>
        <w:pStyle w:val="Heading3"/>
        <w:rPr>
          <w:lang w:eastAsia="af-ZA"/>
        </w:rPr>
      </w:pPr>
      <w:bookmarkStart w:id="659" w:name="_Toc165623575"/>
      <w:bookmarkStart w:id="660" w:name="_Toc178940566"/>
      <w:bookmarkStart w:id="661" w:name="_Toc188443957"/>
      <w:bookmarkStart w:id="662" w:name="_Toc178939611"/>
      <w:bookmarkStart w:id="663" w:name="_Toc185614054"/>
      <w:bookmarkStart w:id="664" w:name="_Toc147950218"/>
      <w:bookmarkStart w:id="665" w:name="_Toc178944264"/>
      <w:bookmarkStart w:id="666" w:name="_Toc188442583"/>
      <w:bookmarkStart w:id="667" w:name="_Toc178945016"/>
      <w:bookmarkStart w:id="668" w:name="_Toc165626356"/>
      <w:bookmarkStart w:id="669" w:name="_Toc187080824"/>
      <w:bookmarkStart w:id="670" w:name="_Toc178942607"/>
      <w:bookmarkStart w:id="671" w:name="_Toc188130610"/>
      <w:bookmarkStart w:id="672" w:name="_Toc224160647"/>
      <w:bookmarkStart w:id="673" w:name="_Toc224237707"/>
      <w:r>
        <w:rPr>
          <w:lang w:eastAsia="af-ZA"/>
        </w:rPr>
        <w:t xml:space="preserve">3.10.1 </w:t>
      </w:r>
      <w:r w:rsidRPr="00747714">
        <w:t>Diagnostic</w:t>
      </w:r>
      <w:r>
        <w:rPr>
          <w:lang w:eastAsia="af-ZA"/>
        </w:rPr>
        <w:t xml:space="preserve"> Tests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6B06D630" w14:textId="77777777" w:rsidR="009F33CD" w:rsidRDefault="00E40740">
      <w:r>
        <w:rPr>
          <w:rFonts w:cs="Times New Roman"/>
          <w:color w:val="000000"/>
          <w:szCs w:val="24"/>
          <w:lang w:eastAsia="en-GB" w:bidi="th-TH"/>
        </w:rPr>
        <w:t>Diagnostic tests were carried out to ensure model applicability and to confirm that all ordinary least square (OLS) assumptions are satisfied (Kothari, 2014). To assess the effectiveness of a multivariate economic model, a diagnostic test usually involves evaluating its assumptions, fit, and reliability. According to the principles outlined by Mugenda and Mugenda (201</w:t>
      </w:r>
      <w:r w:rsidR="0002198B">
        <w:rPr>
          <w:rFonts w:cs="Times New Roman"/>
          <w:color w:val="000000"/>
          <w:szCs w:val="24"/>
          <w:lang w:eastAsia="en-GB" w:bidi="th-TH"/>
        </w:rPr>
        <w:t>2</w:t>
      </w:r>
      <w:r>
        <w:rPr>
          <w:rFonts w:cs="Times New Roman"/>
          <w:color w:val="000000"/>
          <w:szCs w:val="24"/>
          <w:lang w:eastAsia="en-GB" w:bidi="th-TH"/>
        </w:rPr>
        <w:t>), these tests ensure that the model accurately represents the data and can be generalized to the larger population it aims to reflect. The diagnostic tests may include checking for normality,</w:t>
      </w:r>
      <w:r>
        <w:rPr>
          <w:rFonts w:cs="Times New Roman"/>
          <w:bCs/>
          <w:color w:val="000000"/>
          <w:szCs w:val="24"/>
          <w:lang w:eastAsia="en-GB" w:bidi="th-TH"/>
        </w:rPr>
        <w:t xml:space="preserve"> heteroscedasticity</w:t>
      </w:r>
      <w:r>
        <w:rPr>
          <w:rFonts w:cs="Times New Roman"/>
          <w:color w:val="000000"/>
          <w:szCs w:val="24"/>
          <w:lang w:eastAsia="en-GB" w:bidi="th-TH"/>
        </w:rPr>
        <w:t>, homoscedasticity, multi-collinearity, and autocorrelation. The tests are presented in the sections that follow.</w:t>
      </w:r>
      <w:r>
        <w:t xml:space="preserve"> </w:t>
      </w:r>
    </w:p>
    <w:p w14:paraId="0053EB73" w14:textId="77777777" w:rsidR="00994215" w:rsidRDefault="00994215">
      <w:pPr>
        <w:rPr>
          <w:rFonts w:cs="Times New Roman"/>
          <w:color w:val="000000"/>
          <w:szCs w:val="24"/>
          <w:lang w:eastAsia="en-GB" w:bidi="th-TH"/>
        </w:rPr>
      </w:pPr>
    </w:p>
    <w:p w14:paraId="2E7C3F92" w14:textId="77777777" w:rsidR="009F33CD" w:rsidRDefault="00E40740">
      <w:pPr>
        <w:spacing w:before="240"/>
        <w:rPr>
          <w:rFonts w:cs="Times New Roman"/>
          <w:color w:val="000000"/>
          <w:szCs w:val="24"/>
          <w:lang w:eastAsia="en-GB" w:bidi="th-TH"/>
        </w:rPr>
      </w:pPr>
      <w:r>
        <w:rPr>
          <w:rFonts w:cs="Times New Roman"/>
          <w:b/>
          <w:color w:val="000000"/>
          <w:szCs w:val="24"/>
          <w:lang w:eastAsia="en-GB" w:bidi="th-TH"/>
        </w:rPr>
        <w:lastRenderedPageBreak/>
        <w:t>Normality Test</w:t>
      </w:r>
    </w:p>
    <w:p w14:paraId="6F9F7EA2" w14:textId="77777777" w:rsidR="009F33CD" w:rsidRDefault="00E40740">
      <w:pPr>
        <w:rPr>
          <w:rFonts w:cs="Times New Roman"/>
          <w:bCs/>
          <w:color w:val="000000"/>
          <w:szCs w:val="24"/>
          <w:lang w:eastAsia="en-GB" w:bidi="th-TH"/>
        </w:rPr>
      </w:pPr>
      <w:r>
        <w:rPr>
          <w:rFonts w:cs="Times New Roman"/>
          <w:bCs/>
          <w:color w:val="000000"/>
          <w:szCs w:val="24"/>
          <w:lang w:eastAsia="en-GB" w:bidi="th-TH"/>
        </w:rPr>
        <w:t xml:space="preserve">A normality test is usually used to establish the normal distribution of sampled data to make accurate and reliable conclusions about the phenomenon (Kothari </w:t>
      </w:r>
      <w:r>
        <w:rPr>
          <w:rFonts w:cs="Times New Roman"/>
          <w:bCs/>
          <w:i/>
          <w:iCs/>
          <w:color w:val="000000"/>
          <w:szCs w:val="24"/>
          <w:lang w:eastAsia="en-GB" w:bidi="th-TH"/>
        </w:rPr>
        <w:t>et al.,</w:t>
      </w:r>
      <w:r>
        <w:rPr>
          <w:rFonts w:cs="Times New Roman"/>
          <w:bCs/>
          <w:color w:val="000000"/>
          <w:szCs w:val="24"/>
          <w:lang w:eastAsia="en-GB" w:bidi="th-TH"/>
        </w:rPr>
        <w:t xml:space="preserve"> 2017). A coefficient of skewness within the range of ± 3 indicates that the data is distributed normally. When the p-values of one sample Kolmogorov’s Shapiro-Wilk test scores are significant with p-values&gt;0.05 at a confidence interval of 95%, the variables are said to be normally distributed (Field, 201</w:t>
      </w:r>
      <w:r w:rsidR="00437E7A">
        <w:rPr>
          <w:rFonts w:cs="Times New Roman"/>
          <w:bCs/>
          <w:color w:val="000000"/>
          <w:szCs w:val="24"/>
          <w:lang w:eastAsia="en-GB" w:bidi="th-TH"/>
        </w:rPr>
        <w:t>8</w:t>
      </w:r>
      <w:r>
        <w:rPr>
          <w:rFonts w:cs="Times New Roman"/>
          <w:bCs/>
          <w:color w:val="000000"/>
          <w:szCs w:val="24"/>
          <w:lang w:eastAsia="en-GB" w:bidi="th-TH"/>
        </w:rPr>
        <w:t xml:space="preserve">). </w:t>
      </w:r>
      <w:r w:rsidR="00D652EA" w:rsidRPr="00D652EA">
        <w:rPr>
          <w:rFonts w:cs="Times New Roman"/>
          <w:bCs/>
          <w:color w:val="000000"/>
          <w:szCs w:val="24"/>
          <w:lang w:eastAsia="en-GB" w:bidi="th-TH"/>
        </w:rPr>
        <w:t>According to Kline (2023), normality occurs when a continuous variable's data points are arranged symmetrically around a central point, resulting in identical values for the mean, median, and mode</w:t>
      </w:r>
      <w:r w:rsidR="00D652EA">
        <w:rPr>
          <w:rFonts w:cs="Times New Roman"/>
          <w:bCs/>
          <w:color w:val="000000"/>
          <w:szCs w:val="24"/>
          <w:lang w:eastAsia="en-GB" w:bidi="th-TH"/>
        </w:rPr>
        <w:t xml:space="preserve">. </w:t>
      </w:r>
      <w:r>
        <w:rPr>
          <w:rFonts w:cs="Times New Roman"/>
          <w:bCs/>
          <w:color w:val="000000"/>
          <w:szCs w:val="24"/>
          <w:lang w:eastAsia="en-GB" w:bidi="th-TH"/>
        </w:rPr>
        <w:t xml:space="preserve">A histogram and a Q-Q plot were used for this purpose. </w:t>
      </w:r>
    </w:p>
    <w:p w14:paraId="54C9F6B9" w14:textId="77777777" w:rsidR="009F33CD" w:rsidRDefault="00E40740">
      <w:pPr>
        <w:spacing w:after="240"/>
        <w:rPr>
          <w:rFonts w:cs="Times New Roman"/>
          <w:b/>
          <w:bCs/>
          <w:color w:val="000000"/>
          <w:szCs w:val="24"/>
          <w:lang w:eastAsia="en-GB" w:bidi="th-TH"/>
        </w:rPr>
      </w:pPr>
      <w:r>
        <w:rPr>
          <w:rFonts w:cs="Times New Roman"/>
          <w:b/>
          <w:bCs/>
          <w:color w:val="000000"/>
          <w:szCs w:val="24"/>
          <w:lang w:eastAsia="en-GB" w:bidi="th-TH"/>
        </w:rPr>
        <w:t>Heteroscedasticity Test</w:t>
      </w:r>
    </w:p>
    <w:p w14:paraId="630B0A5F" w14:textId="77777777" w:rsidR="009F33CD" w:rsidRDefault="00E40740">
      <w:pPr>
        <w:spacing w:after="240"/>
        <w:rPr>
          <w:rFonts w:cs="Times New Roman"/>
          <w:bCs/>
          <w:color w:val="000000"/>
          <w:szCs w:val="24"/>
          <w:lang w:eastAsia="en-GB" w:bidi="th-TH"/>
        </w:rPr>
      </w:pPr>
      <w:r>
        <w:rPr>
          <w:rFonts w:cs="Times New Roman"/>
          <w:color w:val="000000"/>
          <w:szCs w:val="24"/>
          <w:lang w:eastAsia="en-GB" w:bidi="th-TH"/>
        </w:rPr>
        <w:t>H</w:t>
      </w:r>
      <w:r>
        <w:rPr>
          <w:rFonts w:cs="Times New Roman"/>
          <w:bCs/>
          <w:color w:val="000000"/>
          <w:szCs w:val="24"/>
          <w:lang w:eastAsia="en-GB" w:bidi="th-TH"/>
        </w:rPr>
        <w:t xml:space="preserve">eteroscedasticity is described as a condition in regression analysis where the variability of the error terms fluctuates at different levels of the independent variable (Mugenda &amp; Mugenda, 2013). Heteroscedasticity was minimized by making sure that the data utilized in testing the hypothesis was approximately normal and was transformed accurately to the extent that the right functional forms of regression model were properly selected. The variables presented by the scatter plot diagram of the dependent variable will widen or narrow as the value of the independent variable increases. </w:t>
      </w:r>
    </w:p>
    <w:p w14:paraId="3999BF52" w14:textId="77777777" w:rsidR="009F33CD" w:rsidRDefault="00E40740">
      <w:pPr>
        <w:spacing w:after="240"/>
        <w:rPr>
          <w:rFonts w:cs="Times New Roman"/>
          <w:b/>
          <w:color w:val="000000"/>
          <w:szCs w:val="24"/>
          <w:lang w:eastAsia="en-GB" w:bidi="th-TH"/>
        </w:rPr>
      </w:pPr>
      <w:r>
        <w:rPr>
          <w:rFonts w:cs="Times New Roman"/>
          <w:b/>
          <w:color w:val="000000"/>
          <w:szCs w:val="24"/>
          <w:lang w:eastAsia="en-GB" w:bidi="th-TH"/>
        </w:rPr>
        <w:t>Homoscedasticity Test</w:t>
      </w:r>
    </w:p>
    <w:p w14:paraId="5A4D7A57" w14:textId="77777777" w:rsidR="009F33CD" w:rsidRDefault="00E40740">
      <w:pPr>
        <w:spacing w:after="240"/>
        <w:rPr>
          <w:rFonts w:cs="Times New Roman"/>
          <w:bCs/>
          <w:color w:val="000000"/>
          <w:szCs w:val="24"/>
          <w:lang w:eastAsia="en-GB" w:bidi="th-TH"/>
        </w:rPr>
      </w:pPr>
      <w:r>
        <w:rPr>
          <w:rFonts w:cs="Times New Roman"/>
          <w:bCs/>
          <w:color w:val="000000"/>
          <w:szCs w:val="24"/>
          <w:lang w:eastAsia="en-GB" w:bidi="th-TH"/>
        </w:rPr>
        <w:t>Homoscedasticity refers to the assumption that the dependent variable exhibits similar amounts of variance across the range of values for the independent variable around the regression line, meaning they have equal spread. If the model has a significant level of homoscedasticity the error term varies in line with the observations making the analysis inefficient (Sunders, Lewis &amp; Thornhill, 2012). In this study, homoscedasticity was detected by the use of scatter plots.</w:t>
      </w:r>
    </w:p>
    <w:p w14:paraId="695B355E" w14:textId="77777777" w:rsidR="00994215" w:rsidRDefault="00994215">
      <w:pPr>
        <w:spacing w:after="240"/>
        <w:rPr>
          <w:rFonts w:cs="Times New Roman"/>
          <w:bCs/>
          <w:color w:val="000000"/>
          <w:szCs w:val="24"/>
          <w:lang w:eastAsia="en-GB" w:bidi="th-TH"/>
        </w:rPr>
      </w:pPr>
    </w:p>
    <w:p w14:paraId="6B1B4837" w14:textId="77777777" w:rsidR="00994215" w:rsidRDefault="00994215">
      <w:pPr>
        <w:spacing w:after="240"/>
        <w:rPr>
          <w:rFonts w:cs="Times New Roman"/>
          <w:b/>
          <w:bCs/>
          <w:color w:val="000000"/>
          <w:szCs w:val="24"/>
          <w:lang w:eastAsia="en-GB" w:bidi="th-TH"/>
        </w:rPr>
      </w:pPr>
    </w:p>
    <w:p w14:paraId="10AE437F" w14:textId="77777777" w:rsidR="009F33CD" w:rsidRDefault="00E40740">
      <w:pPr>
        <w:autoSpaceDE/>
        <w:autoSpaceDN/>
        <w:adjustRightInd/>
        <w:spacing w:before="240" w:after="200"/>
        <w:rPr>
          <w:rFonts w:cs="Times New Roman"/>
          <w:b/>
          <w:szCs w:val="24"/>
        </w:rPr>
      </w:pPr>
      <w:r>
        <w:rPr>
          <w:rFonts w:cs="Times New Roman"/>
          <w:b/>
          <w:szCs w:val="24"/>
        </w:rPr>
        <w:lastRenderedPageBreak/>
        <w:t>Multi-Collinearity Test</w:t>
      </w:r>
    </w:p>
    <w:p w14:paraId="086006A1" w14:textId="77777777" w:rsidR="00692F4C" w:rsidRDefault="00E40740">
      <w:pPr>
        <w:spacing w:before="240"/>
        <w:rPr>
          <w:rFonts w:cs="Times New Roman"/>
          <w:bCs/>
          <w:color w:val="000000"/>
          <w:szCs w:val="24"/>
          <w:lang w:eastAsia="en-GB" w:bidi="th-TH"/>
        </w:rPr>
      </w:pPr>
      <w:r>
        <w:rPr>
          <w:rFonts w:cs="Times New Roman"/>
          <w:bCs/>
          <w:color w:val="000000"/>
          <w:szCs w:val="24"/>
          <w:lang w:eastAsia="en-GB" w:bidi="th-TH"/>
        </w:rPr>
        <w:t xml:space="preserve">Multi-Collinearity refers to the presence of high correlations between independent variables (Williams </w:t>
      </w:r>
      <w:r>
        <w:rPr>
          <w:rFonts w:cs="Times New Roman"/>
          <w:bCs/>
          <w:i/>
          <w:iCs/>
          <w:color w:val="000000"/>
          <w:szCs w:val="24"/>
          <w:lang w:eastAsia="en-GB" w:bidi="th-TH"/>
        </w:rPr>
        <w:t>et al</w:t>
      </w:r>
      <w:r>
        <w:rPr>
          <w:rFonts w:cs="Times New Roman"/>
          <w:bCs/>
          <w:color w:val="000000"/>
          <w:szCs w:val="24"/>
          <w:lang w:eastAsia="en-GB" w:bidi="th-TH"/>
        </w:rPr>
        <w:t xml:space="preserve">., 2013). The presence of multi-collinearity makes it difficult to isolate the impact of each independent variable on the dependent variable. The tolerance of the predictors in the regression model was determined as well as the variance inflator factor (VIF). The two were used to assess multi-collinearity and any variable with a VIF higher </w:t>
      </w:r>
      <w:r>
        <w:rPr>
          <w:rFonts w:cs="Times New Roman"/>
          <w:bCs/>
          <w:szCs w:val="24"/>
          <w:lang w:eastAsia="en-GB" w:bidi="th-TH"/>
        </w:rPr>
        <w:t xml:space="preserve">than 5 meant the presence </w:t>
      </w:r>
      <w:r>
        <w:rPr>
          <w:rFonts w:cs="Times New Roman"/>
          <w:bCs/>
          <w:color w:val="000000"/>
          <w:szCs w:val="24"/>
          <w:lang w:eastAsia="en-GB" w:bidi="th-TH"/>
        </w:rPr>
        <w:t>of multi-Collinearity. When multi-collinearity exists, it may cause problems in analysis and therefore limit research conclusions. It can be detected if t-tests of each of the slopes are not significant (P&gt; 0.05), but the overall F-test for testing of all the slopes is simultaneously 0 and is significant at (P&lt; 0.05).</w:t>
      </w:r>
      <w:r w:rsidR="00692F4C">
        <w:rPr>
          <w:rFonts w:cs="Times New Roman"/>
          <w:bCs/>
          <w:color w:val="000000"/>
          <w:szCs w:val="24"/>
          <w:lang w:eastAsia="en-GB" w:bidi="th-TH"/>
        </w:rPr>
        <w:t xml:space="preserve"> </w:t>
      </w:r>
      <w:r w:rsidR="00692F4C" w:rsidRPr="00692F4C">
        <w:rPr>
          <w:rFonts w:cs="Times New Roman"/>
          <w:color w:val="000000"/>
          <w:szCs w:val="24"/>
          <w:lang w:eastAsia="en-GB" w:bidi="th-TH"/>
        </w:rPr>
        <w:t>Variance Inflation Factor (VIF) is</w:t>
      </w:r>
      <w:r w:rsidR="00692F4C">
        <w:rPr>
          <w:rFonts w:cs="Times New Roman"/>
          <w:bCs/>
          <w:color w:val="000000"/>
          <w:szCs w:val="24"/>
          <w:lang w:eastAsia="en-GB" w:bidi="th-TH"/>
        </w:rPr>
        <w:t xml:space="preserve"> described as </w:t>
      </w:r>
      <w:r w:rsidR="00692F4C" w:rsidRPr="00692F4C">
        <w:rPr>
          <w:rFonts w:cs="Times New Roman"/>
          <w:bCs/>
          <w:color w:val="000000"/>
          <w:szCs w:val="24"/>
          <w:lang w:eastAsia="en-GB" w:bidi="th-TH"/>
        </w:rPr>
        <w:t xml:space="preserve">a metric that calculates the extent to which the precision of regression coefficients is degraded by inter-correlations among predictor variables. Essentially, VIF quantifies the expansion of variance; a high value signifies that multicollinearity has made the estimated coefficients unstable, thereby complicating the assessment of each variable's unique contribution to the model (Hair </w:t>
      </w:r>
      <w:r w:rsidR="00692F4C" w:rsidRPr="00692F4C">
        <w:rPr>
          <w:rFonts w:cs="Times New Roman"/>
          <w:bCs/>
          <w:i/>
          <w:iCs/>
          <w:color w:val="000000"/>
          <w:szCs w:val="24"/>
          <w:lang w:eastAsia="en-GB" w:bidi="th-TH"/>
        </w:rPr>
        <w:t>et al.,</w:t>
      </w:r>
      <w:r w:rsidR="00692F4C" w:rsidRPr="00692F4C">
        <w:rPr>
          <w:rFonts w:cs="Times New Roman"/>
          <w:bCs/>
          <w:color w:val="000000"/>
          <w:szCs w:val="24"/>
          <w:lang w:eastAsia="en-GB" w:bidi="th-TH"/>
        </w:rPr>
        <w:t xml:space="preserve"> 2024</w:t>
      </w:r>
      <w:r w:rsidR="00692F4C">
        <w:rPr>
          <w:rFonts w:cs="Times New Roman"/>
          <w:bCs/>
          <w:color w:val="000000"/>
          <w:szCs w:val="24"/>
          <w:lang w:eastAsia="en-GB" w:bidi="th-TH"/>
        </w:rPr>
        <w:t xml:space="preserve">). </w:t>
      </w:r>
    </w:p>
    <w:p w14:paraId="66EAF766" w14:textId="77777777" w:rsidR="009F33CD" w:rsidRPr="00747714" w:rsidRDefault="00E40740" w:rsidP="00747714">
      <w:pPr>
        <w:rPr>
          <w:b/>
          <w:lang w:eastAsia="en-GB" w:bidi="th-TH"/>
        </w:rPr>
      </w:pPr>
      <w:r w:rsidRPr="00747714">
        <w:rPr>
          <w:b/>
          <w:lang w:eastAsia="en-GB" w:bidi="th-TH"/>
        </w:rPr>
        <w:t>Auto-</w:t>
      </w:r>
      <w:r w:rsidR="00747714" w:rsidRPr="00747714">
        <w:rPr>
          <w:b/>
          <w:lang w:eastAsia="en-GB" w:bidi="th-TH"/>
        </w:rPr>
        <w:t xml:space="preserve">Correlation </w:t>
      </w:r>
      <w:r w:rsidRPr="00747714">
        <w:rPr>
          <w:b/>
          <w:lang w:eastAsia="en-GB" w:bidi="th-TH"/>
        </w:rPr>
        <w:t>Test</w:t>
      </w:r>
    </w:p>
    <w:p w14:paraId="5F21E4A3" w14:textId="77777777" w:rsidR="009F33CD" w:rsidRDefault="008506ED">
      <w:pPr>
        <w:spacing w:before="240"/>
        <w:rPr>
          <w:rFonts w:cs="Times New Roman"/>
          <w:bCs/>
          <w:color w:val="000000"/>
          <w:szCs w:val="24"/>
        </w:rPr>
      </w:pPr>
      <w:r w:rsidRPr="008506ED">
        <w:rPr>
          <w:rFonts w:cs="Times New Roman"/>
          <w:bCs/>
          <w:color w:val="000000"/>
          <w:szCs w:val="24"/>
        </w:rPr>
        <w:t>An </w:t>
      </w:r>
      <w:r w:rsidRPr="008506ED">
        <w:rPr>
          <w:rFonts w:cs="Times New Roman"/>
          <w:color w:val="000000"/>
          <w:szCs w:val="24"/>
        </w:rPr>
        <w:t>autocorrelation test serves</w:t>
      </w:r>
      <w:r w:rsidRPr="008506ED">
        <w:rPr>
          <w:rFonts w:cs="Times New Roman"/>
          <w:bCs/>
          <w:color w:val="000000"/>
          <w:szCs w:val="24"/>
        </w:rPr>
        <w:t xml:space="preserve"> as a</w:t>
      </w:r>
      <w:r>
        <w:rPr>
          <w:rFonts w:cs="Times New Roman"/>
          <w:bCs/>
          <w:color w:val="000000"/>
          <w:szCs w:val="24"/>
        </w:rPr>
        <w:t>n important</w:t>
      </w:r>
      <w:r w:rsidRPr="008506ED">
        <w:rPr>
          <w:rFonts w:cs="Times New Roman"/>
          <w:bCs/>
          <w:color w:val="000000"/>
          <w:szCs w:val="24"/>
        </w:rPr>
        <w:t xml:space="preserve"> diagnostic tool to verify whether the residuals in a regression analysis are independent, ensuring that error terms are not influenced by their own prior values. This is especially significant in longitudinal or time-series data, where the absence of such independence</w:t>
      </w:r>
      <w:r>
        <w:rPr>
          <w:rFonts w:cs="Times New Roman"/>
          <w:bCs/>
          <w:color w:val="000000"/>
          <w:szCs w:val="24"/>
        </w:rPr>
        <w:t xml:space="preserve"> </w:t>
      </w:r>
      <w:r w:rsidRPr="008506ED">
        <w:rPr>
          <w:rFonts w:cs="Times New Roman"/>
          <w:bCs/>
          <w:color w:val="000000"/>
          <w:szCs w:val="24"/>
        </w:rPr>
        <w:t xml:space="preserve">can lead to inefficient coefficient estimates and misleadingly significant p-values (Hair </w:t>
      </w:r>
      <w:r w:rsidRPr="008506ED">
        <w:rPr>
          <w:rFonts w:cs="Times New Roman"/>
          <w:bCs/>
          <w:i/>
          <w:iCs/>
          <w:color w:val="000000"/>
          <w:szCs w:val="24"/>
        </w:rPr>
        <w:t>et al.,</w:t>
      </w:r>
      <w:r w:rsidRPr="008506ED">
        <w:rPr>
          <w:rFonts w:cs="Times New Roman"/>
          <w:bCs/>
          <w:color w:val="000000"/>
          <w:szCs w:val="24"/>
        </w:rPr>
        <w:t xml:space="preserve"> 2024).</w:t>
      </w:r>
      <w:r>
        <w:rPr>
          <w:rFonts w:cs="Times New Roman"/>
          <w:bCs/>
          <w:color w:val="000000"/>
          <w:szCs w:val="24"/>
        </w:rPr>
        <w:t xml:space="preserve"> </w:t>
      </w:r>
      <w:r w:rsidRPr="008506ED">
        <w:rPr>
          <w:rFonts w:cs="Times New Roman"/>
          <w:bCs/>
          <w:color w:val="000000"/>
          <w:szCs w:val="24"/>
        </w:rPr>
        <w:t>As noted by Hair et al. (2024), the Durbin-Watson (d) statistic is the primary diagnostic used to evaluate autocorrelation, which describes a state where the residuals in a linear model exhibit a relationship with one another rather than remaining independent.</w:t>
      </w:r>
      <w:r>
        <w:rPr>
          <w:rFonts w:cs="Times New Roman"/>
          <w:bCs/>
          <w:color w:val="000000"/>
          <w:szCs w:val="24"/>
        </w:rPr>
        <w:t xml:space="preserve"> When errors are seriously correlated, the ordinary least squares </w:t>
      </w:r>
      <w:r w:rsidR="00692F4C">
        <w:rPr>
          <w:rFonts w:cs="Times New Roman"/>
          <w:bCs/>
          <w:color w:val="000000"/>
          <w:szCs w:val="24"/>
        </w:rPr>
        <w:t>estimate</w:t>
      </w:r>
      <w:r>
        <w:rPr>
          <w:rFonts w:cs="Times New Roman"/>
          <w:bCs/>
          <w:color w:val="000000"/>
          <w:szCs w:val="24"/>
        </w:rPr>
        <w:t xml:space="preserve"> become biased and therefore the use of t and f statistics becomes invalid. Autocorrelation may result in overestimated t values and that results in type 1 error. The Durbin Watson statistic was used to indicate the absence or presence of autocorrelation</w:t>
      </w:r>
      <w:r w:rsidR="00437E7A" w:rsidRPr="00437E7A">
        <w:rPr>
          <w:rFonts w:cs="Times New Roman"/>
          <w:bCs/>
          <w:color w:val="000000"/>
          <w:szCs w:val="24"/>
        </w:rPr>
        <w:t xml:space="preserve">. As a standard guideline, autocorrelation is deemed absent when the resulting value falls within </w:t>
      </w:r>
      <w:r w:rsidR="00437E7A" w:rsidRPr="00437E7A">
        <w:rPr>
          <w:rFonts w:cs="Times New Roman"/>
          <w:bCs/>
          <w:color w:val="000000"/>
          <w:szCs w:val="24"/>
        </w:rPr>
        <w:lastRenderedPageBreak/>
        <w:t>the </w:t>
      </w:r>
      <w:r w:rsidR="00437E7A" w:rsidRPr="00437E7A">
        <w:rPr>
          <w:rFonts w:cs="Times New Roman"/>
          <w:color w:val="000000"/>
          <w:szCs w:val="24"/>
        </w:rPr>
        <w:t>1.5 to 2.5 range,</w:t>
      </w:r>
      <w:r w:rsidR="00437E7A" w:rsidRPr="00437E7A">
        <w:rPr>
          <w:rFonts w:cs="Times New Roman"/>
          <w:bCs/>
          <w:color w:val="000000"/>
          <w:szCs w:val="24"/>
        </w:rPr>
        <w:t xml:space="preserve"> with a value of 2.0 representing a perfectly random distribution of error terms (Field, 2018</w:t>
      </w:r>
      <w:r w:rsidR="00437E7A">
        <w:rPr>
          <w:rFonts w:cs="Times New Roman"/>
          <w:bCs/>
          <w:color w:val="000000"/>
          <w:szCs w:val="24"/>
        </w:rPr>
        <w:t>).</w:t>
      </w:r>
    </w:p>
    <w:p w14:paraId="324D203A" w14:textId="77777777" w:rsidR="009F33CD" w:rsidRDefault="00E40740">
      <w:pPr>
        <w:spacing w:before="240"/>
        <w:rPr>
          <w:rFonts w:cs="Times New Roman"/>
          <w:b/>
          <w:color w:val="000000"/>
          <w:szCs w:val="24"/>
          <w:lang w:val="en-US"/>
        </w:rPr>
      </w:pPr>
      <w:r>
        <w:rPr>
          <w:rFonts w:cs="Times New Roman"/>
          <w:b/>
          <w:color w:val="000000"/>
          <w:szCs w:val="24"/>
          <w:lang w:val="en-US"/>
        </w:rPr>
        <w:t>Correlation Test</w:t>
      </w:r>
    </w:p>
    <w:p w14:paraId="53DA10D5" w14:textId="77777777" w:rsidR="009F33CD" w:rsidRDefault="00E40740">
      <w:pPr>
        <w:spacing w:before="240"/>
        <w:rPr>
          <w:rFonts w:cs="Times New Roman"/>
          <w:bCs/>
          <w:color w:val="000000"/>
          <w:szCs w:val="24"/>
        </w:rPr>
      </w:pPr>
      <w:r>
        <w:rPr>
          <w:rFonts w:cs="Times New Roman"/>
          <w:bCs/>
          <w:color w:val="000000"/>
          <w:szCs w:val="24"/>
          <w:lang w:val="en-US"/>
        </w:rPr>
        <w:t xml:space="preserve">The correlation coefficient measures the degree or strength and direction of relationship between two or more statistical variables. The correlation coefficient ranges between negative (-1) and positive (+1). A negative coefficient reveals a negative correlation, while a positive coefficient implies a positive one. If there is a high degree of correlation between two variables, then there is a close association between those two variables. The variables have no association if the correlation coefficient is 0.00 (Creswell, 2017). The Pearson’s product-moment correlation (r) is the most popular correlation coefficient developed by Karl Pearson. This analysis requires that the variables be measured using at least an interval scale. </w:t>
      </w:r>
    </w:p>
    <w:p w14:paraId="6FC4AB52" w14:textId="77777777" w:rsidR="009F33CD" w:rsidRDefault="00E40740" w:rsidP="00747714">
      <w:pPr>
        <w:pStyle w:val="Heading3"/>
        <w:rPr>
          <w:lang w:eastAsia="af-ZA"/>
        </w:rPr>
      </w:pPr>
      <w:bookmarkStart w:id="674" w:name="_Toc147950219"/>
      <w:bookmarkStart w:id="675" w:name="_Toc188130611"/>
      <w:bookmarkStart w:id="676" w:name="_Toc185614055"/>
      <w:bookmarkStart w:id="677" w:name="_Toc187080825"/>
      <w:bookmarkStart w:id="678" w:name="_Toc188443958"/>
      <w:bookmarkStart w:id="679" w:name="_Toc188442584"/>
      <w:bookmarkStart w:id="680" w:name="_Toc224160648"/>
      <w:bookmarkStart w:id="681" w:name="_Toc224237708"/>
      <w:bookmarkStart w:id="682" w:name="_Toc165626357"/>
      <w:bookmarkStart w:id="683" w:name="_Toc178945017"/>
      <w:bookmarkStart w:id="684" w:name="_Toc178940567"/>
      <w:bookmarkStart w:id="685" w:name="_Toc178939612"/>
      <w:bookmarkStart w:id="686" w:name="_Toc165623576"/>
      <w:bookmarkStart w:id="687" w:name="_Toc178942608"/>
      <w:bookmarkStart w:id="688" w:name="_Toc178944265"/>
      <w:r>
        <w:rPr>
          <w:lang w:eastAsia="af-ZA"/>
        </w:rPr>
        <w:t xml:space="preserve">3.10.2 Data Analysis for Green Employee Resourcing </w:t>
      </w:r>
      <w:bookmarkEnd w:id="674"/>
      <w:r>
        <w:rPr>
          <w:lang w:eastAsia="af-ZA"/>
        </w:rPr>
        <w:t>and Performance</w:t>
      </w:r>
      <w:bookmarkEnd w:id="675"/>
      <w:bookmarkEnd w:id="676"/>
      <w:bookmarkEnd w:id="677"/>
      <w:bookmarkEnd w:id="678"/>
      <w:bookmarkEnd w:id="679"/>
      <w:bookmarkEnd w:id="680"/>
      <w:bookmarkEnd w:id="681"/>
      <w:r>
        <w:rPr>
          <w:lang w:eastAsia="af-ZA"/>
        </w:rPr>
        <w:t xml:space="preserve"> </w:t>
      </w:r>
      <w:bookmarkEnd w:id="682"/>
      <w:bookmarkEnd w:id="683"/>
      <w:bookmarkEnd w:id="684"/>
      <w:bookmarkEnd w:id="685"/>
      <w:bookmarkEnd w:id="686"/>
      <w:bookmarkEnd w:id="687"/>
      <w:bookmarkEnd w:id="688"/>
    </w:p>
    <w:p w14:paraId="66ED50DD" w14:textId="77777777" w:rsidR="009F33CD" w:rsidRDefault="00E40740">
      <w:pPr>
        <w:spacing w:before="240"/>
        <w:rPr>
          <w:rFonts w:cs="Times New Roman"/>
          <w:bCs/>
          <w:szCs w:val="24"/>
        </w:rPr>
      </w:pPr>
      <w:r>
        <w:rPr>
          <w:rFonts w:cs="Times New Roman"/>
          <w:bCs/>
          <w:szCs w:val="24"/>
        </w:rPr>
        <w:t>Descriptive statistical analysis was conducted to summarize study findings and results were presented using frequencies, percentages, mean, and standard deviation. The mean is described as the average value derived from a set of data, while and standard deviation is a measure of dispersion (Kothari, 2019). Content analysis was used to analyze and interpret qualitative data (Field, 201</w:t>
      </w:r>
      <w:r w:rsidR="008506ED">
        <w:rPr>
          <w:rFonts w:cs="Times New Roman"/>
          <w:bCs/>
          <w:szCs w:val="24"/>
        </w:rPr>
        <w:t>8</w:t>
      </w:r>
      <w:r>
        <w:rPr>
          <w:rFonts w:cs="Times New Roman"/>
          <w:bCs/>
          <w:szCs w:val="24"/>
        </w:rPr>
        <w:t>). Correlation analysis was conducted using Pearson’s product-moment correlation coefficient (PPMC) to establish the strength and direction of the relationship (Mugenda and Mugenda, 201</w:t>
      </w:r>
      <w:r w:rsidR="0002198B">
        <w:rPr>
          <w:rFonts w:cs="Times New Roman"/>
          <w:bCs/>
          <w:szCs w:val="24"/>
        </w:rPr>
        <w:t>2</w:t>
      </w:r>
      <w:r>
        <w:rPr>
          <w:rFonts w:cs="Times New Roman"/>
          <w:bCs/>
          <w:szCs w:val="24"/>
        </w:rPr>
        <w:t xml:space="preserve">). Simple linear regression was conducted to give an estimation of the </w:t>
      </w:r>
      <w:r>
        <w:rPr>
          <w:rFonts w:cs="Times New Roman"/>
          <w:bCs/>
          <w:iCs/>
          <w:szCs w:val="24"/>
        </w:rPr>
        <w:t xml:space="preserve">mean </w:t>
      </w:r>
      <w:r>
        <w:rPr>
          <w:rFonts w:cs="Times New Roman"/>
          <w:bCs/>
          <w:szCs w:val="24"/>
        </w:rPr>
        <w:t xml:space="preserve">or </w:t>
      </w:r>
      <w:r>
        <w:rPr>
          <w:rFonts w:cs="Times New Roman"/>
          <w:bCs/>
          <w:iCs/>
          <w:szCs w:val="24"/>
        </w:rPr>
        <w:t xml:space="preserve">average </w:t>
      </w:r>
      <w:r>
        <w:rPr>
          <w:rFonts w:cs="Times New Roman"/>
          <w:bCs/>
          <w:szCs w:val="24"/>
        </w:rPr>
        <w:t xml:space="preserve">value of the dependent variable and finally, hypothesis testing was conducted at a level of significance of 0.05. Therefore, the simple linear regression model for green employee resourcing and performance took the following format: </w:t>
      </w:r>
    </w:p>
    <w:p w14:paraId="394413AA" w14:textId="77777777" w:rsidR="009F33CD" w:rsidRDefault="00E40740">
      <w:pPr>
        <w:ind w:left="720"/>
        <w:jc w:val="center"/>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1</w:t>
      </w:r>
      <w:r>
        <w:rPr>
          <w:rFonts w:cs="Times New Roman"/>
          <w:bCs/>
          <w:szCs w:val="24"/>
        </w:rPr>
        <w:t>X</w:t>
      </w:r>
      <w:r>
        <w:rPr>
          <w:rFonts w:cs="Times New Roman"/>
          <w:bCs/>
          <w:szCs w:val="24"/>
          <w:vertAlign w:val="subscript"/>
        </w:rPr>
        <w:t>1</w:t>
      </w:r>
      <w:r>
        <w:rPr>
          <w:rFonts w:cs="Times New Roman"/>
          <w:bCs/>
          <w:szCs w:val="24"/>
        </w:rPr>
        <w:t xml:space="preserve"> +e</w:t>
      </w:r>
    </w:p>
    <w:p w14:paraId="03B33162" w14:textId="77777777" w:rsidR="009F33CD" w:rsidRDefault="00E40740">
      <w:pPr>
        <w:rPr>
          <w:rFonts w:cs="Times New Roman"/>
          <w:bCs/>
          <w:szCs w:val="24"/>
        </w:rPr>
      </w:pPr>
      <w:r>
        <w:rPr>
          <w:rFonts w:cs="Times New Roman"/>
          <w:bCs/>
          <w:szCs w:val="24"/>
        </w:rPr>
        <w:t xml:space="preserve">Where; </w:t>
      </w:r>
    </w:p>
    <w:p w14:paraId="0C7A412A" w14:textId="77777777" w:rsidR="009F33CD" w:rsidRDefault="00E40740">
      <w:pPr>
        <w:rPr>
          <w:rFonts w:cs="Times New Roman"/>
          <w:bCs/>
          <w:szCs w:val="24"/>
        </w:rPr>
      </w:pPr>
      <w:r>
        <w:rPr>
          <w:rFonts w:cs="Times New Roman"/>
          <w:bCs/>
          <w:szCs w:val="24"/>
        </w:rPr>
        <w:t>Y = Performance of devolved healthcare services, β</w:t>
      </w:r>
      <w:r>
        <w:rPr>
          <w:rFonts w:cs="Times New Roman"/>
          <w:bCs/>
          <w:szCs w:val="24"/>
          <w:vertAlign w:val="subscript"/>
        </w:rPr>
        <w:t>0</w:t>
      </w:r>
      <w:r>
        <w:rPr>
          <w:rFonts w:cs="Times New Roman"/>
          <w:bCs/>
          <w:szCs w:val="24"/>
        </w:rPr>
        <w:t>= Constant, β</w:t>
      </w:r>
      <w:r>
        <w:rPr>
          <w:rFonts w:cs="Times New Roman"/>
          <w:bCs/>
          <w:szCs w:val="24"/>
          <w:vertAlign w:val="subscript"/>
        </w:rPr>
        <w:t>1</w:t>
      </w:r>
      <w:r>
        <w:rPr>
          <w:rFonts w:cs="Times New Roman"/>
          <w:bCs/>
          <w:szCs w:val="24"/>
        </w:rPr>
        <w:t>= regression co-efficient, X</w:t>
      </w:r>
      <w:r>
        <w:rPr>
          <w:rFonts w:cs="Times New Roman"/>
          <w:bCs/>
          <w:szCs w:val="24"/>
          <w:vertAlign w:val="subscript"/>
        </w:rPr>
        <w:t>1</w:t>
      </w:r>
      <w:r>
        <w:rPr>
          <w:rFonts w:cs="Times New Roman"/>
          <w:bCs/>
          <w:szCs w:val="24"/>
        </w:rPr>
        <w:t>= Green Employee Resourcing and e = error term</w:t>
      </w:r>
    </w:p>
    <w:p w14:paraId="4922A373" w14:textId="77777777" w:rsidR="009F33CD" w:rsidRDefault="00E40740">
      <w:pPr>
        <w:spacing w:after="240"/>
        <w:rPr>
          <w:rFonts w:cs="Times New Roman"/>
          <w:bCs/>
        </w:rPr>
      </w:pPr>
      <w:r>
        <w:rPr>
          <w:rFonts w:cs="Times New Roman"/>
          <w:bCs/>
        </w:rPr>
        <w:lastRenderedPageBreak/>
        <w:t>The statistical significance of the effect of the independent variable (green employee resourcing) on the dependent variable (performance of devolved healthcare services) was hypothesized as;</w:t>
      </w:r>
    </w:p>
    <w:p w14:paraId="50E55FA6" w14:textId="77777777" w:rsidR="009F33CD" w:rsidRDefault="00E40740">
      <w:pPr>
        <w:rPr>
          <w:rFonts w:cs="Times New Roman"/>
          <w:bCs/>
        </w:rPr>
      </w:pPr>
      <w:r>
        <w:rPr>
          <w:rFonts w:cs="Times New Roman"/>
          <w:bCs/>
        </w:rPr>
        <w:t xml:space="preserve"> </w:t>
      </w:r>
      <w:r>
        <w:rPr>
          <w:rFonts w:cs="Times New Roman"/>
          <w:b/>
        </w:rPr>
        <w:t>Ho</w:t>
      </w:r>
      <w:r>
        <w:rPr>
          <w:rFonts w:cs="Times New Roman"/>
          <w:b/>
          <w:vertAlign w:val="subscript"/>
        </w:rPr>
        <w:t>1</w:t>
      </w:r>
      <w:r>
        <w:rPr>
          <w:rFonts w:cs="Times New Roman"/>
          <w:b/>
        </w:rPr>
        <w:t>:</w:t>
      </w:r>
      <w:r>
        <w:rPr>
          <w:rFonts w:cs="Times New Roman"/>
          <w:bCs/>
        </w:rPr>
        <w:t xml:space="preserve"> Green employee resourcing has no significant effect on the performance of devolved healthcare services in Kenya.</w:t>
      </w:r>
    </w:p>
    <w:p w14:paraId="0A933A3A" w14:textId="77777777" w:rsidR="009F33CD" w:rsidRDefault="00E40740">
      <w:pPr>
        <w:rPr>
          <w:rFonts w:cs="Times New Roman"/>
          <w:bCs/>
          <w:szCs w:val="24"/>
        </w:rPr>
      </w:pPr>
      <w:r>
        <w:rPr>
          <w:rFonts w:cs="Times New Roman"/>
          <w:szCs w:val="24"/>
        </w:rPr>
        <w:t xml:space="preserve">Analysis of Variance (ANOVA) was conducted to test the study hypothesis and thus establish whether the model was a significant fit for the data. ANOVA is a data analysis procedure that was applied to determine whether there were significant differences between two or more groups of samples at a selected probability level (Mugenda &amp; Mugenda, 2013). </w:t>
      </w:r>
      <w:r>
        <w:rPr>
          <w:rFonts w:cs="Times New Roman"/>
          <w:bCs/>
          <w:szCs w:val="24"/>
        </w:rPr>
        <w:t xml:space="preserve">In testing the hypothesis, the decision rule was to </w:t>
      </w:r>
      <w:r>
        <w:rPr>
          <w:rFonts w:cs="Times New Roman"/>
          <w:szCs w:val="24"/>
        </w:rPr>
        <w:t>Reject the Null Hypothesis if P- value ≤ 0.05 otherwise accept it if P is &gt; 0.05.</w:t>
      </w:r>
    </w:p>
    <w:p w14:paraId="4D2D6B28" w14:textId="77777777" w:rsidR="009F33CD" w:rsidRDefault="00E40740">
      <w:pPr>
        <w:pStyle w:val="Heading3"/>
        <w:rPr>
          <w:lang w:eastAsia="af-ZA"/>
        </w:rPr>
      </w:pPr>
      <w:bookmarkStart w:id="689" w:name="_Toc178939613"/>
      <w:bookmarkStart w:id="690" w:name="_Toc178942609"/>
      <w:bookmarkStart w:id="691" w:name="_Toc185614056"/>
      <w:bookmarkStart w:id="692" w:name="_Toc178944266"/>
      <w:bookmarkStart w:id="693" w:name="_Toc188442585"/>
      <w:bookmarkStart w:id="694" w:name="_Toc187080826"/>
      <w:bookmarkStart w:id="695" w:name="_Toc178945018"/>
      <w:bookmarkStart w:id="696" w:name="_Toc165623577"/>
      <w:bookmarkStart w:id="697" w:name="_Toc188130612"/>
      <w:bookmarkStart w:id="698" w:name="_Toc165626358"/>
      <w:bookmarkStart w:id="699" w:name="_Toc188443959"/>
      <w:bookmarkStart w:id="700" w:name="_Toc178940568"/>
      <w:bookmarkStart w:id="701" w:name="_Toc224160649"/>
      <w:bookmarkStart w:id="702" w:name="_Toc224237709"/>
      <w:r>
        <w:rPr>
          <w:lang w:eastAsia="af-ZA"/>
        </w:rPr>
        <w:t>3.10.3 Data Analysis for Green Training and Performance of Devolved Healthcare Services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6274BE30" w14:textId="77777777" w:rsidR="009F33CD" w:rsidRDefault="00E40740">
      <w:pPr>
        <w:spacing w:before="240"/>
        <w:rPr>
          <w:rFonts w:cs="Times New Roman"/>
          <w:bCs/>
          <w:szCs w:val="24"/>
        </w:rPr>
      </w:pPr>
      <w:r>
        <w:rPr>
          <w:rFonts w:cs="Times New Roman"/>
          <w:bCs/>
          <w:szCs w:val="24"/>
        </w:rPr>
        <w:t xml:space="preserve">Descriptive statistical analysis was conducted for green training and performance to summarize the study findings and the results were presented using frequencies, percentages, means a measure of central tendency, and standard deviation as a measure of dispersion. Content analysis was used to analyze responses from qualitative data. Correlation analysis was conducted using Pearson’s product-moment correlation coefficient (PPMC) to establish the strength and direction of the relationship. In this study regression analysis was conducted to give an estimation of the </w:t>
      </w:r>
      <w:r>
        <w:rPr>
          <w:rFonts w:cs="Times New Roman"/>
          <w:bCs/>
          <w:iCs/>
          <w:szCs w:val="24"/>
        </w:rPr>
        <w:t xml:space="preserve">mean </w:t>
      </w:r>
      <w:r>
        <w:rPr>
          <w:rFonts w:cs="Times New Roman"/>
          <w:bCs/>
          <w:szCs w:val="24"/>
        </w:rPr>
        <w:t xml:space="preserve">or </w:t>
      </w:r>
      <w:r>
        <w:rPr>
          <w:rFonts w:cs="Times New Roman"/>
          <w:bCs/>
          <w:iCs/>
          <w:szCs w:val="24"/>
        </w:rPr>
        <w:t xml:space="preserve">average </w:t>
      </w:r>
      <w:r>
        <w:rPr>
          <w:rFonts w:cs="Times New Roman"/>
          <w:bCs/>
          <w:szCs w:val="24"/>
        </w:rPr>
        <w:t xml:space="preserve">value of the dependent variable regarding the nature of the dependence (Kothari and Gaurav, 2014). The result obtained from this simple linear regression analysis of the model was applied to test the research hypothesis at a level of significance of 0.05. </w:t>
      </w:r>
    </w:p>
    <w:p w14:paraId="33B11D6A" w14:textId="77777777" w:rsidR="009F33CD" w:rsidRDefault="00E40740">
      <w:pPr>
        <w:spacing w:before="240"/>
        <w:rPr>
          <w:rFonts w:cs="Times New Roman"/>
          <w:bCs/>
          <w:szCs w:val="24"/>
        </w:rPr>
      </w:pPr>
      <w:r>
        <w:rPr>
          <w:rFonts w:cs="Times New Roman"/>
          <w:bCs/>
          <w:szCs w:val="24"/>
        </w:rPr>
        <w:t xml:space="preserve">Therefore, the simple linear regression model for green training and performance took the following format: </w:t>
      </w:r>
    </w:p>
    <w:p w14:paraId="2CC24D84" w14:textId="77777777" w:rsidR="009F33CD" w:rsidRDefault="00E40740">
      <w:pPr>
        <w:ind w:left="720"/>
        <w:jc w:val="center"/>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2</w:t>
      </w:r>
      <w:r>
        <w:rPr>
          <w:rFonts w:cs="Times New Roman"/>
          <w:bCs/>
          <w:szCs w:val="24"/>
        </w:rPr>
        <w:t>X</w:t>
      </w:r>
      <w:bookmarkStart w:id="703" w:name="_Hlk208572730"/>
      <w:r>
        <w:rPr>
          <w:rFonts w:cs="Times New Roman"/>
          <w:bCs/>
          <w:szCs w:val="24"/>
          <w:vertAlign w:val="subscript"/>
        </w:rPr>
        <w:t>2</w:t>
      </w:r>
      <w:r>
        <w:rPr>
          <w:rFonts w:cs="Times New Roman"/>
          <w:bCs/>
          <w:szCs w:val="24"/>
        </w:rPr>
        <w:t xml:space="preserve"> </w:t>
      </w:r>
      <w:bookmarkEnd w:id="703"/>
      <w:r>
        <w:rPr>
          <w:rFonts w:cs="Times New Roman"/>
          <w:bCs/>
          <w:szCs w:val="24"/>
        </w:rPr>
        <w:t>+e</w:t>
      </w:r>
    </w:p>
    <w:p w14:paraId="35248AE9" w14:textId="77777777" w:rsidR="009F33CD" w:rsidRDefault="00E40740">
      <w:pPr>
        <w:rPr>
          <w:rFonts w:cs="Times New Roman"/>
          <w:bCs/>
          <w:szCs w:val="24"/>
        </w:rPr>
      </w:pPr>
      <w:r>
        <w:rPr>
          <w:rFonts w:cs="Times New Roman"/>
          <w:bCs/>
          <w:szCs w:val="24"/>
        </w:rPr>
        <w:t xml:space="preserve">Where; </w:t>
      </w:r>
    </w:p>
    <w:p w14:paraId="55F1CAD6" w14:textId="77777777" w:rsidR="009F33CD" w:rsidRDefault="00E40740">
      <w:pPr>
        <w:rPr>
          <w:rFonts w:cs="Times New Roman"/>
          <w:bCs/>
          <w:szCs w:val="24"/>
        </w:rPr>
      </w:pPr>
      <w:r>
        <w:rPr>
          <w:rFonts w:cs="Times New Roman"/>
          <w:bCs/>
          <w:szCs w:val="24"/>
        </w:rPr>
        <w:lastRenderedPageBreak/>
        <w:t>Y = Performance of devolved healthcare Services, β</w:t>
      </w:r>
      <w:r>
        <w:rPr>
          <w:rFonts w:cs="Times New Roman"/>
          <w:bCs/>
          <w:szCs w:val="24"/>
          <w:vertAlign w:val="subscript"/>
        </w:rPr>
        <w:t>0</w:t>
      </w:r>
      <w:r>
        <w:rPr>
          <w:rFonts w:cs="Times New Roman"/>
          <w:bCs/>
          <w:szCs w:val="24"/>
        </w:rPr>
        <w:t>= Constant, β</w:t>
      </w:r>
      <w:r>
        <w:rPr>
          <w:rFonts w:cs="Times New Roman"/>
          <w:bCs/>
          <w:szCs w:val="24"/>
          <w:vertAlign w:val="subscript"/>
        </w:rPr>
        <w:t>2</w:t>
      </w:r>
      <w:r>
        <w:rPr>
          <w:rFonts w:cs="Times New Roman"/>
          <w:bCs/>
          <w:szCs w:val="24"/>
        </w:rPr>
        <w:t>= regression co-efficient, X</w:t>
      </w:r>
      <w:r>
        <w:rPr>
          <w:rFonts w:cs="Times New Roman"/>
          <w:bCs/>
          <w:szCs w:val="24"/>
          <w:vertAlign w:val="subscript"/>
        </w:rPr>
        <w:t>2</w:t>
      </w:r>
      <w:r>
        <w:rPr>
          <w:rFonts w:cs="Times New Roman"/>
          <w:bCs/>
          <w:szCs w:val="24"/>
        </w:rPr>
        <w:t xml:space="preserve">= Green Training and e = error term </w:t>
      </w:r>
    </w:p>
    <w:p w14:paraId="37FF4471" w14:textId="77777777" w:rsidR="009F33CD" w:rsidRDefault="00E40740">
      <w:pPr>
        <w:spacing w:after="240"/>
        <w:rPr>
          <w:rFonts w:cs="Times New Roman"/>
          <w:bCs/>
        </w:rPr>
      </w:pPr>
      <w:r>
        <w:rPr>
          <w:rFonts w:cs="Times New Roman"/>
          <w:bCs/>
        </w:rPr>
        <w:t>The study hypothesized that;</w:t>
      </w:r>
    </w:p>
    <w:p w14:paraId="56F16E94" w14:textId="77777777" w:rsidR="009F33CD" w:rsidRDefault="00E40740">
      <w:pPr>
        <w:spacing w:after="240"/>
        <w:rPr>
          <w:rFonts w:cs="Times New Roman"/>
          <w:bCs/>
        </w:rPr>
      </w:pPr>
      <w:r>
        <w:rPr>
          <w:rFonts w:cs="Times New Roman"/>
          <w:b/>
        </w:rPr>
        <w:t>Ho</w:t>
      </w:r>
      <w:r>
        <w:rPr>
          <w:rFonts w:cs="Times New Roman"/>
          <w:b/>
          <w:vertAlign w:val="subscript"/>
        </w:rPr>
        <w:t>2</w:t>
      </w:r>
      <w:r>
        <w:rPr>
          <w:rFonts w:cs="Times New Roman"/>
          <w:b/>
        </w:rPr>
        <w:t>:</w:t>
      </w:r>
      <w:r>
        <w:rPr>
          <w:rFonts w:cs="Times New Roman"/>
          <w:bCs/>
        </w:rPr>
        <w:t xml:space="preserve"> Green training has no significant effect on the performance of devolved healthcare services in Kenya</w:t>
      </w:r>
    </w:p>
    <w:p w14:paraId="072C0134" w14:textId="77777777" w:rsidR="009F33CD" w:rsidRDefault="00E40740">
      <w:pPr>
        <w:rPr>
          <w:rFonts w:cs="Times New Roman"/>
          <w:bCs/>
          <w:szCs w:val="24"/>
        </w:rPr>
      </w:pPr>
      <w:r>
        <w:rPr>
          <w:rFonts w:cs="Times New Roman"/>
          <w:szCs w:val="24"/>
        </w:rPr>
        <w:t xml:space="preserve">Analysis of Variance (ANOVA) was conducted to test the study hypothesis and thus establish whether the model was a significant fit for the data. </w:t>
      </w:r>
      <w:r>
        <w:rPr>
          <w:rFonts w:cs="Times New Roman"/>
          <w:bCs/>
          <w:szCs w:val="24"/>
        </w:rPr>
        <w:t xml:space="preserve">In testing the hypothesis, the decision rule was to </w:t>
      </w:r>
      <w:r>
        <w:rPr>
          <w:rFonts w:cs="Times New Roman"/>
          <w:szCs w:val="24"/>
        </w:rPr>
        <w:t>Reject the Null Hypothesis if P- value ≤ 0.05 otherwise accept it if P is &gt; 0.05.</w:t>
      </w:r>
    </w:p>
    <w:p w14:paraId="3E36EEC6" w14:textId="77777777" w:rsidR="009F33CD" w:rsidRDefault="00E40740">
      <w:pPr>
        <w:pStyle w:val="Heading3"/>
        <w:rPr>
          <w:lang w:eastAsia="af-ZA"/>
        </w:rPr>
      </w:pPr>
      <w:bookmarkStart w:id="704" w:name="_Toc165623578"/>
      <w:bookmarkStart w:id="705" w:name="_Toc188130613"/>
      <w:bookmarkStart w:id="706" w:name="_Toc178939614"/>
      <w:bookmarkStart w:id="707" w:name="_Toc178942610"/>
      <w:bookmarkStart w:id="708" w:name="_Toc178944267"/>
      <w:bookmarkStart w:id="709" w:name="_Toc185614057"/>
      <w:bookmarkStart w:id="710" w:name="_Toc165626359"/>
      <w:bookmarkStart w:id="711" w:name="_Toc178940569"/>
      <w:bookmarkStart w:id="712" w:name="_Toc188443960"/>
      <w:bookmarkStart w:id="713" w:name="_Toc187080827"/>
      <w:bookmarkStart w:id="714" w:name="_Toc188442586"/>
      <w:bookmarkStart w:id="715" w:name="_Toc178945019"/>
      <w:bookmarkStart w:id="716" w:name="_Toc224160650"/>
      <w:bookmarkStart w:id="717" w:name="_Toc224237710"/>
      <w:r>
        <w:rPr>
          <w:lang w:eastAsia="af-ZA"/>
        </w:rPr>
        <w:t>3.10.4 Data Analysis for Green Occupational Safety, Health and Performance of Devolved Healthcare Services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5C72F553" w14:textId="77777777" w:rsidR="009F33CD" w:rsidRDefault="00E40740">
      <w:pPr>
        <w:spacing w:before="240"/>
        <w:rPr>
          <w:rFonts w:cs="Times New Roman"/>
          <w:bCs/>
          <w:szCs w:val="24"/>
        </w:rPr>
      </w:pPr>
      <w:r>
        <w:rPr>
          <w:rFonts w:cs="Times New Roman"/>
          <w:bCs/>
          <w:szCs w:val="24"/>
        </w:rPr>
        <w:t xml:space="preserve">Descriptive statistical analysis was conducted for green occupational safety and health and performance and the results were presented using frequencies, percentages, mean, and standard deviation. Content analysis was used to analyze responses from qualitative data. Correlation analysis was conducted using Pearson’s product-moment correlation coefficient (PPMC) to establish the strength and direction of the relationship. PPMC value ranges from -1.0 to +1.0, with positive or negative signs denoting the direction of association, while the bigger absolute values indicate stronger association (Mugenda &amp; Mugenda, 2013). Simple regression analysis was conducted to determine the cause-effect relationship between the independent and dependent variables (Kothari &amp; Gaurav, 2014). Hypothesis testing was determined using one-way ANOVA. A simple linear regression model for green Occupational Safety and Health and performance took the following format: </w:t>
      </w:r>
    </w:p>
    <w:p w14:paraId="413A515C" w14:textId="77777777" w:rsidR="009F33CD" w:rsidRDefault="00E40740">
      <w:pPr>
        <w:spacing w:before="240"/>
        <w:ind w:left="720"/>
        <w:jc w:val="center"/>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3</w:t>
      </w:r>
      <w:r>
        <w:rPr>
          <w:rFonts w:cs="Times New Roman"/>
          <w:bCs/>
          <w:szCs w:val="24"/>
        </w:rPr>
        <w:t>X</w:t>
      </w:r>
      <w:r>
        <w:rPr>
          <w:rFonts w:cs="Times New Roman"/>
          <w:bCs/>
          <w:szCs w:val="24"/>
          <w:vertAlign w:val="subscript"/>
        </w:rPr>
        <w:t>3</w:t>
      </w:r>
      <w:r>
        <w:rPr>
          <w:rFonts w:cs="Times New Roman"/>
          <w:bCs/>
          <w:szCs w:val="24"/>
        </w:rPr>
        <w:t xml:space="preserve"> +e</w:t>
      </w:r>
    </w:p>
    <w:p w14:paraId="755018F3" w14:textId="77777777" w:rsidR="009F33CD" w:rsidRDefault="00E40740">
      <w:pPr>
        <w:rPr>
          <w:rFonts w:cs="Times New Roman"/>
          <w:bCs/>
          <w:szCs w:val="24"/>
        </w:rPr>
      </w:pPr>
      <w:r>
        <w:rPr>
          <w:rFonts w:cs="Times New Roman"/>
          <w:bCs/>
          <w:szCs w:val="24"/>
        </w:rPr>
        <w:t xml:space="preserve">Where; </w:t>
      </w:r>
    </w:p>
    <w:p w14:paraId="1CDA1D03" w14:textId="77777777" w:rsidR="009F33CD" w:rsidRDefault="00E40740">
      <w:pPr>
        <w:rPr>
          <w:rFonts w:cs="Times New Roman"/>
          <w:bCs/>
          <w:szCs w:val="24"/>
        </w:rPr>
      </w:pPr>
      <w:r>
        <w:rPr>
          <w:rFonts w:cs="Times New Roman"/>
          <w:bCs/>
          <w:szCs w:val="24"/>
        </w:rPr>
        <w:t>Y = Performance of devolved healthcare Services, β</w:t>
      </w:r>
      <w:r>
        <w:rPr>
          <w:rFonts w:cs="Times New Roman"/>
          <w:bCs/>
          <w:szCs w:val="24"/>
          <w:vertAlign w:val="subscript"/>
        </w:rPr>
        <w:t>0</w:t>
      </w:r>
      <w:r>
        <w:rPr>
          <w:rFonts w:cs="Times New Roman"/>
          <w:bCs/>
          <w:szCs w:val="24"/>
        </w:rPr>
        <w:t>= Constant, β</w:t>
      </w:r>
      <w:r>
        <w:rPr>
          <w:rFonts w:cs="Times New Roman"/>
          <w:bCs/>
          <w:szCs w:val="24"/>
          <w:vertAlign w:val="subscript"/>
        </w:rPr>
        <w:t>3</w:t>
      </w:r>
      <w:r>
        <w:rPr>
          <w:rFonts w:cs="Times New Roman"/>
          <w:bCs/>
          <w:szCs w:val="24"/>
        </w:rPr>
        <w:t>= regression co-efficient, X</w:t>
      </w:r>
      <w:r>
        <w:rPr>
          <w:rFonts w:cs="Times New Roman"/>
          <w:bCs/>
          <w:szCs w:val="24"/>
          <w:vertAlign w:val="subscript"/>
        </w:rPr>
        <w:t>3</w:t>
      </w:r>
      <w:r>
        <w:rPr>
          <w:rFonts w:cs="Times New Roman"/>
          <w:bCs/>
          <w:szCs w:val="24"/>
        </w:rPr>
        <w:t xml:space="preserve">= Green Occupational Safety and Health, and e = error term. </w:t>
      </w:r>
    </w:p>
    <w:p w14:paraId="7697C3F1" w14:textId="77777777" w:rsidR="009F33CD" w:rsidRDefault="00E40740">
      <w:pPr>
        <w:rPr>
          <w:rFonts w:cs="Times New Roman"/>
          <w:bCs/>
          <w:szCs w:val="24"/>
        </w:rPr>
      </w:pPr>
      <w:r>
        <w:rPr>
          <w:rFonts w:cs="Times New Roman"/>
          <w:bCs/>
        </w:rPr>
        <w:lastRenderedPageBreak/>
        <w:t>The study variable was hypothesized;</w:t>
      </w:r>
    </w:p>
    <w:p w14:paraId="3744FC2C" w14:textId="77777777" w:rsidR="009F33CD" w:rsidRDefault="00E40740">
      <w:pPr>
        <w:spacing w:after="240"/>
        <w:rPr>
          <w:rFonts w:cs="Times New Roman"/>
          <w:b/>
        </w:rPr>
      </w:pPr>
      <w:r>
        <w:rPr>
          <w:rFonts w:cs="Times New Roman"/>
          <w:b/>
        </w:rPr>
        <w:t>H</w:t>
      </w:r>
      <w:r>
        <w:rPr>
          <w:rFonts w:cs="Times New Roman"/>
          <w:b/>
          <w:vertAlign w:val="subscript"/>
        </w:rPr>
        <w:t>03</w:t>
      </w:r>
      <w:r>
        <w:rPr>
          <w:rFonts w:cs="Times New Roman"/>
          <w:b/>
        </w:rPr>
        <w:t>:</w:t>
      </w:r>
      <w:r>
        <w:rPr>
          <w:rFonts w:cs="Times New Roman"/>
        </w:rPr>
        <w:t xml:space="preserve"> Green occupational safety and health has no significant effect on the performance of devolved healthcare services in Kenya</w:t>
      </w:r>
    </w:p>
    <w:p w14:paraId="6C8AF521" w14:textId="77777777" w:rsidR="009F33CD" w:rsidRDefault="00E40740">
      <w:pPr>
        <w:rPr>
          <w:rFonts w:cs="Times New Roman"/>
          <w:bCs/>
          <w:szCs w:val="24"/>
        </w:rPr>
      </w:pPr>
      <w:r>
        <w:rPr>
          <w:rFonts w:cs="Times New Roman"/>
          <w:bCs/>
          <w:szCs w:val="24"/>
        </w:rPr>
        <w:t xml:space="preserve">The result obtained from this simple linear regression analysis of the model was applied to test the research hypothesis at a level of significance of 0.05. </w:t>
      </w:r>
    </w:p>
    <w:p w14:paraId="29EAE854" w14:textId="77777777" w:rsidR="009F33CD" w:rsidRDefault="00E40740">
      <w:pPr>
        <w:rPr>
          <w:rFonts w:cs="Times New Roman"/>
          <w:bCs/>
          <w:szCs w:val="24"/>
        </w:rPr>
      </w:pPr>
      <w:bookmarkStart w:id="718" w:name="_Hlk185179997"/>
      <w:r>
        <w:rPr>
          <w:rFonts w:cs="Times New Roman"/>
          <w:szCs w:val="24"/>
        </w:rPr>
        <w:t xml:space="preserve">Analysis of Variance (ANOVA) was conducted to test the study hypothesis and thus establish whether the model was a significant fit for the data. ANOVA is a data analysis procedure that was applied to determine whether there were significant differences between two or more groups of samples at a selected probability level (Mugenda &amp; Mugenda, 2013). </w:t>
      </w:r>
      <w:r>
        <w:rPr>
          <w:rFonts w:cs="Times New Roman"/>
          <w:bCs/>
          <w:szCs w:val="24"/>
        </w:rPr>
        <w:t xml:space="preserve">In testing the hypothesis, the decision rule was to </w:t>
      </w:r>
      <w:r>
        <w:rPr>
          <w:rFonts w:cs="Times New Roman"/>
          <w:szCs w:val="24"/>
        </w:rPr>
        <w:t xml:space="preserve">Reject the Null Hypothesis if P- value ≤ 0.05 otherwise accept it if P is &gt; 0.05. </w:t>
      </w:r>
    </w:p>
    <w:p w14:paraId="33DFA360" w14:textId="77777777" w:rsidR="009F33CD" w:rsidRDefault="00E40740">
      <w:pPr>
        <w:pStyle w:val="Heading3"/>
        <w:rPr>
          <w:lang w:eastAsia="af-ZA"/>
        </w:rPr>
      </w:pPr>
      <w:bookmarkStart w:id="719" w:name="_Toc178942611"/>
      <w:bookmarkStart w:id="720" w:name="_Toc187080828"/>
      <w:bookmarkStart w:id="721" w:name="_Toc185614058"/>
      <w:bookmarkStart w:id="722" w:name="_Toc178944268"/>
      <w:bookmarkStart w:id="723" w:name="_Toc178940570"/>
      <w:bookmarkStart w:id="724" w:name="_Toc188442587"/>
      <w:bookmarkStart w:id="725" w:name="_Toc165623579"/>
      <w:bookmarkStart w:id="726" w:name="_Toc178939615"/>
      <w:bookmarkStart w:id="727" w:name="_Toc188130614"/>
      <w:bookmarkStart w:id="728" w:name="_Toc178945020"/>
      <w:bookmarkStart w:id="729" w:name="_Toc188443961"/>
      <w:bookmarkStart w:id="730" w:name="_Toc165626360"/>
      <w:bookmarkStart w:id="731" w:name="_Toc224160651"/>
      <w:bookmarkStart w:id="732" w:name="_Toc224237711"/>
      <w:bookmarkEnd w:id="718"/>
      <w:r>
        <w:rPr>
          <w:lang w:eastAsia="af-ZA"/>
        </w:rPr>
        <w:t>3.10.5 Data Analysis for Green Performance Evaluation and Performance of Devolved Healthcare Services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258B70F2" w14:textId="77777777" w:rsidR="009F33CD" w:rsidRDefault="00E40740">
      <w:pPr>
        <w:spacing w:before="240"/>
        <w:rPr>
          <w:rFonts w:cs="Times New Roman"/>
          <w:bCs/>
          <w:szCs w:val="24"/>
        </w:rPr>
      </w:pPr>
      <w:r>
        <w:rPr>
          <w:rFonts w:cs="Times New Roman"/>
          <w:bCs/>
          <w:szCs w:val="24"/>
        </w:rPr>
        <w:t xml:space="preserve">Descriptive statistical analysis was conducted for green performance evaluation and performance to summarize study findings and the results were presented using frequencies, percentages, and standard deviation. Content analysis was used to analyze responses from qualitative data, correlation analysis was conducted using Pearson’s product-moment correlation coefficient (PPMC) to establish the strength and direction of the relationship (Kothari &amp; Gaurav, 2014); simple regression analysis was conducted to determine the cause-effect relationship between the independent and dependent variables. Hypothesis testing was determined using one-way ANOVA. The result obtained from this simple linear regression analysis of the model was applied to test the research hypothesis at level of significance of 0.05. Therefore, the simple linear regression model for green performance evaluation and performance of devolved healthcare services took the following format: </w:t>
      </w:r>
    </w:p>
    <w:p w14:paraId="7178A9EF" w14:textId="77777777" w:rsidR="009F33CD" w:rsidRDefault="00E40740">
      <w:pPr>
        <w:ind w:left="720"/>
        <w:jc w:val="center"/>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4</w:t>
      </w:r>
      <w:r>
        <w:rPr>
          <w:rFonts w:cs="Times New Roman"/>
          <w:bCs/>
          <w:szCs w:val="24"/>
        </w:rPr>
        <w:t>X</w:t>
      </w:r>
      <w:r>
        <w:rPr>
          <w:rFonts w:cs="Times New Roman"/>
          <w:bCs/>
          <w:szCs w:val="24"/>
          <w:vertAlign w:val="subscript"/>
        </w:rPr>
        <w:t>4</w:t>
      </w:r>
      <w:r>
        <w:rPr>
          <w:rFonts w:cs="Times New Roman"/>
          <w:bCs/>
          <w:szCs w:val="24"/>
        </w:rPr>
        <w:t xml:space="preserve"> +e</w:t>
      </w:r>
    </w:p>
    <w:p w14:paraId="3D1C349A" w14:textId="77777777" w:rsidR="00747714" w:rsidRDefault="00747714">
      <w:pPr>
        <w:autoSpaceDE/>
        <w:autoSpaceDN/>
        <w:adjustRightInd/>
        <w:spacing w:before="0" w:beforeAutospacing="0" w:after="0" w:afterAutospacing="0" w:line="240" w:lineRule="auto"/>
        <w:jc w:val="left"/>
        <w:rPr>
          <w:rFonts w:cs="Times New Roman"/>
          <w:bCs/>
          <w:szCs w:val="24"/>
        </w:rPr>
      </w:pPr>
      <w:r>
        <w:rPr>
          <w:rFonts w:cs="Times New Roman"/>
          <w:bCs/>
          <w:szCs w:val="24"/>
        </w:rPr>
        <w:br w:type="page"/>
      </w:r>
    </w:p>
    <w:p w14:paraId="7E1ADEAB" w14:textId="77777777" w:rsidR="009F33CD" w:rsidRDefault="00E40740">
      <w:pPr>
        <w:rPr>
          <w:rFonts w:cs="Times New Roman"/>
          <w:bCs/>
          <w:szCs w:val="24"/>
        </w:rPr>
      </w:pPr>
      <w:r>
        <w:rPr>
          <w:rFonts w:cs="Times New Roman"/>
          <w:bCs/>
          <w:szCs w:val="24"/>
        </w:rPr>
        <w:lastRenderedPageBreak/>
        <w:t xml:space="preserve">Where; </w:t>
      </w:r>
    </w:p>
    <w:p w14:paraId="67DD4772" w14:textId="77777777" w:rsidR="009F33CD" w:rsidRDefault="00E40740">
      <w:pPr>
        <w:rPr>
          <w:rFonts w:cs="Times New Roman"/>
          <w:bCs/>
          <w:szCs w:val="24"/>
        </w:rPr>
      </w:pPr>
      <w:r>
        <w:rPr>
          <w:rFonts w:cs="Times New Roman"/>
          <w:bCs/>
          <w:szCs w:val="24"/>
        </w:rPr>
        <w:t>Y = Performance of devolved healthcare Services, β</w:t>
      </w:r>
      <w:r>
        <w:rPr>
          <w:rFonts w:cs="Times New Roman"/>
          <w:bCs/>
          <w:szCs w:val="24"/>
          <w:vertAlign w:val="subscript"/>
        </w:rPr>
        <w:t>0</w:t>
      </w:r>
      <w:r>
        <w:rPr>
          <w:rFonts w:cs="Times New Roman"/>
          <w:bCs/>
          <w:szCs w:val="24"/>
        </w:rPr>
        <w:t>= Constant, β</w:t>
      </w:r>
      <w:r>
        <w:rPr>
          <w:rFonts w:cs="Times New Roman"/>
          <w:bCs/>
          <w:szCs w:val="24"/>
          <w:vertAlign w:val="subscript"/>
        </w:rPr>
        <w:t>4</w:t>
      </w:r>
      <w:r>
        <w:rPr>
          <w:rFonts w:cs="Times New Roman"/>
          <w:bCs/>
          <w:szCs w:val="24"/>
        </w:rPr>
        <w:t>= regression co-efficient, X</w:t>
      </w:r>
      <w:r>
        <w:rPr>
          <w:rFonts w:cs="Times New Roman"/>
          <w:bCs/>
          <w:szCs w:val="24"/>
          <w:vertAlign w:val="subscript"/>
        </w:rPr>
        <w:t>4</w:t>
      </w:r>
      <w:r>
        <w:rPr>
          <w:rFonts w:cs="Times New Roman"/>
          <w:bCs/>
          <w:szCs w:val="24"/>
        </w:rPr>
        <w:t>= Green performance evaluation and e = error term</w:t>
      </w:r>
    </w:p>
    <w:p w14:paraId="2F0ACE09" w14:textId="77777777" w:rsidR="009F33CD" w:rsidRDefault="00E40740">
      <w:pPr>
        <w:spacing w:after="240"/>
        <w:rPr>
          <w:rFonts w:cs="Times New Roman"/>
          <w:bCs/>
        </w:rPr>
      </w:pPr>
      <w:r>
        <w:rPr>
          <w:rFonts w:cs="Times New Roman"/>
          <w:bCs/>
        </w:rPr>
        <w:t>This study variable was hypothesized;</w:t>
      </w:r>
    </w:p>
    <w:p w14:paraId="4C8EFF25" w14:textId="77777777" w:rsidR="009F33CD" w:rsidRDefault="00E40740">
      <w:pPr>
        <w:spacing w:after="240"/>
        <w:rPr>
          <w:rFonts w:cs="Times New Roman"/>
          <w:bCs/>
        </w:rPr>
      </w:pPr>
      <w:r>
        <w:rPr>
          <w:rFonts w:cs="Times New Roman"/>
          <w:b/>
        </w:rPr>
        <w:t>H</w:t>
      </w:r>
      <w:r>
        <w:rPr>
          <w:rFonts w:cs="Times New Roman"/>
          <w:b/>
          <w:vertAlign w:val="subscript"/>
        </w:rPr>
        <w:t>04</w:t>
      </w:r>
      <w:r>
        <w:rPr>
          <w:rFonts w:cs="Times New Roman"/>
          <w:b/>
        </w:rPr>
        <w:t xml:space="preserve">: </w:t>
      </w:r>
      <w:r>
        <w:rPr>
          <w:rFonts w:cs="Times New Roman"/>
          <w:bCs/>
        </w:rPr>
        <w:t>Green performance evaluation has no significant effect on the performance of devolved healthcare services in Kenya</w:t>
      </w:r>
    </w:p>
    <w:p w14:paraId="24DEFA0C" w14:textId="77777777" w:rsidR="009F33CD" w:rsidRDefault="00E40740">
      <w:pPr>
        <w:rPr>
          <w:rFonts w:cs="Times New Roman"/>
          <w:szCs w:val="24"/>
        </w:rPr>
      </w:pPr>
      <w:r>
        <w:rPr>
          <w:rFonts w:cs="Times New Roman"/>
          <w:szCs w:val="24"/>
        </w:rPr>
        <w:t xml:space="preserve">Analysis of Variance (ANOVA) was conducted to test the study hypothesis and thus establish whether the model was a significant fit for the data. ANOVA is a data analysis procedure that was applied to determine whether there were significant differences between two or more groups of samples at a selected probability level (Mugenda &amp; Mugenda, 2013). </w:t>
      </w:r>
      <w:r>
        <w:rPr>
          <w:rFonts w:cs="Times New Roman"/>
          <w:bCs/>
          <w:szCs w:val="24"/>
        </w:rPr>
        <w:t xml:space="preserve">In testing the hypothesis, the decision rule was to </w:t>
      </w:r>
      <w:r>
        <w:rPr>
          <w:rFonts w:cs="Times New Roman"/>
          <w:szCs w:val="24"/>
        </w:rPr>
        <w:t>Reject the Null Hypothesis if P- value ≤ 0.05 otherwise accept it if P is &gt; 0.05.</w:t>
      </w:r>
    </w:p>
    <w:p w14:paraId="192B5C67" w14:textId="77777777" w:rsidR="009F33CD" w:rsidRDefault="00E40740" w:rsidP="00747714">
      <w:pPr>
        <w:pStyle w:val="Heading3"/>
      </w:pPr>
      <w:bookmarkStart w:id="733" w:name="_Toc224237712"/>
      <w:r>
        <w:t xml:space="preserve">3.10.6 Data </w:t>
      </w:r>
      <w:r w:rsidR="00747714">
        <w:t xml:space="preserve">Analysis </w:t>
      </w:r>
      <w:r>
        <w:t>for Management Style</w:t>
      </w:r>
      <w:bookmarkEnd w:id="733"/>
      <w:r>
        <w:t xml:space="preserve"> </w:t>
      </w:r>
    </w:p>
    <w:p w14:paraId="2F849E2E" w14:textId="77777777" w:rsidR="009F33CD" w:rsidRDefault="00E40740">
      <w:pPr>
        <w:rPr>
          <w:rFonts w:cs="Times New Roman"/>
          <w:bCs/>
          <w:szCs w:val="24"/>
        </w:rPr>
      </w:pPr>
      <w:bookmarkStart w:id="734" w:name="_Hlk188014899"/>
      <w:r>
        <w:rPr>
          <w:rFonts w:cs="Times New Roman"/>
          <w:bCs/>
          <w:szCs w:val="24"/>
        </w:rPr>
        <w:t xml:space="preserve">Descriptive statistical analysis was conducted on management style so as to summarize study findings and results were presented using frequencies, percentages, mean as a measure of central tendency, and standard deviation as a measure of dispersion (Kothari, 2024). Content analysis was used to analyse and interpret responses from qualitative data. Management style as a variable was used in this study as a moderating variable. Multiple regression analysis was conducted with the inclusion of management style to determine its interactive effect on the optimal model. </w:t>
      </w:r>
      <w:bookmarkEnd w:id="734"/>
      <w:r>
        <w:rPr>
          <w:rFonts w:cs="Times New Roman"/>
          <w:bCs/>
          <w:szCs w:val="24"/>
        </w:rPr>
        <w:t xml:space="preserve">Each of the management style dimensions, individually, was also included in the optimal model to determine its effect of interaction. </w:t>
      </w:r>
    </w:p>
    <w:p w14:paraId="0DB51E7C" w14:textId="77777777" w:rsidR="009F33CD" w:rsidRDefault="00E40740" w:rsidP="00747714">
      <w:pPr>
        <w:pStyle w:val="Heading3"/>
      </w:pPr>
      <w:bookmarkStart w:id="735" w:name="_Toc178942613"/>
      <w:bookmarkStart w:id="736" w:name="_Toc178939617"/>
      <w:bookmarkStart w:id="737" w:name="_Toc178944270"/>
      <w:bookmarkStart w:id="738" w:name="_Toc178940572"/>
      <w:bookmarkStart w:id="739" w:name="_Toc178945022"/>
      <w:bookmarkStart w:id="740" w:name="_Toc165626362"/>
      <w:bookmarkStart w:id="741" w:name="_Toc165623581"/>
      <w:bookmarkStart w:id="742" w:name="_Toc185614060"/>
      <w:bookmarkStart w:id="743" w:name="_Toc188442588"/>
      <w:bookmarkStart w:id="744" w:name="_Toc188443962"/>
      <w:bookmarkStart w:id="745" w:name="_Toc187080830"/>
      <w:bookmarkStart w:id="746" w:name="_Toc188130615"/>
      <w:bookmarkStart w:id="747" w:name="_Toc224160652"/>
      <w:bookmarkStart w:id="748" w:name="_Toc224237713"/>
      <w:r>
        <w:t xml:space="preserve">3.10.7 </w:t>
      </w:r>
      <w:r w:rsidRPr="00747714">
        <w:t>Multiple</w:t>
      </w:r>
      <w:r>
        <w:t xml:space="preserve"> Linear Regression Analysis without the Moderat</w:t>
      </w:r>
      <w:bookmarkEnd w:id="735"/>
      <w:bookmarkEnd w:id="736"/>
      <w:bookmarkEnd w:id="737"/>
      <w:bookmarkEnd w:id="738"/>
      <w:bookmarkEnd w:id="739"/>
      <w:bookmarkEnd w:id="740"/>
      <w:bookmarkEnd w:id="741"/>
      <w:r>
        <w:t>ing Variable</w:t>
      </w:r>
      <w:bookmarkEnd w:id="742"/>
      <w:bookmarkEnd w:id="743"/>
      <w:bookmarkEnd w:id="744"/>
      <w:bookmarkEnd w:id="745"/>
      <w:bookmarkEnd w:id="746"/>
      <w:bookmarkEnd w:id="747"/>
      <w:bookmarkEnd w:id="748"/>
    </w:p>
    <w:p w14:paraId="785F315E" w14:textId="77777777" w:rsidR="009F33CD" w:rsidRDefault="00E40740">
      <w:pPr>
        <w:rPr>
          <w:rFonts w:cs="Times New Roman"/>
          <w:bCs/>
          <w:szCs w:val="24"/>
        </w:rPr>
      </w:pPr>
      <w:r>
        <w:rPr>
          <w:rFonts w:cs="Times New Roman"/>
          <w:bCs/>
          <w:szCs w:val="24"/>
        </w:rPr>
        <w:t xml:space="preserve">Multiple linear regression analysis was applied to establish the direction and magnitude of the relationship that exists between variables. Multiple regression analysis allows researchers to assess how changes in the independent variables are associated with changes in the dependent variable, providing insights into the strength </w:t>
      </w:r>
      <w:r>
        <w:rPr>
          <w:rFonts w:cs="Times New Roman"/>
          <w:bCs/>
          <w:szCs w:val="24"/>
        </w:rPr>
        <w:lastRenderedPageBreak/>
        <w:t>and direction or nature of these relationships (Mugenda &amp; Mugenda, 2013). The multiple linear regression model of this study is as follows:</w:t>
      </w:r>
    </w:p>
    <w:p w14:paraId="76F5D76F" w14:textId="77777777" w:rsidR="009F33CD" w:rsidRPr="003866D9" w:rsidRDefault="00E40740">
      <w:pPr>
        <w:ind w:left="720" w:firstLine="720"/>
        <w:jc w:val="center"/>
        <w:rPr>
          <w:rFonts w:cs="Times New Roman"/>
          <w:bCs/>
          <w:szCs w:val="24"/>
          <w:lang w:val="it-IT"/>
        </w:rPr>
      </w:pPr>
      <w:r w:rsidRPr="003866D9">
        <w:rPr>
          <w:rFonts w:cs="Times New Roman"/>
          <w:bCs/>
          <w:szCs w:val="24"/>
          <w:lang w:val="it-IT"/>
        </w:rPr>
        <w:t xml:space="preserve">Y = </w:t>
      </w:r>
      <w:r>
        <w:rPr>
          <w:rFonts w:cs="Times New Roman"/>
          <w:bCs/>
          <w:szCs w:val="24"/>
        </w:rPr>
        <w:t>β</w:t>
      </w:r>
      <w:r w:rsidRPr="003866D9">
        <w:rPr>
          <w:rFonts w:cs="Times New Roman"/>
          <w:bCs/>
          <w:szCs w:val="24"/>
          <w:vertAlign w:val="subscript"/>
          <w:lang w:val="it-IT"/>
        </w:rPr>
        <w:t>0</w:t>
      </w:r>
      <w:r w:rsidRPr="003866D9">
        <w:rPr>
          <w:rFonts w:cs="Times New Roman"/>
          <w:bCs/>
          <w:szCs w:val="24"/>
          <w:lang w:val="it-IT"/>
        </w:rPr>
        <w:t>+</w:t>
      </w:r>
      <w:r>
        <w:rPr>
          <w:rFonts w:cs="Times New Roman"/>
          <w:bCs/>
          <w:szCs w:val="24"/>
        </w:rPr>
        <w:t>β</w:t>
      </w:r>
      <w:r w:rsidRPr="003866D9">
        <w:rPr>
          <w:rFonts w:cs="Times New Roman"/>
          <w:bCs/>
          <w:szCs w:val="24"/>
          <w:vertAlign w:val="subscript"/>
          <w:lang w:val="it-IT"/>
        </w:rPr>
        <w:t>1</w:t>
      </w:r>
      <w:r w:rsidRPr="003866D9">
        <w:rPr>
          <w:rFonts w:cs="Times New Roman"/>
          <w:bCs/>
          <w:szCs w:val="24"/>
          <w:lang w:val="it-IT"/>
        </w:rPr>
        <w:t>X</w:t>
      </w:r>
      <w:r w:rsidRPr="003866D9">
        <w:rPr>
          <w:rFonts w:cs="Times New Roman"/>
          <w:bCs/>
          <w:szCs w:val="24"/>
          <w:vertAlign w:val="subscript"/>
          <w:lang w:val="it-IT"/>
        </w:rPr>
        <w:t>1</w:t>
      </w:r>
      <w:r w:rsidRPr="003866D9">
        <w:rPr>
          <w:rFonts w:cs="Times New Roman"/>
          <w:bCs/>
          <w:szCs w:val="24"/>
          <w:lang w:val="it-IT"/>
        </w:rPr>
        <w:t>+</w:t>
      </w:r>
      <w:r>
        <w:rPr>
          <w:rFonts w:cs="Times New Roman"/>
          <w:bCs/>
          <w:szCs w:val="24"/>
        </w:rPr>
        <w:t>β</w:t>
      </w:r>
      <w:r w:rsidRPr="003866D9">
        <w:rPr>
          <w:rFonts w:cs="Times New Roman"/>
          <w:bCs/>
          <w:szCs w:val="24"/>
          <w:vertAlign w:val="subscript"/>
          <w:lang w:val="it-IT"/>
        </w:rPr>
        <w:t>2</w:t>
      </w:r>
      <w:r w:rsidRPr="003866D9">
        <w:rPr>
          <w:rFonts w:cs="Times New Roman"/>
          <w:bCs/>
          <w:szCs w:val="24"/>
          <w:lang w:val="it-IT"/>
        </w:rPr>
        <w:t>X</w:t>
      </w:r>
      <w:r w:rsidRPr="003866D9">
        <w:rPr>
          <w:rFonts w:cs="Times New Roman"/>
          <w:bCs/>
          <w:szCs w:val="24"/>
          <w:vertAlign w:val="subscript"/>
          <w:lang w:val="it-IT"/>
        </w:rPr>
        <w:t>2</w:t>
      </w:r>
      <w:r w:rsidRPr="003866D9">
        <w:rPr>
          <w:rFonts w:cs="Times New Roman"/>
          <w:bCs/>
          <w:szCs w:val="24"/>
          <w:lang w:val="it-IT"/>
        </w:rPr>
        <w:t>+</w:t>
      </w:r>
      <w:r>
        <w:rPr>
          <w:rFonts w:cs="Times New Roman"/>
          <w:bCs/>
          <w:szCs w:val="24"/>
        </w:rPr>
        <w:t>β</w:t>
      </w:r>
      <w:r w:rsidRPr="003866D9">
        <w:rPr>
          <w:rFonts w:cs="Times New Roman"/>
          <w:bCs/>
          <w:szCs w:val="24"/>
          <w:vertAlign w:val="subscript"/>
          <w:lang w:val="it-IT"/>
        </w:rPr>
        <w:t>3</w:t>
      </w:r>
      <w:r w:rsidRPr="003866D9">
        <w:rPr>
          <w:rFonts w:cs="Times New Roman"/>
          <w:bCs/>
          <w:szCs w:val="24"/>
          <w:lang w:val="it-IT"/>
        </w:rPr>
        <w:t>X</w:t>
      </w:r>
      <w:r w:rsidRPr="003866D9">
        <w:rPr>
          <w:rFonts w:cs="Times New Roman"/>
          <w:bCs/>
          <w:szCs w:val="24"/>
          <w:vertAlign w:val="subscript"/>
          <w:lang w:val="it-IT"/>
        </w:rPr>
        <w:t>3</w:t>
      </w:r>
      <w:r w:rsidRPr="003866D9">
        <w:rPr>
          <w:rFonts w:cs="Times New Roman"/>
          <w:bCs/>
          <w:szCs w:val="24"/>
          <w:lang w:val="it-IT"/>
        </w:rPr>
        <w:t>+</w:t>
      </w:r>
      <w:r>
        <w:rPr>
          <w:rFonts w:cs="Times New Roman"/>
          <w:bCs/>
          <w:szCs w:val="24"/>
        </w:rPr>
        <w:t>β</w:t>
      </w:r>
      <w:r w:rsidRPr="003866D9">
        <w:rPr>
          <w:rFonts w:cs="Times New Roman"/>
          <w:bCs/>
          <w:szCs w:val="24"/>
          <w:vertAlign w:val="subscript"/>
          <w:lang w:val="it-IT"/>
        </w:rPr>
        <w:t>4</w:t>
      </w:r>
      <w:r w:rsidRPr="003866D9">
        <w:rPr>
          <w:rFonts w:cs="Times New Roman"/>
          <w:bCs/>
          <w:szCs w:val="24"/>
          <w:lang w:val="it-IT"/>
        </w:rPr>
        <w:t>X</w:t>
      </w:r>
      <w:r w:rsidRPr="003866D9">
        <w:rPr>
          <w:rFonts w:cs="Times New Roman"/>
          <w:bCs/>
          <w:szCs w:val="24"/>
          <w:vertAlign w:val="subscript"/>
          <w:lang w:val="it-IT"/>
        </w:rPr>
        <w:t>4</w:t>
      </w:r>
      <w:r w:rsidRPr="003866D9">
        <w:rPr>
          <w:rFonts w:cs="Times New Roman"/>
          <w:bCs/>
          <w:szCs w:val="24"/>
          <w:lang w:val="it-IT"/>
        </w:rPr>
        <w:t>+e</w:t>
      </w:r>
    </w:p>
    <w:p w14:paraId="5056B9EE" w14:textId="77777777" w:rsidR="009F33CD" w:rsidRDefault="00E40740">
      <w:pPr>
        <w:rPr>
          <w:rFonts w:cs="Times New Roman"/>
          <w:bCs/>
          <w:szCs w:val="24"/>
        </w:rPr>
      </w:pPr>
      <w:r>
        <w:rPr>
          <w:rFonts w:cs="Times New Roman"/>
          <w:bCs/>
          <w:szCs w:val="24"/>
        </w:rPr>
        <w:t>Where;</w:t>
      </w:r>
    </w:p>
    <w:p w14:paraId="2A27BC00" w14:textId="77777777" w:rsidR="009F33CD" w:rsidRDefault="00E40740">
      <w:pPr>
        <w:rPr>
          <w:rFonts w:cs="Times New Roman"/>
          <w:bCs/>
          <w:szCs w:val="24"/>
        </w:rPr>
      </w:pPr>
      <w:r>
        <w:rPr>
          <w:rFonts w:cs="Times New Roman"/>
          <w:bCs/>
          <w:szCs w:val="24"/>
        </w:rPr>
        <w:t>Y = Performance of devolved Healthcare Services, β</w:t>
      </w:r>
      <w:r>
        <w:rPr>
          <w:rFonts w:cs="Times New Roman"/>
          <w:bCs/>
          <w:szCs w:val="24"/>
          <w:vertAlign w:val="subscript"/>
        </w:rPr>
        <w:t>0</w:t>
      </w:r>
      <w:r>
        <w:rPr>
          <w:rFonts w:cs="Times New Roman"/>
          <w:bCs/>
          <w:szCs w:val="24"/>
        </w:rPr>
        <w:t>= Constant, β= regression co-efficient, X</w:t>
      </w:r>
      <w:r>
        <w:rPr>
          <w:rFonts w:cs="Times New Roman"/>
          <w:bCs/>
          <w:szCs w:val="24"/>
          <w:vertAlign w:val="subscript"/>
        </w:rPr>
        <w:t>1</w:t>
      </w:r>
      <w:r>
        <w:rPr>
          <w:rFonts w:cs="Times New Roman"/>
          <w:bCs/>
          <w:szCs w:val="24"/>
        </w:rPr>
        <w:t>= Green Employee Resourcing, X</w:t>
      </w:r>
      <w:r>
        <w:rPr>
          <w:rFonts w:cs="Times New Roman"/>
          <w:bCs/>
          <w:szCs w:val="24"/>
          <w:vertAlign w:val="subscript"/>
        </w:rPr>
        <w:t>2</w:t>
      </w:r>
      <w:r>
        <w:rPr>
          <w:rFonts w:cs="Times New Roman"/>
          <w:bCs/>
          <w:szCs w:val="24"/>
        </w:rPr>
        <w:t xml:space="preserve"> = green Training, X</w:t>
      </w:r>
      <w:r>
        <w:rPr>
          <w:rFonts w:cs="Times New Roman"/>
          <w:bCs/>
          <w:szCs w:val="24"/>
          <w:vertAlign w:val="subscript"/>
        </w:rPr>
        <w:t>3</w:t>
      </w:r>
      <w:r>
        <w:rPr>
          <w:rFonts w:cs="Times New Roman"/>
          <w:bCs/>
          <w:szCs w:val="24"/>
        </w:rPr>
        <w:t>= Green occupational safety and health, X</w:t>
      </w:r>
      <w:r>
        <w:rPr>
          <w:rFonts w:cs="Times New Roman"/>
          <w:bCs/>
          <w:szCs w:val="24"/>
          <w:vertAlign w:val="subscript"/>
        </w:rPr>
        <w:t>4</w:t>
      </w:r>
      <w:r>
        <w:rPr>
          <w:rFonts w:cs="Times New Roman"/>
          <w:bCs/>
          <w:szCs w:val="24"/>
        </w:rPr>
        <w:t xml:space="preserve"> = Green performance Evaluation and e= error term of the sample </w:t>
      </w:r>
    </w:p>
    <w:p w14:paraId="51640BFD" w14:textId="77777777" w:rsidR="009F33CD" w:rsidRDefault="00E40740">
      <w:pPr>
        <w:rPr>
          <w:rFonts w:cs="Times New Roman"/>
          <w:bCs/>
          <w:szCs w:val="24"/>
        </w:rPr>
      </w:pPr>
      <w:r>
        <w:rPr>
          <w:rFonts w:cs="Times New Roman"/>
          <w:bCs/>
          <w:szCs w:val="24"/>
        </w:rPr>
        <w:t xml:space="preserve">The result obtained from this multiple linear regression analysis of the model was applied to test the research hypothesis at a level of significance of 0.05. </w:t>
      </w:r>
      <w:bookmarkStart w:id="749" w:name="_Hlk184207990"/>
      <w:r>
        <w:rPr>
          <w:rFonts w:cs="Times New Roman"/>
          <w:szCs w:val="24"/>
        </w:rPr>
        <w:t>Analysis of Variance (ANOVA) was conducted to test the hypothesis and thus establish whether the whole model was a significant fit of the data.</w:t>
      </w:r>
      <w:bookmarkEnd w:id="749"/>
      <w:r>
        <w:rPr>
          <w:rFonts w:cs="Times New Roman"/>
          <w:szCs w:val="24"/>
        </w:rPr>
        <w:t xml:space="preserve"> ANOVA is a data analysis procedure that was applied to determine whether there were significant differences between two or more groups of samples at a selected probability level (Mugenda &amp; Mugenda, 2013). </w:t>
      </w:r>
      <w:r>
        <w:rPr>
          <w:rFonts w:cs="Times New Roman"/>
          <w:bCs/>
          <w:szCs w:val="24"/>
        </w:rPr>
        <w:t xml:space="preserve">In testing the hypothesis, the decision rule was to </w:t>
      </w:r>
      <w:r>
        <w:rPr>
          <w:rFonts w:cs="Times New Roman"/>
          <w:szCs w:val="24"/>
        </w:rPr>
        <w:t>Reject the Null Hypothesis if P- value ≤ 0.05 otherwise accept it if P is &gt; 0.05.</w:t>
      </w:r>
    </w:p>
    <w:p w14:paraId="062CC766" w14:textId="77777777" w:rsidR="009F33CD" w:rsidRDefault="00E40740" w:rsidP="00747714">
      <w:pPr>
        <w:pStyle w:val="Heading3"/>
      </w:pPr>
      <w:bookmarkStart w:id="750" w:name="_Toc178940573"/>
      <w:bookmarkStart w:id="751" w:name="_Toc178945023"/>
      <w:bookmarkStart w:id="752" w:name="_Toc178939618"/>
      <w:bookmarkStart w:id="753" w:name="_Toc178942614"/>
      <w:bookmarkStart w:id="754" w:name="_Toc165623582"/>
      <w:bookmarkStart w:id="755" w:name="_Toc165626363"/>
      <w:bookmarkStart w:id="756" w:name="_Toc178944271"/>
      <w:bookmarkStart w:id="757" w:name="_Toc187080831"/>
      <w:bookmarkStart w:id="758" w:name="_Toc188130616"/>
      <w:bookmarkStart w:id="759" w:name="_Toc185614061"/>
      <w:bookmarkStart w:id="760" w:name="_Toc188442589"/>
      <w:bookmarkStart w:id="761" w:name="_Toc188443963"/>
      <w:bookmarkStart w:id="762" w:name="_Toc224160653"/>
      <w:bookmarkStart w:id="763" w:name="_Toc224237714"/>
      <w:r>
        <w:t xml:space="preserve">3.10.8 </w:t>
      </w:r>
      <w:r w:rsidRPr="00747714">
        <w:t>Multiple</w:t>
      </w:r>
      <w:r>
        <w:t xml:space="preserve"> Linear Regression Analysis with </w:t>
      </w:r>
      <w:r w:rsidR="00747714">
        <w:t xml:space="preserve">Inclusion </w:t>
      </w:r>
      <w:r>
        <w:t>of the Moderat</w:t>
      </w:r>
      <w:bookmarkEnd w:id="750"/>
      <w:bookmarkEnd w:id="751"/>
      <w:bookmarkEnd w:id="752"/>
      <w:bookmarkEnd w:id="753"/>
      <w:bookmarkEnd w:id="754"/>
      <w:bookmarkEnd w:id="755"/>
      <w:bookmarkEnd w:id="756"/>
      <w:r>
        <w:t>ing Variable</w:t>
      </w:r>
      <w:bookmarkEnd w:id="757"/>
      <w:bookmarkEnd w:id="758"/>
      <w:bookmarkEnd w:id="759"/>
      <w:bookmarkEnd w:id="760"/>
      <w:bookmarkEnd w:id="761"/>
      <w:bookmarkEnd w:id="762"/>
      <w:bookmarkEnd w:id="763"/>
    </w:p>
    <w:p w14:paraId="7EEA4966" w14:textId="77777777" w:rsidR="009F33CD" w:rsidRDefault="00E40740">
      <w:pPr>
        <w:rPr>
          <w:rFonts w:cs="Times New Roman"/>
          <w:bCs/>
          <w:szCs w:val="24"/>
        </w:rPr>
      </w:pPr>
      <w:r>
        <w:rPr>
          <w:rFonts w:cs="Times New Roman"/>
          <w:bCs/>
          <w:szCs w:val="24"/>
        </w:rPr>
        <w:t xml:space="preserve">A moderating variable is a variable that affects the strength or direction of the relationship between an independent variable and a dependent variable (Saunders </w:t>
      </w:r>
      <w:r>
        <w:rPr>
          <w:rFonts w:cs="Times New Roman"/>
          <w:bCs/>
          <w:i/>
          <w:iCs/>
          <w:szCs w:val="24"/>
        </w:rPr>
        <w:t>et al</w:t>
      </w:r>
      <w:r>
        <w:rPr>
          <w:rFonts w:cs="Times New Roman"/>
          <w:bCs/>
          <w:szCs w:val="24"/>
        </w:rPr>
        <w:t xml:space="preserve">, 2019). Management style was </w:t>
      </w:r>
      <w:r w:rsidR="0095379A">
        <w:rPr>
          <w:rFonts w:cs="Times New Roman"/>
          <w:bCs/>
          <w:szCs w:val="24"/>
        </w:rPr>
        <w:t xml:space="preserve">introduced </w:t>
      </w:r>
      <w:r w:rsidR="0095379A">
        <w:rPr>
          <w:rFonts w:cs="Times New Roman"/>
          <w:bCs/>
          <w:szCs w:val="24"/>
          <w:lang w:val="en-US"/>
        </w:rPr>
        <w:t>into</w:t>
      </w:r>
      <w:r>
        <w:rPr>
          <w:rFonts w:cs="Times New Roman"/>
          <w:bCs/>
          <w:szCs w:val="24"/>
        </w:rPr>
        <w:t xml:space="preserve"> the model as the moderating variable. The analysis was conducted to determine the level of interaction between independent variables (GHRM practices) and dependent variables (performance of devolved healthcare services). The study model with the introduction of moderating variable (Z) took the following multiple linear regression form:</w:t>
      </w:r>
    </w:p>
    <w:p w14:paraId="7D0EDAD7" w14:textId="77777777" w:rsidR="009F33CD" w:rsidRDefault="00E40740">
      <w:pPr>
        <w:jc w:val="center"/>
        <w:rPr>
          <w:rFonts w:cs="Times New Roman"/>
          <w:bCs/>
          <w:szCs w:val="24"/>
        </w:rPr>
      </w:pPr>
      <w:r>
        <w:rPr>
          <w:rFonts w:cs="Times New Roman"/>
          <w:bCs/>
          <w:szCs w:val="24"/>
        </w:rPr>
        <w:t>Yi = β</w:t>
      </w:r>
      <w:r>
        <w:rPr>
          <w:rFonts w:cs="Times New Roman"/>
          <w:bCs/>
          <w:szCs w:val="24"/>
          <w:vertAlign w:val="subscript"/>
        </w:rPr>
        <w:t>0</w:t>
      </w:r>
      <w:r>
        <w:rPr>
          <w:rFonts w:cs="Times New Roman"/>
          <w:bCs/>
          <w:szCs w:val="24"/>
        </w:rPr>
        <w:t>+β</w:t>
      </w:r>
      <w:r>
        <w:rPr>
          <w:rFonts w:cs="Times New Roman"/>
          <w:bCs/>
          <w:szCs w:val="24"/>
          <w:vertAlign w:val="subscript"/>
        </w:rPr>
        <w:t>1</w:t>
      </w:r>
      <w:r>
        <w:rPr>
          <w:rFonts w:cs="Times New Roman"/>
          <w:bCs/>
          <w:szCs w:val="24"/>
        </w:rPr>
        <w:t>X</w:t>
      </w:r>
      <w:r>
        <w:rPr>
          <w:rFonts w:cs="Times New Roman"/>
          <w:bCs/>
          <w:szCs w:val="24"/>
          <w:vertAlign w:val="subscript"/>
        </w:rPr>
        <w:t>1</w:t>
      </w:r>
      <w:r>
        <w:rPr>
          <w:rFonts w:cs="Times New Roman"/>
          <w:bCs/>
          <w:szCs w:val="24"/>
        </w:rPr>
        <w:t>+β</w:t>
      </w:r>
      <w:r>
        <w:rPr>
          <w:rFonts w:cs="Times New Roman"/>
          <w:bCs/>
          <w:szCs w:val="24"/>
          <w:vertAlign w:val="subscript"/>
        </w:rPr>
        <w:t>2</w:t>
      </w:r>
      <w:r>
        <w:rPr>
          <w:rFonts w:cs="Times New Roman"/>
          <w:bCs/>
          <w:szCs w:val="24"/>
        </w:rPr>
        <w:t>X</w:t>
      </w:r>
      <w:r>
        <w:rPr>
          <w:rFonts w:cs="Times New Roman"/>
          <w:bCs/>
          <w:szCs w:val="24"/>
          <w:vertAlign w:val="subscript"/>
        </w:rPr>
        <w:t>2</w:t>
      </w:r>
      <w:r>
        <w:rPr>
          <w:rFonts w:cs="Times New Roman"/>
          <w:bCs/>
          <w:szCs w:val="24"/>
        </w:rPr>
        <w:t>+β</w:t>
      </w:r>
      <w:r>
        <w:rPr>
          <w:rFonts w:cs="Times New Roman"/>
          <w:bCs/>
          <w:szCs w:val="24"/>
          <w:vertAlign w:val="subscript"/>
        </w:rPr>
        <w:t>3</w:t>
      </w:r>
      <w:r>
        <w:rPr>
          <w:rFonts w:cs="Times New Roman"/>
          <w:bCs/>
          <w:szCs w:val="24"/>
        </w:rPr>
        <w:t>X</w:t>
      </w:r>
      <w:r>
        <w:rPr>
          <w:rFonts w:cs="Times New Roman"/>
          <w:bCs/>
          <w:szCs w:val="24"/>
          <w:vertAlign w:val="subscript"/>
        </w:rPr>
        <w:t>3</w:t>
      </w:r>
      <w:r>
        <w:rPr>
          <w:rFonts w:cs="Times New Roman"/>
          <w:bCs/>
          <w:szCs w:val="24"/>
        </w:rPr>
        <w:t>+β</w:t>
      </w:r>
      <w:r>
        <w:rPr>
          <w:rFonts w:cs="Times New Roman"/>
          <w:bCs/>
          <w:szCs w:val="24"/>
          <w:vertAlign w:val="subscript"/>
        </w:rPr>
        <w:t>4</w:t>
      </w:r>
      <w:r>
        <w:rPr>
          <w:rFonts w:cs="Times New Roman"/>
          <w:bCs/>
          <w:szCs w:val="24"/>
        </w:rPr>
        <w:t>X</w:t>
      </w:r>
      <w:r>
        <w:rPr>
          <w:rFonts w:cs="Times New Roman"/>
          <w:bCs/>
          <w:szCs w:val="24"/>
          <w:vertAlign w:val="subscript"/>
        </w:rPr>
        <w:t>4</w:t>
      </w:r>
      <w:r>
        <w:rPr>
          <w:rFonts w:cs="Times New Roman"/>
          <w:bCs/>
          <w:szCs w:val="24"/>
        </w:rPr>
        <w:t>+β</w:t>
      </w:r>
      <w:r>
        <w:rPr>
          <w:rFonts w:cs="Times New Roman"/>
          <w:bCs/>
          <w:szCs w:val="24"/>
          <w:vertAlign w:val="subscript"/>
        </w:rPr>
        <w:t>5</w:t>
      </w:r>
      <w:r>
        <w:rPr>
          <w:rFonts w:cs="Times New Roman"/>
          <w:bCs/>
          <w:szCs w:val="24"/>
        </w:rPr>
        <w:t>Z+ β</w:t>
      </w:r>
      <w:r>
        <w:rPr>
          <w:rFonts w:cs="Times New Roman"/>
          <w:bCs/>
          <w:szCs w:val="24"/>
          <w:vertAlign w:val="subscript"/>
        </w:rPr>
        <w:t>6</w:t>
      </w:r>
      <w:r>
        <w:rPr>
          <w:rFonts w:cs="Times New Roman"/>
          <w:bCs/>
          <w:szCs w:val="24"/>
        </w:rPr>
        <w:t>X</w:t>
      </w:r>
      <w:r>
        <w:rPr>
          <w:rFonts w:cs="Times New Roman"/>
          <w:bCs/>
          <w:szCs w:val="24"/>
          <w:vertAlign w:val="subscript"/>
        </w:rPr>
        <w:t xml:space="preserve">1 </w:t>
      </w:r>
      <w:r>
        <w:rPr>
          <w:rFonts w:cs="Times New Roman"/>
          <w:bCs/>
          <w:szCs w:val="24"/>
        </w:rPr>
        <w:t>Z+β</w:t>
      </w:r>
      <w:r>
        <w:rPr>
          <w:rFonts w:cs="Times New Roman"/>
          <w:bCs/>
          <w:szCs w:val="24"/>
          <w:vertAlign w:val="subscript"/>
        </w:rPr>
        <w:t>7</w:t>
      </w:r>
      <w:r>
        <w:rPr>
          <w:rFonts w:cs="Times New Roman"/>
          <w:bCs/>
          <w:szCs w:val="24"/>
        </w:rPr>
        <w:t>X</w:t>
      </w:r>
      <w:r>
        <w:rPr>
          <w:rFonts w:cs="Times New Roman"/>
          <w:bCs/>
          <w:szCs w:val="24"/>
          <w:vertAlign w:val="subscript"/>
        </w:rPr>
        <w:t>2</w:t>
      </w:r>
      <w:r>
        <w:rPr>
          <w:rFonts w:cs="Times New Roman"/>
          <w:bCs/>
          <w:szCs w:val="24"/>
        </w:rPr>
        <w:t>Z+β</w:t>
      </w:r>
      <w:r>
        <w:rPr>
          <w:rFonts w:cs="Times New Roman"/>
          <w:bCs/>
          <w:szCs w:val="24"/>
          <w:vertAlign w:val="subscript"/>
        </w:rPr>
        <w:t>8</w:t>
      </w:r>
      <w:r>
        <w:rPr>
          <w:rFonts w:cs="Times New Roman"/>
          <w:bCs/>
          <w:szCs w:val="24"/>
        </w:rPr>
        <w:t>X</w:t>
      </w:r>
      <w:r>
        <w:rPr>
          <w:rFonts w:cs="Times New Roman"/>
          <w:bCs/>
          <w:szCs w:val="24"/>
          <w:vertAlign w:val="subscript"/>
        </w:rPr>
        <w:t>3</w:t>
      </w:r>
      <w:r>
        <w:rPr>
          <w:rFonts w:cs="Times New Roman"/>
          <w:bCs/>
          <w:szCs w:val="24"/>
        </w:rPr>
        <w:t>Z+β</w:t>
      </w:r>
      <w:r>
        <w:rPr>
          <w:rFonts w:cs="Times New Roman"/>
          <w:bCs/>
          <w:szCs w:val="24"/>
          <w:vertAlign w:val="subscript"/>
        </w:rPr>
        <w:t>9</w:t>
      </w:r>
      <w:r>
        <w:rPr>
          <w:rFonts w:cs="Times New Roman"/>
          <w:bCs/>
          <w:szCs w:val="24"/>
        </w:rPr>
        <w:t>X</w:t>
      </w:r>
      <w:r>
        <w:rPr>
          <w:rFonts w:cs="Times New Roman"/>
          <w:bCs/>
          <w:szCs w:val="24"/>
          <w:vertAlign w:val="subscript"/>
        </w:rPr>
        <w:t>4</w:t>
      </w:r>
      <w:r>
        <w:rPr>
          <w:rFonts w:cs="Times New Roman"/>
          <w:bCs/>
          <w:szCs w:val="24"/>
        </w:rPr>
        <w:t>Z+e</w:t>
      </w:r>
    </w:p>
    <w:p w14:paraId="3DEE75FF" w14:textId="77777777" w:rsidR="009F33CD" w:rsidRDefault="00E40740">
      <w:pPr>
        <w:rPr>
          <w:rFonts w:cs="Times New Roman"/>
          <w:bCs/>
          <w:szCs w:val="24"/>
        </w:rPr>
      </w:pPr>
      <w:r>
        <w:rPr>
          <w:rFonts w:cs="Times New Roman"/>
          <w:bCs/>
          <w:szCs w:val="24"/>
        </w:rPr>
        <w:t>Where;</w:t>
      </w:r>
    </w:p>
    <w:p w14:paraId="00319646" w14:textId="77777777" w:rsidR="009F33CD" w:rsidRDefault="00E40740">
      <w:pPr>
        <w:rPr>
          <w:rFonts w:cs="Times New Roman"/>
          <w:bCs/>
          <w:szCs w:val="24"/>
        </w:rPr>
      </w:pPr>
      <w:r>
        <w:rPr>
          <w:rFonts w:cs="Times New Roman"/>
          <w:bCs/>
          <w:szCs w:val="24"/>
        </w:rPr>
        <w:lastRenderedPageBreak/>
        <w:t>Yi = Performance of devolved healthcare services, β</w:t>
      </w:r>
      <w:r>
        <w:rPr>
          <w:rFonts w:cs="Times New Roman"/>
          <w:bCs/>
          <w:szCs w:val="24"/>
          <w:vertAlign w:val="subscript"/>
        </w:rPr>
        <w:t>0</w:t>
      </w:r>
      <w:r>
        <w:rPr>
          <w:rFonts w:cs="Times New Roman"/>
          <w:bCs/>
          <w:szCs w:val="24"/>
        </w:rPr>
        <w:t>= Constant, β=regression co-efficient, X</w:t>
      </w:r>
      <w:r>
        <w:rPr>
          <w:rFonts w:cs="Times New Roman"/>
          <w:bCs/>
          <w:szCs w:val="24"/>
          <w:vertAlign w:val="subscript"/>
        </w:rPr>
        <w:t>1</w:t>
      </w:r>
      <w:r>
        <w:rPr>
          <w:rFonts w:cs="Times New Roman"/>
          <w:bCs/>
          <w:szCs w:val="24"/>
        </w:rPr>
        <w:t>= Green employee Resourcing, X</w:t>
      </w:r>
      <w:r>
        <w:rPr>
          <w:rFonts w:cs="Times New Roman"/>
          <w:bCs/>
          <w:szCs w:val="24"/>
          <w:vertAlign w:val="subscript"/>
        </w:rPr>
        <w:t>2</w:t>
      </w:r>
      <w:r>
        <w:rPr>
          <w:rFonts w:cs="Times New Roman"/>
          <w:bCs/>
          <w:szCs w:val="24"/>
        </w:rPr>
        <w:t xml:space="preserve"> = Green Training, X</w:t>
      </w:r>
      <w:r>
        <w:rPr>
          <w:rFonts w:cs="Times New Roman"/>
          <w:bCs/>
          <w:szCs w:val="24"/>
          <w:vertAlign w:val="subscript"/>
        </w:rPr>
        <w:t>3</w:t>
      </w:r>
      <w:r>
        <w:rPr>
          <w:rFonts w:cs="Times New Roman"/>
          <w:bCs/>
          <w:szCs w:val="24"/>
        </w:rPr>
        <w:t>= Green Occupational Safety and health, X</w:t>
      </w:r>
      <w:r>
        <w:rPr>
          <w:rFonts w:cs="Times New Roman"/>
          <w:bCs/>
          <w:szCs w:val="24"/>
          <w:vertAlign w:val="subscript"/>
        </w:rPr>
        <w:t>4</w:t>
      </w:r>
      <w:r>
        <w:rPr>
          <w:rFonts w:cs="Times New Roman"/>
          <w:bCs/>
          <w:szCs w:val="24"/>
        </w:rPr>
        <w:t xml:space="preserve"> = Green performance Evaluation, Z = Management style, and e= error term of the sample as a result of other factors unexplained by the explanatory variables. </w:t>
      </w:r>
    </w:p>
    <w:p w14:paraId="095EBEB8" w14:textId="77777777" w:rsidR="009F33CD" w:rsidRDefault="00E40740">
      <w:pPr>
        <w:rPr>
          <w:rFonts w:cs="Times New Roman"/>
          <w:bCs/>
          <w:szCs w:val="24"/>
        </w:rPr>
      </w:pPr>
      <w:r>
        <w:rPr>
          <w:rFonts w:cs="Times New Roman"/>
          <w:bCs/>
          <w:szCs w:val="24"/>
        </w:rPr>
        <w:t xml:space="preserve">From this equation, the interaction effect between X and Z measured the moderation effect. The moderator variable (if found to be significant) can cause an amplifying or weakening effect between X and Y. The result obtained from the multiple linear regression analysis of the model was applied to test the research hypothesis at a level of significance of 0.05. Analysis of Variance (ANOVA) was conducted to test the hypothesis and thus establish whether the whole model was a significant fit of the data. </w:t>
      </w:r>
      <w:r>
        <w:rPr>
          <w:rFonts w:cs="Times New Roman"/>
          <w:szCs w:val="24"/>
        </w:rPr>
        <w:t xml:space="preserve">ANOVA is a data analysis procedure that was applied to determine whether there were significant differences between two or more groups of samples at a selected probability level (Mugenda &amp; Mugenda, 2013). </w:t>
      </w:r>
      <w:r>
        <w:rPr>
          <w:rFonts w:cs="Times New Roman"/>
          <w:bCs/>
          <w:szCs w:val="24"/>
        </w:rPr>
        <w:t xml:space="preserve">In testing the hypothesis, the decision rule was to </w:t>
      </w:r>
      <w:r>
        <w:rPr>
          <w:rFonts w:cs="Times New Roman"/>
          <w:szCs w:val="24"/>
        </w:rPr>
        <w:t>Reject the Null Hypothesis if P- value ≤ 0.05 otherwise accept it if P is &gt; 0.05.</w:t>
      </w:r>
      <w:r>
        <w:rPr>
          <w:rFonts w:cs="Times New Roman"/>
          <w:bCs/>
          <w:szCs w:val="24"/>
        </w:rPr>
        <w:t xml:space="preserve">  The study hypothesized that;</w:t>
      </w:r>
    </w:p>
    <w:p w14:paraId="12C750AB" w14:textId="77777777" w:rsidR="009F33CD" w:rsidRDefault="00E40740">
      <w:pPr>
        <w:rPr>
          <w:rFonts w:cs="Times New Roman"/>
          <w:b/>
          <w:bCs/>
          <w:szCs w:val="24"/>
        </w:rPr>
      </w:pPr>
      <w:r>
        <w:rPr>
          <w:rFonts w:cs="Times New Roman"/>
          <w:b/>
          <w:bCs/>
          <w:szCs w:val="24"/>
        </w:rPr>
        <w:t>H</w:t>
      </w:r>
      <w:r>
        <w:rPr>
          <w:rFonts w:cs="Times New Roman"/>
          <w:b/>
          <w:bCs/>
          <w:szCs w:val="24"/>
          <w:vertAlign w:val="subscript"/>
        </w:rPr>
        <w:t>05</w:t>
      </w:r>
      <w:r>
        <w:rPr>
          <w:rFonts w:cs="Times New Roman"/>
          <w:b/>
          <w:bCs/>
          <w:szCs w:val="24"/>
        </w:rPr>
        <w:t xml:space="preserve">: </w:t>
      </w:r>
      <w:r>
        <w:rPr>
          <w:rFonts w:cs="Times New Roman"/>
          <w:bCs/>
          <w:szCs w:val="24"/>
        </w:rPr>
        <w:t>Management style has no significant moderating effect on the relationship between GHRM practices and performance of devolved healthcare services in Kenya.</w:t>
      </w:r>
    </w:p>
    <w:p w14:paraId="036E7E57" w14:textId="77777777" w:rsidR="009F33CD" w:rsidRDefault="00E40740">
      <w:pPr>
        <w:rPr>
          <w:rFonts w:cs="Times New Roman"/>
          <w:szCs w:val="24"/>
        </w:rPr>
      </w:pPr>
      <w:r>
        <w:rPr>
          <w:rFonts w:cs="Times New Roman"/>
          <w:szCs w:val="24"/>
        </w:rPr>
        <w:br w:type="page"/>
      </w:r>
    </w:p>
    <w:p w14:paraId="40F18C1C" w14:textId="77777777" w:rsidR="009F33CD" w:rsidRDefault="00E40740">
      <w:pPr>
        <w:pStyle w:val="Heading6"/>
        <w:spacing w:before="0" w:beforeAutospacing="0" w:line="240" w:lineRule="auto"/>
        <w:rPr>
          <w:rFonts w:cs="Times New Roman"/>
          <w:szCs w:val="24"/>
        </w:rPr>
      </w:pPr>
      <w:bookmarkStart w:id="764" w:name="_Toc139980669"/>
      <w:bookmarkStart w:id="765" w:name="_Toc147946881"/>
      <w:bookmarkStart w:id="766" w:name="_Toc139987468"/>
      <w:bookmarkStart w:id="767" w:name="_Toc147950220"/>
      <w:bookmarkStart w:id="768" w:name="_Toc139986441"/>
      <w:bookmarkStart w:id="769" w:name="_Toc139981642"/>
      <w:bookmarkStart w:id="770" w:name="_Toc178942615"/>
      <w:bookmarkStart w:id="771" w:name="_Toc185614062"/>
      <w:bookmarkStart w:id="772" w:name="_Toc165623583"/>
      <w:bookmarkStart w:id="773" w:name="_Toc178945024"/>
      <w:bookmarkStart w:id="774" w:name="_Toc178944272"/>
      <w:bookmarkStart w:id="775" w:name="_Toc178939619"/>
      <w:bookmarkStart w:id="776" w:name="_Toc165626364"/>
      <w:bookmarkStart w:id="777" w:name="_Toc178940574"/>
      <w:bookmarkStart w:id="778" w:name="_Toc187080832"/>
      <w:bookmarkStart w:id="779" w:name="_Toc224237429"/>
      <w:r>
        <w:rPr>
          <w:rFonts w:cs="Times New Roman"/>
          <w:szCs w:val="24"/>
        </w:rPr>
        <w:lastRenderedPageBreak/>
        <w:t>Table 3.2: Summary of Study Variables</w:t>
      </w:r>
      <w:bookmarkEnd w:id="764"/>
      <w:bookmarkEnd w:id="765"/>
      <w:bookmarkEnd w:id="766"/>
      <w:bookmarkEnd w:id="767"/>
      <w:bookmarkEnd w:id="768"/>
      <w:bookmarkEnd w:id="769"/>
      <w:r>
        <w:rPr>
          <w:rFonts w:cs="Times New Roman"/>
          <w:szCs w:val="24"/>
        </w:rPr>
        <w:t xml:space="preserve"> Analyses</w:t>
      </w:r>
      <w:bookmarkEnd w:id="770"/>
      <w:bookmarkEnd w:id="771"/>
      <w:bookmarkEnd w:id="772"/>
      <w:bookmarkEnd w:id="773"/>
      <w:bookmarkEnd w:id="774"/>
      <w:bookmarkEnd w:id="775"/>
      <w:bookmarkEnd w:id="776"/>
      <w:bookmarkEnd w:id="777"/>
      <w:bookmarkEnd w:id="778"/>
      <w:bookmarkEnd w:id="779"/>
      <w:r>
        <w:rPr>
          <w:rFonts w:cs="Times New Roman"/>
          <w:szCs w:val="24"/>
        </w:rPr>
        <w:t xml:space="preserve"> </w:t>
      </w:r>
    </w:p>
    <w:tbl>
      <w:tblPr>
        <w:tblStyle w:val="LightShading111"/>
        <w:tblpPr w:leftFromText="180" w:rightFromText="180" w:vertAnchor="text" w:tblpY="1"/>
        <w:tblOverlap w:val="never"/>
        <w:tblW w:w="5057" w:type="pct"/>
        <w:tblBorders>
          <w:top w:val="single" w:sz="4" w:space="0" w:color="auto"/>
          <w:bottom w:val="single" w:sz="4" w:space="0" w:color="auto"/>
        </w:tblBorders>
        <w:tblLayout w:type="fixed"/>
        <w:tblLook w:val="04A0" w:firstRow="1" w:lastRow="0" w:firstColumn="1" w:lastColumn="0" w:noHBand="0" w:noVBand="1"/>
      </w:tblPr>
      <w:tblGrid>
        <w:gridCol w:w="679"/>
        <w:gridCol w:w="1708"/>
        <w:gridCol w:w="1797"/>
        <w:gridCol w:w="1651"/>
        <w:gridCol w:w="2479"/>
      </w:tblGrid>
      <w:tr w:rsidR="009F33CD" w:rsidRPr="008515FF" w14:paraId="0667C399" w14:textId="77777777" w:rsidTr="00B322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Borders>
              <w:top w:val="single" w:sz="4" w:space="0" w:color="auto"/>
              <w:left w:val="none" w:sz="0" w:space="0" w:color="auto"/>
              <w:bottom w:val="single" w:sz="4" w:space="0" w:color="auto"/>
              <w:right w:val="none" w:sz="0" w:space="0" w:color="auto"/>
            </w:tcBorders>
          </w:tcPr>
          <w:p w14:paraId="0D98EEB8" w14:textId="77777777" w:rsidR="009F33CD" w:rsidRPr="008515FF" w:rsidRDefault="00E40740">
            <w:pPr>
              <w:spacing w:before="0" w:beforeAutospacing="0" w:after="0" w:afterAutospacing="0" w:line="240" w:lineRule="auto"/>
              <w:jc w:val="left"/>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S/No</w:t>
            </w:r>
          </w:p>
        </w:tc>
        <w:tc>
          <w:tcPr>
            <w:tcW w:w="1027" w:type="pct"/>
            <w:tcBorders>
              <w:top w:val="single" w:sz="4" w:space="0" w:color="auto"/>
              <w:left w:val="none" w:sz="0" w:space="0" w:color="auto"/>
              <w:bottom w:val="single" w:sz="4" w:space="0" w:color="auto"/>
              <w:right w:val="none" w:sz="0" w:space="0" w:color="auto"/>
            </w:tcBorders>
            <w:noWrap/>
          </w:tcPr>
          <w:p w14:paraId="3F0AD13A" w14:textId="77777777" w:rsidR="009F33CD" w:rsidRPr="008515FF" w:rsidRDefault="00E40740">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Objective</w:t>
            </w:r>
          </w:p>
        </w:tc>
        <w:tc>
          <w:tcPr>
            <w:tcW w:w="1081" w:type="pct"/>
            <w:tcBorders>
              <w:top w:val="single" w:sz="4" w:space="0" w:color="auto"/>
              <w:left w:val="none" w:sz="0" w:space="0" w:color="auto"/>
              <w:bottom w:val="single" w:sz="4" w:space="0" w:color="auto"/>
              <w:right w:val="none" w:sz="0" w:space="0" w:color="auto"/>
            </w:tcBorders>
          </w:tcPr>
          <w:p w14:paraId="1D096362" w14:textId="77777777" w:rsidR="009F33CD" w:rsidRPr="008515FF" w:rsidRDefault="00E40740">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Hypothesis</w:t>
            </w:r>
          </w:p>
        </w:tc>
        <w:tc>
          <w:tcPr>
            <w:tcW w:w="993" w:type="pct"/>
            <w:tcBorders>
              <w:top w:val="single" w:sz="4" w:space="0" w:color="auto"/>
              <w:left w:val="none" w:sz="0" w:space="0" w:color="auto"/>
              <w:bottom w:val="single" w:sz="4" w:space="0" w:color="auto"/>
              <w:right w:val="none" w:sz="0" w:space="0" w:color="auto"/>
            </w:tcBorders>
          </w:tcPr>
          <w:p w14:paraId="0C365AC1" w14:textId="77777777" w:rsidR="009F33CD" w:rsidRPr="008515FF" w:rsidRDefault="00E40740">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Data Required</w:t>
            </w:r>
          </w:p>
        </w:tc>
        <w:tc>
          <w:tcPr>
            <w:tcW w:w="1491" w:type="pct"/>
            <w:tcBorders>
              <w:top w:val="single" w:sz="4" w:space="0" w:color="auto"/>
              <w:left w:val="none" w:sz="0" w:space="0" w:color="auto"/>
              <w:bottom w:val="single" w:sz="4" w:space="0" w:color="auto"/>
              <w:right w:val="none" w:sz="0" w:space="0" w:color="auto"/>
            </w:tcBorders>
          </w:tcPr>
          <w:p w14:paraId="1C4461C7" w14:textId="77777777" w:rsidR="009F33CD" w:rsidRPr="008515FF" w:rsidRDefault="00E40740">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Analytical tools</w:t>
            </w:r>
          </w:p>
        </w:tc>
      </w:tr>
      <w:tr w:rsidR="009F33CD" w:rsidRPr="008515FF" w14:paraId="6B473480" w14:textId="77777777" w:rsidTr="00B32251">
        <w:trPr>
          <w:trHeight w:val="20"/>
        </w:trPr>
        <w:tc>
          <w:tcPr>
            <w:cnfStyle w:val="001000000000" w:firstRow="0" w:lastRow="0" w:firstColumn="1" w:lastColumn="0" w:oddVBand="0" w:evenVBand="0" w:oddHBand="0" w:evenHBand="0" w:firstRowFirstColumn="0" w:firstRowLastColumn="0" w:lastRowFirstColumn="0" w:lastRowLastColumn="0"/>
            <w:tcW w:w="408" w:type="pct"/>
            <w:tcBorders>
              <w:top w:val="single" w:sz="4" w:space="0" w:color="auto"/>
            </w:tcBorders>
          </w:tcPr>
          <w:p w14:paraId="55C76FD1" w14:textId="77777777" w:rsidR="009F33CD" w:rsidRPr="008515FF" w:rsidRDefault="00E40740">
            <w:pPr>
              <w:spacing w:before="0" w:beforeAutospacing="0" w:after="0" w:afterAutospacing="0" w:line="240" w:lineRule="auto"/>
              <w:jc w:val="left"/>
              <w:rPr>
                <w:rFonts w:ascii="Times New Roman" w:eastAsia="Times New Roman" w:hAnsi="Times New Roman" w:cs="Times New Roman"/>
                <w:b w:val="0"/>
                <w:color w:val="auto"/>
                <w:sz w:val="20"/>
              </w:rPr>
            </w:pPr>
            <w:r w:rsidRPr="008515FF">
              <w:rPr>
                <w:rFonts w:ascii="Times New Roman" w:eastAsia="Times New Roman" w:hAnsi="Times New Roman" w:cs="Times New Roman"/>
                <w:color w:val="auto"/>
                <w:sz w:val="20"/>
              </w:rPr>
              <w:t>(i)</w:t>
            </w:r>
          </w:p>
        </w:tc>
        <w:tc>
          <w:tcPr>
            <w:tcW w:w="1027" w:type="pct"/>
            <w:tcBorders>
              <w:top w:val="single" w:sz="4" w:space="0" w:color="auto"/>
            </w:tcBorders>
            <w:noWrap/>
          </w:tcPr>
          <w:p w14:paraId="5F197758" w14:textId="77777777" w:rsidR="009F33CD" w:rsidRPr="008515FF" w:rsidRDefault="00E40740" w:rsidP="00747714">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To determine effect of green employee resourcing on performance of devolved healthcare services in Kenya.</w:t>
            </w:r>
          </w:p>
        </w:tc>
        <w:tc>
          <w:tcPr>
            <w:tcW w:w="1081" w:type="pct"/>
            <w:tcBorders>
              <w:top w:val="single" w:sz="4" w:space="0" w:color="auto"/>
            </w:tcBorders>
          </w:tcPr>
          <w:p w14:paraId="6F0463AD" w14:textId="77777777" w:rsidR="009F33CD" w:rsidRPr="008515FF" w:rsidRDefault="00E40740">
            <w:pPr>
              <w:tabs>
                <w:tab w:val="decimal" w:pos="360"/>
              </w:tabs>
              <w:autoSpaceDE/>
              <w:autoSpaceDN/>
              <w:adjustRightInd/>
              <w:spacing w:before="0" w:beforeAutospacing="0" w:after="20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rPr>
            </w:pPr>
            <w:r w:rsidRPr="008515FF">
              <w:rPr>
                <w:rFonts w:ascii="Times New Roman" w:eastAsia="Times New Roman" w:hAnsi="Times New Roman" w:cs="Times New Roman"/>
                <w:b/>
                <w:bCs/>
                <w:color w:val="auto"/>
                <w:sz w:val="20"/>
              </w:rPr>
              <w:t>H</w:t>
            </w:r>
            <w:r w:rsidRPr="008515FF">
              <w:rPr>
                <w:rFonts w:ascii="Times New Roman" w:eastAsia="Times New Roman" w:hAnsi="Times New Roman" w:cs="Times New Roman"/>
                <w:b/>
                <w:bCs/>
                <w:color w:val="auto"/>
                <w:sz w:val="20"/>
                <w:vertAlign w:val="subscript"/>
              </w:rPr>
              <w:t>01</w:t>
            </w:r>
            <w:r w:rsidRPr="008515FF">
              <w:rPr>
                <w:rFonts w:ascii="Times New Roman" w:eastAsiaTheme="minorEastAsia" w:hAnsi="Times New Roman" w:cs="Times New Roman"/>
                <w:b/>
                <w:color w:val="auto"/>
                <w:sz w:val="20"/>
              </w:rPr>
              <w:t>:</w:t>
            </w:r>
            <w:r w:rsidRPr="008515FF">
              <w:rPr>
                <w:rFonts w:ascii="Times New Roman" w:eastAsiaTheme="minorEastAsia" w:hAnsi="Times New Roman" w:cs="Times New Roman"/>
                <w:color w:val="auto"/>
                <w:sz w:val="20"/>
              </w:rPr>
              <w:t xml:space="preserve"> Green employee resourcing has no significant effect on performance of devolved healthcare services in Kenya.</w:t>
            </w:r>
          </w:p>
        </w:tc>
        <w:tc>
          <w:tcPr>
            <w:tcW w:w="993" w:type="pct"/>
            <w:tcBorders>
              <w:top w:val="single" w:sz="4" w:space="0" w:color="auto"/>
            </w:tcBorders>
          </w:tcPr>
          <w:p w14:paraId="1670D597"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Data on green employee resourcing on performance of devolved healthcare services in Kenya</w:t>
            </w:r>
          </w:p>
        </w:tc>
        <w:tc>
          <w:tcPr>
            <w:tcW w:w="1491" w:type="pct"/>
            <w:tcBorders>
              <w:top w:val="single" w:sz="4" w:space="0" w:color="auto"/>
            </w:tcBorders>
          </w:tcPr>
          <w:p w14:paraId="01BED182"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Frequencies, means, Standard Deviation, Pearson’s Correlation Coeff., Simple Linear Regression analysis</w:t>
            </w:r>
            <w:r w:rsidR="007F7E1C">
              <w:rPr>
                <w:rFonts w:ascii="Times New Roman" w:eastAsia="Times New Roman" w:hAnsi="Times New Roman" w:cs="Times New Roman"/>
                <w:color w:val="auto"/>
                <w:sz w:val="20"/>
              </w:rPr>
              <w:t xml:space="preserve">. </w:t>
            </w:r>
            <w:r w:rsidRPr="008515FF">
              <w:rPr>
                <w:rFonts w:ascii="Times New Roman" w:eastAsia="Times New Roman" w:hAnsi="Times New Roman" w:cs="Times New Roman"/>
                <w:b/>
                <w:color w:val="auto"/>
                <w:sz w:val="20"/>
              </w:rPr>
              <w:t>Y = β</w:t>
            </w:r>
            <w:r w:rsidRPr="008515FF">
              <w:rPr>
                <w:rFonts w:ascii="Times New Roman" w:eastAsia="Times New Roman" w:hAnsi="Times New Roman" w:cs="Times New Roman"/>
                <w:b/>
                <w:color w:val="auto"/>
                <w:sz w:val="20"/>
                <w:vertAlign w:val="subscript"/>
              </w:rPr>
              <w:t>0</w:t>
            </w:r>
            <w:r w:rsidRPr="008515FF">
              <w:rPr>
                <w:rFonts w:ascii="Times New Roman" w:eastAsia="Times New Roman" w:hAnsi="Times New Roman" w:cs="Times New Roman"/>
                <w:b/>
                <w:color w:val="auto"/>
                <w:sz w:val="20"/>
              </w:rPr>
              <w:t>+β</w:t>
            </w:r>
            <w:r w:rsidRPr="008515FF">
              <w:rPr>
                <w:rFonts w:ascii="Times New Roman" w:eastAsia="Times New Roman" w:hAnsi="Times New Roman" w:cs="Times New Roman"/>
                <w:b/>
                <w:bCs/>
                <w:color w:val="auto"/>
                <w:sz w:val="20"/>
                <w:vertAlign w:val="subscript"/>
              </w:rPr>
              <w:t>1</w:t>
            </w:r>
            <w:r w:rsidRPr="008515FF">
              <w:rPr>
                <w:rFonts w:ascii="Times New Roman" w:eastAsia="Times New Roman" w:hAnsi="Times New Roman" w:cs="Times New Roman"/>
                <w:b/>
                <w:color w:val="auto"/>
                <w:sz w:val="20"/>
              </w:rPr>
              <w:t>X</w:t>
            </w:r>
            <w:r w:rsidRPr="008515FF">
              <w:rPr>
                <w:rFonts w:ascii="Times New Roman" w:eastAsia="Times New Roman" w:hAnsi="Times New Roman" w:cs="Times New Roman"/>
                <w:b/>
                <w:color w:val="auto"/>
                <w:sz w:val="20"/>
                <w:vertAlign w:val="subscript"/>
              </w:rPr>
              <w:t>1</w:t>
            </w:r>
            <w:r w:rsidRPr="008515FF">
              <w:rPr>
                <w:rFonts w:ascii="Times New Roman" w:eastAsia="Times New Roman" w:hAnsi="Times New Roman" w:cs="Times New Roman"/>
                <w:b/>
                <w:color w:val="auto"/>
                <w:sz w:val="20"/>
              </w:rPr>
              <w:t>+</w:t>
            </w:r>
            <w:r w:rsidRPr="008515FF">
              <w:rPr>
                <w:rFonts w:ascii="Times New Roman" w:eastAsia="Times New Roman" w:hAnsi="Times New Roman" w:cs="Times New Roman"/>
                <w:color w:val="auto"/>
                <w:sz w:val="20"/>
              </w:rPr>
              <w:t>e</w:t>
            </w:r>
          </w:p>
          <w:p w14:paraId="10781EED"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8515FF">
              <w:rPr>
                <w:rFonts w:ascii="Times New Roman" w:hAnsi="Times New Roman" w:cs="Times New Roman"/>
                <w:color w:val="auto"/>
                <w:sz w:val="20"/>
              </w:rPr>
              <w:t>Reject Null Hypothesis if P- value ≤ 0.05 otherwise accept if P is &gt; 0.05</w:t>
            </w:r>
          </w:p>
        </w:tc>
      </w:tr>
      <w:tr w:rsidR="009F33CD" w:rsidRPr="008515FF" w14:paraId="5DCA8F4D" w14:textId="77777777" w:rsidTr="00B32251">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25B61181" w14:textId="77777777" w:rsidR="009F33CD" w:rsidRPr="008515FF" w:rsidRDefault="00E40740">
            <w:pPr>
              <w:spacing w:before="0" w:beforeAutospacing="0" w:after="0" w:afterAutospacing="0" w:line="240" w:lineRule="auto"/>
              <w:jc w:val="left"/>
              <w:rPr>
                <w:rFonts w:ascii="Times New Roman" w:eastAsia="Times New Roman" w:hAnsi="Times New Roman" w:cs="Times New Roman"/>
                <w:b w:val="0"/>
                <w:color w:val="auto"/>
                <w:sz w:val="20"/>
              </w:rPr>
            </w:pPr>
            <w:r w:rsidRPr="008515FF">
              <w:rPr>
                <w:rFonts w:ascii="Times New Roman" w:eastAsia="Times New Roman" w:hAnsi="Times New Roman" w:cs="Times New Roman"/>
                <w:color w:val="auto"/>
                <w:sz w:val="20"/>
              </w:rPr>
              <w:t>(ii)</w:t>
            </w:r>
          </w:p>
        </w:tc>
        <w:tc>
          <w:tcPr>
            <w:tcW w:w="1027" w:type="pct"/>
            <w:noWrap/>
          </w:tcPr>
          <w:p w14:paraId="54CA5735"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 xml:space="preserve"> To evaluate effect of green training on performance of devolved healthcare services in Kenya.</w:t>
            </w:r>
          </w:p>
        </w:tc>
        <w:tc>
          <w:tcPr>
            <w:tcW w:w="1081" w:type="pct"/>
          </w:tcPr>
          <w:p w14:paraId="718061D2"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
                <w:bCs/>
                <w:color w:val="auto"/>
                <w:sz w:val="20"/>
              </w:rPr>
              <w:t>H</w:t>
            </w:r>
            <w:r w:rsidRPr="008515FF">
              <w:rPr>
                <w:rFonts w:ascii="Times New Roman" w:eastAsia="Times New Roman" w:hAnsi="Times New Roman" w:cs="Times New Roman"/>
                <w:b/>
                <w:bCs/>
                <w:color w:val="auto"/>
                <w:sz w:val="20"/>
                <w:vertAlign w:val="subscript"/>
              </w:rPr>
              <w:t>02</w:t>
            </w:r>
            <w:r w:rsidRPr="008515FF">
              <w:rPr>
                <w:rFonts w:ascii="Times New Roman" w:eastAsia="Times New Roman" w:hAnsi="Times New Roman" w:cs="Times New Roman"/>
                <w:b/>
                <w:bCs/>
                <w:color w:val="auto"/>
                <w:sz w:val="20"/>
              </w:rPr>
              <w:t>:</w:t>
            </w:r>
            <w:r w:rsidRPr="008515FF">
              <w:rPr>
                <w:rFonts w:ascii="Times New Roman" w:eastAsia="Times New Roman" w:hAnsi="Times New Roman" w:cs="Times New Roman"/>
                <w:bCs/>
                <w:color w:val="auto"/>
                <w:sz w:val="20"/>
              </w:rPr>
              <w:t xml:space="preserve"> Green training has no significant effect on performance of devolved healthcare services in Kenya.</w:t>
            </w:r>
          </w:p>
          <w:p w14:paraId="65359FC3" w14:textId="77777777" w:rsidR="009F33CD" w:rsidRPr="008515FF" w:rsidRDefault="009F33C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p>
        </w:tc>
        <w:tc>
          <w:tcPr>
            <w:tcW w:w="993" w:type="pct"/>
          </w:tcPr>
          <w:p w14:paraId="553EDA06"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 xml:space="preserve">Data on green training on performance of devolved healthcare services in Kenya </w:t>
            </w:r>
          </w:p>
          <w:p w14:paraId="673EFE61" w14:textId="77777777" w:rsidR="009F33CD" w:rsidRPr="008515FF" w:rsidRDefault="009F33CD">
            <w:pPr>
              <w:spacing w:before="0" w:beforeAutospacing="0" w:after="0" w:afterAutospacing="0" w:line="240" w:lineRule="auto"/>
              <w:ind w:left="36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p>
        </w:tc>
        <w:tc>
          <w:tcPr>
            <w:tcW w:w="1491" w:type="pct"/>
          </w:tcPr>
          <w:p w14:paraId="76B1C625"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Frequencies, means, Standard Deviation, Pearson’s Correlation Coeff., Simple Linear Regression analysis</w:t>
            </w:r>
            <w:r w:rsidR="007F7E1C">
              <w:rPr>
                <w:rFonts w:ascii="Times New Roman" w:eastAsia="Times New Roman" w:hAnsi="Times New Roman" w:cs="Times New Roman"/>
                <w:color w:val="auto"/>
                <w:sz w:val="20"/>
              </w:rPr>
              <w:t xml:space="preserve">. </w:t>
            </w:r>
            <w:r w:rsidRPr="008515FF">
              <w:rPr>
                <w:rFonts w:ascii="Times New Roman" w:eastAsia="Times New Roman" w:hAnsi="Times New Roman" w:cs="Times New Roman"/>
                <w:b/>
                <w:color w:val="auto"/>
                <w:sz w:val="20"/>
              </w:rPr>
              <w:t>Y = β</w:t>
            </w:r>
            <w:r w:rsidRPr="008515FF">
              <w:rPr>
                <w:rFonts w:ascii="Times New Roman" w:eastAsia="Times New Roman" w:hAnsi="Times New Roman" w:cs="Times New Roman"/>
                <w:b/>
                <w:color w:val="auto"/>
                <w:sz w:val="20"/>
                <w:vertAlign w:val="subscript"/>
              </w:rPr>
              <w:t>0</w:t>
            </w:r>
            <w:r w:rsidRPr="008515FF">
              <w:rPr>
                <w:rFonts w:ascii="Times New Roman" w:eastAsia="Times New Roman" w:hAnsi="Times New Roman" w:cs="Times New Roman"/>
                <w:b/>
                <w:color w:val="auto"/>
                <w:sz w:val="20"/>
              </w:rPr>
              <w:t>+β</w:t>
            </w:r>
            <w:r w:rsidRPr="008515FF">
              <w:rPr>
                <w:rFonts w:ascii="Times New Roman" w:eastAsia="Times New Roman" w:hAnsi="Times New Roman" w:cs="Times New Roman"/>
                <w:b/>
                <w:bCs/>
                <w:color w:val="auto"/>
                <w:sz w:val="20"/>
                <w:vertAlign w:val="subscript"/>
              </w:rPr>
              <w:t>2</w:t>
            </w:r>
            <w:r w:rsidRPr="008515FF">
              <w:rPr>
                <w:rFonts w:ascii="Times New Roman" w:eastAsia="Times New Roman" w:hAnsi="Times New Roman" w:cs="Times New Roman"/>
                <w:b/>
                <w:color w:val="auto"/>
                <w:sz w:val="20"/>
              </w:rPr>
              <w:t>X</w:t>
            </w:r>
            <w:r w:rsidRPr="008515FF">
              <w:rPr>
                <w:rFonts w:ascii="Times New Roman" w:eastAsia="Times New Roman" w:hAnsi="Times New Roman" w:cs="Times New Roman"/>
                <w:b/>
                <w:color w:val="auto"/>
                <w:sz w:val="20"/>
                <w:vertAlign w:val="subscript"/>
              </w:rPr>
              <w:t>2</w:t>
            </w:r>
            <w:r w:rsidRPr="008515FF">
              <w:rPr>
                <w:rFonts w:ascii="Times New Roman" w:eastAsia="Times New Roman" w:hAnsi="Times New Roman" w:cs="Times New Roman"/>
                <w:b/>
                <w:color w:val="auto"/>
                <w:sz w:val="20"/>
              </w:rPr>
              <w:t xml:space="preserve"> +</w:t>
            </w:r>
            <w:r w:rsidRPr="008515FF">
              <w:rPr>
                <w:rFonts w:ascii="Times New Roman" w:eastAsia="Times New Roman" w:hAnsi="Times New Roman" w:cs="Times New Roman"/>
                <w:color w:val="auto"/>
                <w:sz w:val="20"/>
              </w:rPr>
              <w:t>e</w:t>
            </w:r>
          </w:p>
          <w:p w14:paraId="1D0B83C3"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8515FF">
              <w:rPr>
                <w:rFonts w:ascii="Times New Roman" w:hAnsi="Times New Roman" w:cs="Times New Roman"/>
                <w:color w:val="auto"/>
                <w:sz w:val="20"/>
              </w:rPr>
              <w:t>Reject Null Hypothesis if P- value ≤ 0.05 otherwise accept if P is &gt; 0.05</w:t>
            </w:r>
          </w:p>
        </w:tc>
      </w:tr>
      <w:tr w:rsidR="009F33CD" w:rsidRPr="008515FF" w14:paraId="03A84F96" w14:textId="77777777" w:rsidTr="00B32251">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3EE87768" w14:textId="77777777" w:rsidR="009F33CD" w:rsidRPr="008515FF" w:rsidRDefault="00E40740">
            <w:pPr>
              <w:spacing w:before="0" w:beforeAutospacing="0" w:after="0" w:afterAutospacing="0" w:line="240" w:lineRule="auto"/>
              <w:jc w:val="left"/>
              <w:rPr>
                <w:rFonts w:ascii="Times New Roman" w:eastAsia="Times New Roman" w:hAnsi="Times New Roman" w:cs="Times New Roman"/>
                <w:b w:val="0"/>
                <w:color w:val="auto"/>
                <w:sz w:val="20"/>
              </w:rPr>
            </w:pPr>
            <w:r w:rsidRPr="008515FF">
              <w:rPr>
                <w:rFonts w:ascii="Times New Roman" w:eastAsia="Times New Roman" w:hAnsi="Times New Roman" w:cs="Times New Roman"/>
                <w:color w:val="auto"/>
                <w:sz w:val="20"/>
              </w:rPr>
              <w:t>(iii)</w:t>
            </w:r>
          </w:p>
        </w:tc>
        <w:tc>
          <w:tcPr>
            <w:tcW w:w="1027" w:type="pct"/>
            <w:noWrap/>
          </w:tcPr>
          <w:p w14:paraId="7739A2F9" w14:textId="77777777" w:rsidR="009F33CD" w:rsidRPr="008515FF" w:rsidRDefault="00E40740" w:rsidP="00747714">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To examine effect of green safety and occupational health on performance of devolved healthcare services in Kenya.</w:t>
            </w:r>
          </w:p>
        </w:tc>
        <w:tc>
          <w:tcPr>
            <w:tcW w:w="1081" w:type="pct"/>
          </w:tcPr>
          <w:p w14:paraId="792E349F" w14:textId="77777777" w:rsidR="009F33CD" w:rsidRPr="008515FF" w:rsidRDefault="00E40740">
            <w:pPr>
              <w:tabs>
                <w:tab w:val="decimal" w:pos="360"/>
              </w:tabs>
              <w:autoSpaceDE/>
              <w:autoSpaceDN/>
              <w:adjustRightInd/>
              <w:spacing w:before="0" w:beforeAutospacing="0" w:after="20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rPr>
            </w:pPr>
            <w:r w:rsidRPr="008515FF">
              <w:rPr>
                <w:rFonts w:ascii="Times New Roman" w:eastAsia="Times New Roman" w:hAnsi="Times New Roman" w:cs="Times New Roman"/>
                <w:b/>
                <w:bCs/>
                <w:color w:val="auto"/>
                <w:sz w:val="20"/>
              </w:rPr>
              <w:t>H</w:t>
            </w:r>
            <w:r w:rsidRPr="008515FF">
              <w:rPr>
                <w:rFonts w:ascii="Times New Roman" w:eastAsia="Times New Roman" w:hAnsi="Times New Roman" w:cs="Times New Roman"/>
                <w:b/>
                <w:bCs/>
                <w:color w:val="auto"/>
                <w:sz w:val="20"/>
                <w:vertAlign w:val="subscript"/>
              </w:rPr>
              <w:t>03</w:t>
            </w:r>
            <w:r w:rsidRPr="008515FF">
              <w:rPr>
                <w:rFonts w:ascii="Times New Roman" w:eastAsiaTheme="minorEastAsia" w:hAnsi="Times New Roman" w:cs="Times New Roman"/>
                <w:b/>
                <w:color w:val="auto"/>
                <w:sz w:val="20"/>
              </w:rPr>
              <w:t xml:space="preserve">: </w:t>
            </w:r>
            <w:r w:rsidRPr="008515FF">
              <w:rPr>
                <w:rFonts w:ascii="Times New Roman" w:eastAsiaTheme="minorEastAsia" w:hAnsi="Times New Roman" w:cs="Times New Roman"/>
                <w:color w:val="auto"/>
                <w:sz w:val="20"/>
              </w:rPr>
              <w:t>Green occupational safety and health has no significant effect on performance of devolved healthcare services in Kenya.</w:t>
            </w:r>
          </w:p>
        </w:tc>
        <w:tc>
          <w:tcPr>
            <w:tcW w:w="993" w:type="pct"/>
          </w:tcPr>
          <w:p w14:paraId="7CA5B5DD"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Data on green occupational safety and health on performance of devolved healthcare services in Kenya</w:t>
            </w:r>
          </w:p>
        </w:tc>
        <w:tc>
          <w:tcPr>
            <w:tcW w:w="1491" w:type="pct"/>
          </w:tcPr>
          <w:p w14:paraId="7C3ED418"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Frequencies, means, Standard Deviation, Pearson’s Correlation Coeff., Simple Linear Regression analysis</w:t>
            </w:r>
            <w:r w:rsidR="007F7E1C">
              <w:rPr>
                <w:rFonts w:ascii="Times New Roman" w:eastAsia="Times New Roman" w:hAnsi="Times New Roman" w:cs="Times New Roman"/>
                <w:color w:val="auto"/>
                <w:sz w:val="20"/>
              </w:rPr>
              <w:t xml:space="preserve">. </w:t>
            </w:r>
            <w:r w:rsidRPr="008515FF">
              <w:rPr>
                <w:rFonts w:ascii="Times New Roman" w:eastAsia="Times New Roman" w:hAnsi="Times New Roman" w:cs="Times New Roman"/>
                <w:b/>
                <w:color w:val="auto"/>
                <w:sz w:val="20"/>
              </w:rPr>
              <w:t>Y = β</w:t>
            </w:r>
            <w:r w:rsidRPr="008515FF">
              <w:rPr>
                <w:rFonts w:ascii="Times New Roman" w:eastAsia="Times New Roman" w:hAnsi="Times New Roman" w:cs="Times New Roman"/>
                <w:b/>
                <w:color w:val="auto"/>
                <w:sz w:val="20"/>
                <w:vertAlign w:val="subscript"/>
              </w:rPr>
              <w:t>0</w:t>
            </w:r>
            <w:r w:rsidRPr="008515FF">
              <w:rPr>
                <w:rFonts w:ascii="Times New Roman" w:eastAsia="Times New Roman" w:hAnsi="Times New Roman" w:cs="Times New Roman"/>
                <w:b/>
                <w:color w:val="auto"/>
                <w:sz w:val="20"/>
              </w:rPr>
              <w:t>+β</w:t>
            </w:r>
            <w:r w:rsidRPr="008515FF">
              <w:rPr>
                <w:rFonts w:ascii="Times New Roman" w:eastAsia="Times New Roman" w:hAnsi="Times New Roman" w:cs="Times New Roman"/>
                <w:b/>
                <w:bCs/>
                <w:color w:val="auto"/>
                <w:sz w:val="20"/>
                <w:vertAlign w:val="subscript"/>
              </w:rPr>
              <w:t>3</w:t>
            </w:r>
            <w:r w:rsidRPr="008515FF">
              <w:rPr>
                <w:rFonts w:ascii="Times New Roman" w:eastAsia="Times New Roman" w:hAnsi="Times New Roman" w:cs="Times New Roman"/>
                <w:b/>
                <w:color w:val="auto"/>
                <w:sz w:val="20"/>
              </w:rPr>
              <w:t>X</w:t>
            </w:r>
            <w:r w:rsidRPr="008515FF">
              <w:rPr>
                <w:rFonts w:ascii="Times New Roman" w:eastAsia="Times New Roman" w:hAnsi="Times New Roman" w:cs="Times New Roman"/>
                <w:b/>
                <w:color w:val="auto"/>
                <w:sz w:val="20"/>
                <w:vertAlign w:val="subscript"/>
              </w:rPr>
              <w:t>3</w:t>
            </w:r>
            <w:r w:rsidRPr="008515FF">
              <w:rPr>
                <w:rFonts w:ascii="Times New Roman" w:eastAsia="Times New Roman" w:hAnsi="Times New Roman" w:cs="Times New Roman"/>
                <w:b/>
                <w:color w:val="auto"/>
                <w:sz w:val="20"/>
              </w:rPr>
              <w:t xml:space="preserve"> +</w:t>
            </w:r>
            <w:r w:rsidRPr="008515FF">
              <w:rPr>
                <w:rFonts w:ascii="Times New Roman" w:eastAsia="Times New Roman" w:hAnsi="Times New Roman" w:cs="Times New Roman"/>
                <w:color w:val="auto"/>
                <w:sz w:val="20"/>
              </w:rPr>
              <w:t>e</w:t>
            </w:r>
          </w:p>
          <w:p w14:paraId="115BA3D1"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8515FF">
              <w:rPr>
                <w:rFonts w:ascii="Times New Roman" w:hAnsi="Times New Roman" w:cs="Times New Roman"/>
                <w:color w:val="auto"/>
                <w:sz w:val="20"/>
              </w:rPr>
              <w:t>Reject Null Hypothesis if P- value ≤ 0.05 otherwise accept if P is &gt; 0.05</w:t>
            </w:r>
          </w:p>
        </w:tc>
      </w:tr>
      <w:tr w:rsidR="009F33CD" w:rsidRPr="008515FF" w14:paraId="5A2EAE8A" w14:textId="77777777" w:rsidTr="00B32251">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6B01EBFB" w14:textId="77777777" w:rsidR="009F33CD" w:rsidRPr="008515FF" w:rsidRDefault="00E40740">
            <w:pPr>
              <w:spacing w:before="0" w:beforeAutospacing="0" w:after="0" w:afterAutospacing="0" w:line="240" w:lineRule="auto"/>
              <w:jc w:val="left"/>
              <w:rPr>
                <w:rFonts w:ascii="Times New Roman" w:eastAsia="Times New Roman" w:hAnsi="Times New Roman" w:cs="Times New Roman"/>
                <w:b w:val="0"/>
                <w:color w:val="auto"/>
                <w:sz w:val="20"/>
              </w:rPr>
            </w:pPr>
            <w:r w:rsidRPr="008515FF">
              <w:rPr>
                <w:rFonts w:ascii="Times New Roman" w:eastAsia="Times New Roman" w:hAnsi="Times New Roman" w:cs="Times New Roman"/>
                <w:color w:val="auto"/>
                <w:sz w:val="20"/>
              </w:rPr>
              <w:t>(iv)</w:t>
            </w:r>
          </w:p>
        </w:tc>
        <w:tc>
          <w:tcPr>
            <w:tcW w:w="1027" w:type="pct"/>
            <w:noWrap/>
          </w:tcPr>
          <w:p w14:paraId="43C6E8C1"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To investigate effect of green performance evaluation on performance of devolved healthcare services in Kenya</w:t>
            </w:r>
          </w:p>
        </w:tc>
        <w:tc>
          <w:tcPr>
            <w:tcW w:w="1081" w:type="pct"/>
          </w:tcPr>
          <w:p w14:paraId="40DC1598" w14:textId="77777777" w:rsidR="009F33CD" w:rsidRPr="008515FF" w:rsidRDefault="00E40740">
            <w:pPr>
              <w:tabs>
                <w:tab w:val="decimal" w:pos="360"/>
              </w:tabs>
              <w:autoSpaceDE/>
              <w:autoSpaceDN/>
              <w:adjustRightInd/>
              <w:spacing w:before="0" w:beforeAutospacing="0" w:after="20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0"/>
              </w:rPr>
            </w:pPr>
            <w:r w:rsidRPr="008515FF">
              <w:rPr>
                <w:rFonts w:ascii="Times New Roman" w:eastAsia="Times New Roman" w:hAnsi="Times New Roman" w:cs="Times New Roman"/>
                <w:b/>
                <w:bCs/>
                <w:color w:val="auto"/>
                <w:sz w:val="20"/>
              </w:rPr>
              <w:t>H</w:t>
            </w:r>
            <w:r w:rsidRPr="008515FF">
              <w:rPr>
                <w:rFonts w:ascii="Times New Roman" w:eastAsia="Times New Roman" w:hAnsi="Times New Roman" w:cs="Times New Roman"/>
                <w:b/>
                <w:bCs/>
                <w:color w:val="auto"/>
                <w:sz w:val="20"/>
                <w:vertAlign w:val="subscript"/>
              </w:rPr>
              <w:t>04</w:t>
            </w:r>
            <w:r w:rsidRPr="008515FF">
              <w:rPr>
                <w:rFonts w:ascii="Times New Roman" w:eastAsiaTheme="minorEastAsia" w:hAnsi="Times New Roman" w:cs="Times New Roman"/>
                <w:b/>
                <w:color w:val="auto"/>
                <w:sz w:val="20"/>
              </w:rPr>
              <w:t xml:space="preserve">: </w:t>
            </w:r>
            <w:r w:rsidRPr="008515FF">
              <w:rPr>
                <w:rFonts w:ascii="Times New Roman" w:eastAsiaTheme="minorEastAsia" w:hAnsi="Times New Roman" w:cs="Times New Roman"/>
                <w:color w:val="auto"/>
                <w:sz w:val="20"/>
              </w:rPr>
              <w:t xml:space="preserve">Green performance evaluation has no significant effect on performance of devolved healthcare services in Kenya </w:t>
            </w:r>
          </w:p>
        </w:tc>
        <w:tc>
          <w:tcPr>
            <w:tcW w:w="993" w:type="pct"/>
          </w:tcPr>
          <w:p w14:paraId="56354E1F"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Data on green performance evaluation on performance of devolved healthcare services in Kenya</w:t>
            </w:r>
          </w:p>
        </w:tc>
        <w:tc>
          <w:tcPr>
            <w:tcW w:w="1491" w:type="pct"/>
          </w:tcPr>
          <w:p w14:paraId="5602D64C" w14:textId="77777777" w:rsidR="009F33CD"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Frequencies, means, Standard Deviation, Pearson’s Correlation Coeff., Simple Linear Regression analysis</w:t>
            </w:r>
            <w:r w:rsidR="008515FF">
              <w:rPr>
                <w:rFonts w:ascii="Times New Roman" w:eastAsia="Times New Roman" w:hAnsi="Times New Roman" w:cs="Times New Roman"/>
                <w:color w:val="auto"/>
                <w:sz w:val="20"/>
              </w:rPr>
              <w:t xml:space="preserve">. </w:t>
            </w:r>
            <w:r w:rsidRPr="008515FF">
              <w:rPr>
                <w:rFonts w:ascii="Times New Roman" w:eastAsia="Times New Roman" w:hAnsi="Times New Roman" w:cs="Times New Roman"/>
                <w:b/>
                <w:color w:val="auto"/>
                <w:sz w:val="20"/>
              </w:rPr>
              <w:t>Y = β</w:t>
            </w:r>
            <w:r w:rsidRPr="008515FF">
              <w:rPr>
                <w:rFonts w:ascii="Times New Roman" w:eastAsia="Times New Roman" w:hAnsi="Times New Roman" w:cs="Times New Roman"/>
                <w:b/>
                <w:color w:val="auto"/>
                <w:sz w:val="20"/>
                <w:vertAlign w:val="subscript"/>
              </w:rPr>
              <w:t>0</w:t>
            </w:r>
            <w:r w:rsidRPr="008515FF">
              <w:rPr>
                <w:rFonts w:ascii="Times New Roman" w:eastAsia="Times New Roman" w:hAnsi="Times New Roman" w:cs="Times New Roman"/>
                <w:b/>
                <w:color w:val="auto"/>
                <w:sz w:val="20"/>
              </w:rPr>
              <w:t>+β</w:t>
            </w:r>
            <w:r w:rsidRPr="008515FF">
              <w:rPr>
                <w:rFonts w:ascii="Times New Roman" w:eastAsia="Times New Roman" w:hAnsi="Times New Roman" w:cs="Times New Roman"/>
                <w:b/>
                <w:color w:val="auto"/>
                <w:sz w:val="20"/>
                <w:vertAlign w:val="subscript"/>
              </w:rPr>
              <w:t>4</w:t>
            </w:r>
            <w:r w:rsidRPr="008515FF">
              <w:rPr>
                <w:rFonts w:ascii="Times New Roman" w:eastAsia="Times New Roman" w:hAnsi="Times New Roman" w:cs="Times New Roman"/>
                <w:b/>
                <w:color w:val="auto"/>
                <w:sz w:val="20"/>
              </w:rPr>
              <w:t>X</w:t>
            </w:r>
            <w:r w:rsidRPr="008515FF">
              <w:rPr>
                <w:rFonts w:ascii="Times New Roman" w:eastAsia="Times New Roman" w:hAnsi="Times New Roman" w:cs="Times New Roman"/>
                <w:b/>
                <w:color w:val="auto"/>
                <w:sz w:val="20"/>
                <w:vertAlign w:val="subscript"/>
              </w:rPr>
              <w:t>4</w:t>
            </w:r>
            <w:r w:rsidRPr="008515FF">
              <w:rPr>
                <w:rFonts w:ascii="Times New Roman" w:eastAsia="Times New Roman" w:hAnsi="Times New Roman" w:cs="Times New Roman"/>
                <w:b/>
                <w:color w:val="auto"/>
                <w:sz w:val="20"/>
              </w:rPr>
              <w:t xml:space="preserve"> +</w:t>
            </w:r>
            <w:r w:rsidRPr="008515FF">
              <w:rPr>
                <w:rFonts w:ascii="Times New Roman" w:eastAsia="Times New Roman" w:hAnsi="Times New Roman" w:cs="Times New Roman"/>
                <w:color w:val="auto"/>
                <w:sz w:val="20"/>
              </w:rPr>
              <w:t>e</w:t>
            </w:r>
          </w:p>
          <w:p w14:paraId="45E4160C" w14:textId="77777777" w:rsidR="00B92E10" w:rsidRPr="008515FF" w:rsidRDefault="00E4074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8515FF">
              <w:rPr>
                <w:rFonts w:ascii="Times New Roman" w:hAnsi="Times New Roman" w:cs="Times New Roman"/>
                <w:color w:val="auto"/>
                <w:sz w:val="20"/>
              </w:rPr>
              <w:t>Reject Null Hypothesis if P- value ≤ 0.05 otherwise accept if P is &gt; 0.05</w:t>
            </w:r>
          </w:p>
        </w:tc>
      </w:tr>
      <w:tr w:rsidR="008515FF" w:rsidRPr="008515FF" w14:paraId="64B9F099" w14:textId="77777777" w:rsidTr="00B32251">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4BEAB85A" w14:textId="77777777" w:rsidR="008515FF" w:rsidRPr="008515FF" w:rsidRDefault="008515FF" w:rsidP="008515FF">
            <w:pPr>
              <w:spacing w:before="0" w:beforeAutospacing="0" w:after="0" w:afterAutospacing="0" w:line="240" w:lineRule="auto"/>
              <w:jc w:val="left"/>
              <w:rPr>
                <w:rFonts w:ascii="Times New Roman" w:eastAsia="Times New Roman" w:hAnsi="Times New Roman" w:cs="Times New Roman"/>
                <w:b w:val="0"/>
                <w:color w:val="auto"/>
                <w:sz w:val="20"/>
              </w:rPr>
            </w:pPr>
            <w:r w:rsidRPr="008515FF">
              <w:rPr>
                <w:rFonts w:ascii="Times New Roman" w:eastAsia="Times New Roman" w:hAnsi="Times New Roman" w:cs="Times New Roman"/>
                <w:b w:val="0"/>
                <w:color w:val="auto"/>
                <w:sz w:val="20"/>
              </w:rPr>
              <w:t>(v)</w:t>
            </w:r>
          </w:p>
        </w:tc>
        <w:tc>
          <w:tcPr>
            <w:tcW w:w="1027" w:type="pct"/>
            <w:noWrap/>
          </w:tcPr>
          <w:p w14:paraId="06AF34D5"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To assess the moderating effect of management style on the relationship between green human resource management practices and performance of devolved healthcare services in Kenya.</w:t>
            </w:r>
          </w:p>
        </w:tc>
        <w:tc>
          <w:tcPr>
            <w:tcW w:w="1081" w:type="pct"/>
          </w:tcPr>
          <w:p w14:paraId="0A8A8495"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rPr>
            </w:pPr>
            <w:r w:rsidRPr="008515FF">
              <w:rPr>
                <w:rFonts w:ascii="Times New Roman" w:eastAsia="Times New Roman" w:hAnsi="Times New Roman" w:cs="Times New Roman"/>
                <w:bCs/>
                <w:color w:val="auto"/>
                <w:sz w:val="20"/>
              </w:rPr>
              <w:t xml:space="preserve">  H</w:t>
            </w:r>
            <w:r w:rsidRPr="008515FF">
              <w:rPr>
                <w:rFonts w:ascii="Times New Roman" w:eastAsia="Times New Roman" w:hAnsi="Times New Roman" w:cs="Times New Roman"/>
                <w:bCs/>
                <w:color w:val="auto"/>
                <w:sz w:val="20"/>
                <w:vertAlign w:val="subscript"/>
              </w:rPr>
              <w:t xml:space="preserve">06: </w:t>
            </w:r>
            <w:r w:rsidRPr="008515FF">
              <w:rPr>
                <w:rFonts w:ascii="Times New Roman" w:eastAsia="Times New Roman" w:hAnsi="Times New Roman" w:cs="Times New Roman"/>
                <w:bCs/>
                <w:color w:val="auto"/>
                <w:sz w:val="20"/>
              </w:rPr>
              <w:t>Management style has no significant moderating effect on the relationship between green human resource management practices and performance of devolved healthcare services in Kenya.</w:t>
            </w:r>
          </w:p>
        </w:tc>
        <w:tc>
          <w:tcPr>
            <w:tcW w:w="993" w:type="pct"/>
          </w:tcPr>
          <w:p w14:paraId="7F0CFA41"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 xml:space="preserve">Data on moderating effect of management style on the relationship between green human resource management practices and performance of a devolved healthcare services in Kenya. </w:t>
            </w:r>
          </w:p>
        </w:tc>
        <w:tc>
          <w:tcPr>
            <w:tcW w:w="1491" w:type="pct"/>
          </w:tcPr>
          <w:p w14:paraId="2FE97D4F"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Frequencies, means, Standard Deviation, Pearson’s Correlation Coeff., Simple Linear Regression analysisY = β</w:t>
            </w:r>
            <w:r w:rsidRPr="008515FF">
              <w:rPr>
                <w:rFonts w:ascii="Times New Roman" w:eastAsia="Times New Roman" w:hAnsi="Times New Roman" w:cs="Times New Roman"/>
                <w:color w:val="auto"/>
                <w:sz w:val="20"/>
                <w:vertAlign w:val="subscript"/>
              </w:rPr>
              <w:t>0</w:t>
            </w:r>
            <w:r w:rsidRPr="008515FF">
              <w:rPr>
                <w:rFonts w:ascii="Times New Roman" w:eastAsia="Times New Roman" w:hAnsi="Times New Roman" w:cs="Times New Roman"/>
                <w:color w:val="auto"/>
                <w:sz w:val="20"/>
              </w:rPr>
              <w:t xml:space="preserve">+βZ +e </w:t>
            </w:r>
            <w:r w:rsidRPr="008515FF">
              <w:rPr>
                <w:rFonts w:ascii="Times New Roman" w:hAnsi="Times New Roman" w:cs="Times New Roman"/>
                <w:color w:val="auto"/>
                <w:sz w:val="20"/>
              </w:rPr>
              <w:t>Reject Null Hypothesis if P- value ≤ .05 otherwise accept if P is &gt; 0.05</w:t>
            </w:r>
            <w:r>
              <w:rPr>
                <w:rFonts w:ascii="Times New Roman" w:eastAsia="Times New Roman" w:hAnsi="Times New Roman" w:cs="Times New Roman"/>
                <w:color w:val="auto"/>
                <w:sz w:val="20"/>
              </w:rPr>
              <w:t xml:space="preserve">. </w:t>
            </w:r>
            <w:r w:rsidRPr="008515FF">
              <w:rPr>
                <w:rFonts w:ascii="Times New Roman" w:eastAsia="Times New Roman" w:hAnsi="Times New Roman" w:cs="Times New Roman"/>
                <w:color w:val="auto"/>
                <w:sz w:val="20"/>
              </w:rPr>
              <w:t>Multiple Linear Regression analysis</w:t>
            </w:r>
          </w:p>
          <w:p w14:paraId="2B79168B"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8515FF">
              <w:rPr>
                <w:rFonts w:ascii="Times New Roman" w:eastAsia="Times New Roman" w:hAnsi="Times New Roman" w:cs="Times New Roman"/>
                <w:color w:val="auto"/>
                <w:sz w:val="20"/>
              </w:rPr>
              <w:t>Y = β</w:t>
            </w:r>
            <w:r w:rsidRPr="008515FF">
              <w:rPr>
                <w:rFonts w:ascii="Times New Roman" w:eastAsia="Times New Roman" w:hAnsi="Times New Roman" w:cs="Times New Roman"/>
                <w:color w:val="auto"/>
                <w:sz w:val="20"/>
                <w:vertAlign w:val="subscript"/>
              </w:rPr>
              <w:t>0</w:t>
            </w:r>
            <w:r w:rsidRPr="008515FF">
              <w:rPr>
                <w:rFonts w:ascii="Times New Roman" w:eastAsia="Times New Roman" w:hAnsi="Times New Roman" w:cs="Times New Roman"/>
                <w:color w:val="auto"/>
                <w:sz w:val="20"/>
              </w:rPr>
              <w:t>+β</w:t>
            </w:r>
            <w:r w:rsidRPr="008515FF">
              <w:rPr>
                <w:rFonts w:ascii="Times New Roman" w:eastAsia="Times New Roman" w:hAnsi="Times New Roman" w:cs="Times New Roman"/>
                <w:color w:val="auto"/>
                <w:sz w:val="20"/>
                <w:vertAlign w:val="subscript"/>
              </w:rPr>
              <w:t>1</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1</w:t>
            </w:r>
            <w:r w:rsidRPr="008515FF">
              <w:rPr>
                <w:rFonts w:ascii="Times New Roman" w:eastAsia="Times New Roman" w:hAnsi="Times New Roman" w:cs="Times New Roman"/>
                <w:color w:val="auto"/>
                <w:sz w:val="20"/>
              </w:rPr>
              <w:t>+ β</w:t>
            </w:r>
            <w:r w:rsidRPr="008515FF">
              <w:rPr>
                <w:rFonts w:ascii="Times New Roman" w:eastAsia="Times New Roman" w:hAnsi="Times New Roman" w:cs="Times New Roman"/>
                <w:color w:val="auto"/>
                <w:sz w:val="20"/>
                <w:vertAlign w:val="subscript"/>
              </w:rPr>
              <w:t>2</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2</w:t>
            </w:r>
            <w:r w:rsidRPr="008515FF">
              <w:rPr>
                <w:rFonts w:ascii="Times New Roman" w:eastAsia="Times New Roman" w:hAnsi="Times New Roman" w:cs="Times New Roman"/>
                <w:color w:val="auto"/>
                <w:sz w:val="20"/>
              </w:rPr>
              <w:t>+β</w:t>
            </w:r>
            <w:r w:rsidRPr="008515FF">
              <w:rPr>
                <w:rFonts w:ascii="Times New Roman" w:eastAsia="Times New Roman" w:hAnsi="Times New Roman" w:cs="Times New Roman"/>
                <w:color w:val="auto"/>
                <w:sz w:val="20"/>
                <w:vertAlign w:val="subscript"/>
              </w:rPr>
              <w:t>3</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3</w:t>
            </w:r>
            <w:r w:rsidRPr="008515FF">
              <w:rPr>
                <w:rFonts w:ascii="Times New Roman" w:eastAsia="Times New Roman" w:hAnsi="Times New Roman" w:cs="Times New Roman"/>
                <w:color w:val="auto"/>
                <w:sz w:val="20"/>
              </w:rPr>
              <w:t>+β</w:t>
            </w:r>
            <w:r w:rsidRPr="008515FF">
              <w:rPr>
                <w:rFonts w:ascii="Times New Roman" w:eastAsia="Times New Roman" w:hAnsi="Times New Roman" w:cs="Times New Roman"/>
                <w:color w:val="auto"/>
                <w:sz w:val="20"/>
                <w:vertAlign w:val="subscript"/>
              </w:rPr>
              <w:t>4</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4</w:t>
            </w:r>
            <w:r w:rsidRPr="008515FF">
              <w:rPr>
                <w:rFonts w:ascii="Times New Roman" w:eastAsia="Times New Roman" w:hAnsi="Times New Roman" w:cs="Times New Roman"/>
                <w:color w:val="auto"/>
                <w:sz w:val="20"/>
              </w:rPr>
              <w:t>+β</w:t>
            </w:r>
            <w:r w:rsidRPr="008515FF">
              <w:rPr>
                <w:rFonts w:ascii="Times New Roman" w:eastAsia="Times New Roman" w:hAnsi="Times New Roman" w:cs="Times New Roman"/>
                <w:color w:val="auto"/>
                <w:sz w:val="20"/>
                <w:vertAlign w:val="subscript"/>
              </w:rPr>
              <w:t>5</w:t>
            </w:r>
            <w:r w:rsidRPr="008515FF">
              <w:rPr>
                <w:rFonts w:ascii="Times New Roman" w:eastAsia="Times New Roman" w:hAnsi="Times New Roman" w:cs="Times New Roman"/>
                <w:color w:val="auto"/>
                <w:sz w:val="20"/>
              </w:rPr>
              <w:t>Z+ β</w:t>
            </w:r>
            <w:r w:rsidRPr="008515FF">
              <w:rPr>
                <w:rFonts w:ascii="Times New Roman" w:eastAsia="Times New Roman" w:hAnsi="Times New Roman" w:cs="Times New Roman"/>
                <w:color w:val="auto"/>
                <w:sz w:val="20"/>
                <w:vertAlign w:val="subscript"/>
              </w:rPr>
              <w:t>6</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 xml:space="preserve">1 </w:t>
            </w:r>
            <w:r w:rsidRPr="008515FF">
              <w:rPr>
                <w:rFonts w:ascii="Times New Roman" w:eastAsia="Times New Roman" w:hAnsi="Times New Roman" w:cs="Times New Roman"/>
                <w:color w:val="auto"/>
                <w:sz w:val="20"/>
              </w:rPr>
              <w:t>Z+ β</w:t>
            </w:r>
            <w:r w:rsidRPr="008515FF">
              <w:rPr>
                <w:rFonts w:ascii="Times New Roman" w:eastAsia="Times New Roman" w:hAnsi="Times New Roman" w:cs="Times New Roman"/>
                <w:color w:val="auto"/>
                <w:sz w:val="20"/>
                <w:vertAlign w:val="subscript"/>
              </w:rPr>
              <w:t>7</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2</w:t>
            </w:r>
            <w:r w:rsidRPr="008515FF">
              <w:rPr>
                <w:rFonts w:ascii="Times New Roman" w:eastAsia="Times New Roman" w:hAnsi="Times New Roman" w:cs="Times New Roman"/>
                <w:color w:val="auto"/>
                <w:sz w:val="20"/>
              </w:rPr>
              <w:t>Z+ β</w:t>
            </w:r>
            <w:r w:rsidRPr="008515FF">
              <w:rPr>
                <w:rFonts w:ascii="Times New Roman" w:eastAsia="Times New Roman" w:hAnsi="Times New Roman" w:cs="Times New Roman"/>
                <w:color w:val="auto"/>
                <w:sz w:val="20"/>
                <w:vertAlign w:val="subscript"/>
              </w:rPr>
              <w:t>8</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3</w:t>
            </w:r>
            <w:r w:rsidRPr="008515FF">
              <w:rPr>
                <w:rFonts w:ascii="Times New Roman" w:eastAsia="Times New Roman" w:hAnsi="Times New Roman" w:cs="Times New Roman"/>
                <w:color w:val="auto"/>
                <w:sz w:val="20"/>
              </w:rPr>
              <w:t>Z+ β</w:t>
            </w:r>
            <w:r w:rsidRPr="008515FF">
              <w:rPr>
                <w:rFonts w:ascii="Times New Roman" w:eastAsia="Times New Roman" w:hAnsi="Times New Roman" w:cs="Times New Roman"/>
                <w:color w:val="auto"/>
                <w:sz w:val="20"/>
                <w:vertAlign w:val="subscript"/>
              </w:rPr>
              <w:t>9</w:t>
            </w:r>
            <w:r w:rsidRPr="008515FF">
              <w:rPr>
                <w:rFonts w:ascii="Times New Roman" w:eastAsia="Times New Roman" w:hAnsi="Times New Roman" w:cs="Times New Roman"/>
                <w:color w:val="auto"/>
                <w:sz w:val="20"/>
              </w:rPr>
              <w:t>X</w:t>
            </w:r>
            <w:r w:rsidRPr="008515FF">
              <w:rPr>
                <w:rFonts w:ascii="Times New Roman" w:eastAsia="Times New Roman" w:hAnsi="Times New Roman" w:cs="Times New Roman"/>
                <w:color w:val="auto"/>
                <w:sz w:val="20"/>
                <w:vertAlign w:val="subscript"/>
              </w:rPr>
              <w:t>4</w:t>
            </w:r>
            <w:r w:rsidRPr="008515FF">
              <w:rPr>
                <w:rFonts w:ascii="Times New Roman" w:eastAsia="Times New Roman" w:hAnsi="Times New Roman" w:cs="Times New Roman"/>
                <w:color w:val="auto"/>
                <w:sz w:val="20"/>
              </w:rPr>
              <w:t>Z+e</w:t>
            </w:r>
          </w:p>
          <w:p w14:paraId="5F6299FA" w14:textId="77777777" w:rsidR="008515FF" w:rsidRPr="008515FF" w:rsidRDefault="008515FF" w:rsidP="008515FF">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r>
    </w:tbl>
    <w:p w14:paraId="4C50032F" w14:textId="77777777" w:rsidR="00747714" w:rsidRDefault="00747714">
      <w:pPr>
        <w:autoSpaceDE/>
        <w:autoSpaceDN/>
        <w:adjustRightInd/>
        <w:spacing w:before="0" w:beforeAutospacing="0" w:after="0" w:afterAutospacing="0" w:line="240" w:lineRule="auto"/>
        <w:jc w:val="left"/>
        <w:rPr>
          <w:rFonts w:cs="Times New Roman"/>
          <w:b/>
          <w:caps/>
          <w:kern w:val="32"/>
          <w:szCs w:val="24"/>
        </w:rPr>
      </w:pPr>
      <w:r>
        <w:rPr>
          <w:rFonts w:cs="Times New Roman"/>
          <w:szCs w:val="24"/>
        </w:rPr>
        <w:br w:type="page"/>
      </w:r>
    </w:p>
    <w:p w14:paraId="3497079A" w14:textId="77777777" w:rsidR="009F33CD" w:rsidRDefault="00E40740">
      <w:pPr>
        <w:pStyle w:val="Heading1"/>
        <w:rPr>
          <w:rFonts w:cs="Times New Roman"/>
          <w:szCs w:val="24"/>
        </w:rPr>
      </w:pPr>
      <w:bookmarkStart w:id="780" w:name="_Toc224237715"/>
      <w:r>
        <w:rPr>
          <w:rFonts w:cs="Times New Roman"/>
          <w:szCs w:val="24"/>
        </w:rPr>
        <w:lastRenderedPageBreak/>
        <w:t>CHAPTER FOUR</w:t>
      </w:r>
      <w:bookmarkEnd w:id="780"/>
    </w:p>
    <w:p w14:paraId="210B7D82" w14:textId="77777777" w:rsidR="009F33CD" w:rsidRDefault="00E40740">
      <w:pPr>
        <w:pStyle w:val="Heading1"/>
        <w:rPr>
          <w:rFonts w:cs="Times New Roman"/>
          <w:szCs w:val="24"/>
        </w:rPr>
      </w:pPr>
      <w:bookmarkStart w:id="781" w:name="_Toc224237716"/>
      <w:r>
        <w:rPr>
          <w:rFonts w:cs="Times New Roman"/>
          <w:szCs w:val="24"/>
        </w:rPr>
        <w:t>RESEARCH FINDINGS AND DISCUSSIONS</w:t>
      </w:r>
      <w:bookmarkEnd w:id="781"/>
    </w:p>
    <w:p w14:paraId="50DAA08B" w14:textId="77777777" w:rsidR="009F33CD" w:rsidRDefault="00E40740" w:rsidP="00747714">
      <w:pPr>
        <w:pStyle w:val="Heading2"/>
        <w:rPr>
          <w:lang w:val="en-GB"/>
        </w:rPr>
      </w:pPr>
      <w:bookmarkStart w:id="782" w:name="_Toc224237717"/>
      <w:r>
        <w:rPr>
          <w:lang w:val="en-GB"/>
        </w:rPr>
        <w:t xml:space="preserve">4.1 </w:t>
      </w:r>
      <w:r w:rsidRPr="00747714">
        <w:t>Introduction</w:t>
      </w:r>
      <w:bookmarkEnd w:id="782"/>
    </w:p>
    <w:p w14:paraId="6E4DD6CD" w14:textId="77777777" w:rsidR="009F33CD" w:rsidRDefault="00E40740">
      <w:pPr>
        <w:spacing w:before="240"/>
        <w:rPr>
          <w:rFonts w:cs="Times New Roman"/>
          <w:szCs w:val="24"/>
        </w:rPr>
      </w:pPr>
      <w:r>
        <w:rPr>
          <w:rFonts w:cs="Times New Roman"/>
          <w:szCs w:val="24"/>
        </w:rPr>
        <w:t>This chapter presents study findings and discussions based on the specific study objectives namely: the effect of green employee resourcing, green training, green occupational safety and health, and green performance evaluation, on the performance of devolved healthcare services in Kenya. The chapter also presents study findings of the moderating effect of management style on the relationship between green HRM practices and the performance of devolved healthcare services in Kenya.</w:t>
      </w:r>
    </w:p>
    <w:p w14:paraId="3B365C4D" w14:textId="77777777" w:rsidR="009F33CD" w:rsidRDefault="00E40740">
      <w:pPr>
        <w:pStyle w:val="Heading2"/>
        <w:spacing w:before="240"/>
        <w:rPr>
          <w:lang w:val="en-GB"/>
        </w:rPr>
      </w:pPr>
      <w:bookmarkStart w:id="783" w:name="_Toc224237718"/>
      <w:r>
        <w:rPr>
          <w:lang w:val="en-GB"/>
        </w:rPr>
        <w:t>4.2 Response Rate</w:t>
      </w:r>
      <w:bookmarkEnd w:id="783"/>
    </w:p>
    <w:p w14:paraId="2F7FCA1E" w14:textId="77777777" w:rsidR="009F33CD" w:rsidRDefault="00E40740">
      <w:pPr>
        <w:spacing w:before="240"/>
        <w:rPr>
          <w:rFonts w:cs="Times New Roman"/>
          <w:bCs/>
          <w:szCs w:val="24"/>
        </w:rPr>
      </w:pPr>
      <w:r>
        <w:rPr>
          <w:rFonts w:cs="Times New Roman"/>
          <w:szCs w:val="24"/>
        </w:rPr>
        <w:t>A total of 131 questionnaires were distributed to the respondents working at four Level Five Hospitals that were selected from the list of 12 Level Five Hospitals in Kenya. The results are presented in Table 4.1.</w:t>
      </w:r>
      <w:r>
        <w:rPr>
          <w:rFonts w:cs="Times New Roman"/>
          <w:bCs/>
          <w:szCs w:val="24"/>
        </w:rPr>
        <w:t xml:space="preserve"> The results in Table 4.1 indicate that out of 131 questionnaires distributed to the respondents, only 118 questionnaires were filled and returned, while 13 questionnaires were either spoilt or not returned due to time constraint and accessibility issues (Kothari, 2019). This finding represents a 90.1 % response rate. </w:t>
      </w:r>
      <w:r>
        <w:rPr>
          <w:rFonts w:cs="Times New Roman"/>
          <w:szCs w:val="24"/>
        </w:rPr>
        <w:t>The response rate of 90.1% was excellent for data analysis. This is supported by Mugenda and Mugenda (2012) who state that, a response rate of 70% and above is considered to be excellent, a response rate of 60% is considered as good while, 50% is rated as adequate for data analysis.</w:t>
      </w:r>
      <w:bookmarkStart w:id="784" w:name="_Toc147950226"/>
      <w:bookmarkStart w:id="785" w:name="_Toc187080837"/>
      <w:bookmarkStart w:id="786" w:name="_Toc178940579"/>
      <w:bookmarkStart w:id="787" w:name="_Toc178944278"/>
      <w:bookmarkStart w:id="788" w:name="_Toc178942620"/>
      <w:bookmarkStart w:id="789" w:name="_Toc147946887"/>
      <w:bookmarkStart w:id="790" w:name="_Toc139987474"/>
      <w:bookmarkStart w:id="791" w:name="_Toc139981648"/>
      <w:bookmarkStart w:id="792" w:name="_Toc178945030"/>
      <w:bookmarkStart w:id="793" w:name="_Toc165623589"/>
      <w:bookmarkStart w:id="794" w:name="_Toc139986447"/>
      <w:bookmarkStart w:id="795" w:name="_Toc185614067"/>
      <w:bookmarkStart w:id="796" w:name="_Toc165626370"/>
      <w:bookmarkStart w:id="797" w:name="_Toc139980675"/>
      <w:r>
        <w:rPr>
          <w:rFonts w:cs="Times New Roman"/>
          <w:szCs w:val="24"/>
        </w:rPr>
        <w:t xml:space="preserve"> The 13 questionnaires were not returned due to time constraint and accessibility issues (Kothari, 2019S)</w:t>
      </w:r>
    </w:p>
    <w:p w14:paraId="5479BA10" w14:textId="77777777" w:rsidR="00436612" w:rsidRDefault="00436612">
      <w:pPr>
        <w:autoSpaceDE/>
        <w:autoSpaceDN/>
        <w:adjustRightInd/>
        <w:spacing w:before="0" w:beforeAutospacing="0" w:after="0" w:afterAutospacing="0" w:line="240" w:lineRule="auto"/>
        <w:jc w:val="left"/>
        <w:rPr>
          <w:rFonts w:eastAsiaTheme="majorEastAsia" w:cstheme="majorBidi"/>
          <w:b/>
        </w:rPr>
      </w:pPr>
      <w:bookmarkStart w:id="798" w:name="_Toc224237430"/>
      <w:r>
        <w:br w:type="page"/>
      </w:r>
    </w:p>
    <w:p w14:paraId="5CE3D77F" w14:textId="77777777" w:rsidR="009F33CD" w:rsidRDefault="00E40740" w:rsidP="00436612">
      <w:pPr>
        <w:pStyle w:val="Heading6"/>
      </w:pPr>
      <w:r>
        <w:lastRenderedPageBreak/>
        <w:t>Table 4.1: Findings for Response Rate</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t xml:space="preserve"> </w:t>
      </w:r>
    </w:p>
    <w:tbl>
      <w:tblPr>
        <w:tblW w:w="5000" w:type="pct"/>
        <w:tblLook w:val="04A0" w:firstRow="1" w:lastRow="0" w:firstColumn="1" w:lastColumn="0" w:noHBand="0" w:noVBand="1"/>
      </w:tblPr>
      <w:tblGrid>
        <w:gridCol w:w="2849"/>
        <w:gridCol w:w="1486"/>
        <w:gridCol w:w="1351"/>
        <w:gridCol w:w="1357"/>
        <w:gridCol w:w="1177"/>
      </w:tblGrid>
      <w:tr w:rsidR="009F33CD" w14:paraId="587FBD9A" w14:textId="77777777">
        <w:trPr>
          <w:trHeight w:val="548"/>
        </w:trPr>
        <w:tc>
          <w:tcPr>
            <w:tcW w:w="1740" w:type="pct"/>
            <w:tcBorders>
              <w:top w:val="single" w:sz="4" w:space="0" w:color="auto"/>
              <w:bottom w:val="single" w:sz="4" w:space="0" w:color="auto"/>
            </w:tcBorders>
          </w:tcPr>
          <w:p w14:paraId="2BCEFB41" w14:textId="77777777" w:rsidR="009F33CD" w:rsidRDefault="00E40740">
            <w:pPr>
              <w:spacing w:before="0" w:beforeAutospacing="0" w:after="0" w:afterAutospacing="0" w:line="240" w:lineRule="auto"/>
              <w:rPr>
                <w:b/>
                <w:bCs/>
              </w:rPr>
            </w:pPr>
            <w:r>
              <w:rPr>
                <w:b/>
                <w:bCs/>
              </w:rPr>
              <w:t>Level Five Hospitals</w:t>
            </w:r>
          </w:p>
        </w:tc>
        <w:tc>
          <w:tcPr>
            <w:tcW w:w="911" w:type="pct"/>
            <w:tcBorders>
              <w:top w:val="single" w:sz="4" w:space="0" w:color="auto"/>
              <w:bottom w:val="single" w:sz="4" w:space="0" w:color="auto"/>
            </w:tcBorders>
          </w:tcPr>
          <w:p w14:paraId="3E89B778" w14:textId="77777777" w:rsidR="009F33CD" w:rsidRDefault="00E40740">
            <w:pPr>
              <w:spacing w:before="0" w:beforeAutospacing="0" w:after="0" w:afterAutospacing="0" w:line="240" w:lineRule="auto"/>
              <w:rPr>
                <w:b/>
                <w:bCs/>
              </w:rPr>
            </w:pPr>
            <w:r>
              <w:rPr>
                <w:b/>
                <w:bCs/>
              </w:rPr>
              <w:t>Projected Sample Size</w:t>
            </w:r>
          </w:p>
        </w:tc>
        <w:tc>
          <w:tcPr>
            <w:tcW w:w="829" w:type="pct"/>
            <w:tcBorders>
              <w:top w:val="single" w:sz="4" w:space="0" w:color="auto"/>
              <w:bottom w:val="single" w:sz="4" w:space="0" w:color="auto"/>
            </w:tcBorders>
          </w:tcPr>
          <w:p w14:paraId="44503BAD" w14:textId="77777777" w:rsidR="009F33CD" w:rsidRDefault="00E40740">
            <w:pPr>
              <w:spacing w:before="0" w:beforeAutospacing="0" w:after="0" w:afterAutospacing="0" w:line="240" w:lineRule="auto"/>
              <w:rPr>
                <w:b/>
                <w:bCs/>
              </w:rPr>
            </w:pPr>
            <w:r>
              <w:rPr>
                <w:b/>
                <w:bCs/>
              </w:rPr>
              <w:t xml:space="preserve">Actual Response </w:t>
            </w:r>
          </w:p>
        </w:tc>
        <w:tc>
          <w:tcPr>
            <w:tcW w:w="832" w:type="pct"/>
            <w:tcBorders>
              <w:top w:val="single" w:sz="4" w:space="0" w:color="auto"/>
              <w:bottom w:val="single" w:sz="4" w:space="0" w:color="auto"/>
            </w:tcBorders>
          </w:tcPr>
          <w:p w14:paraId="550E47D2" w14:textId="77777777" w:rsidR="009F33CD" w:rsidRDefault="00E40740">
            <w:pPr>
              <w:spacing w:before="0" w:beforeAutospacing="0" w:after="0" w:afterAutospacing="0" w:line="240" w:lineRule="auto"/>
              <w:rPr>
                <w:b/>
                <w:bCs/>
              </w:rPr>
            </w:pPr>
            <w:r>
              <w:rPr>
                <w:b/>
                <w:bCs/>
              </w:rPr>
              <w:t>Non-Response</w:t>
            </w:r>
          </w:p>
        </w:tc>
        <w:tc>
          <w:tcPr>
            <w:tcW w:w="688" w:type="pct"/>
            <w:tcBorders>
              <w:top w:val="single" w:sz="4" w:space="0" w:color="auto"/>
              <w:bottom w:val="single" w:sz="4" w:space="0" w:color="auto"/>
            </w:tcBorders>
          </w:tcPr>
          <w:p w14:paraId="1FE61351" w14:textId="77777777" w:rsidR="009F33CD" w:rsidRDefault="00E40740">
            <w:pPr>
              <w:spacing w:before="0" w:beforeAutospacing="0" w:after="0" w:afterAutospacing="0" w:line="240" w:lineRule="auto"/>
              <w:rPr>
                <w:b/>
                <w:bCs/>
              </w:rPr>
            </w:pPr>
            <w:r>
              <w:rPr>
                <w:b/>
                <w:bCs/>
              </w:rPr>
              <w:t>Response Rate</w:t>
            </w:r>
          </w:p>
        </w:tc>
      </w:tr>
      <w:tr w:rsidR="009F33CD" w14:paraId="6B48432F" w14:textId="77777777">
        <w:trPr>
          <w:trHeight w:val="70"/>
        </w:trPr>
        <w:tc>
          <w:tcPr>
            <w:tcW w:w="1740" w:type="pct"/>
            <w:tcBorders>
              <w:top w:val="single" w:sz="4" w:space="0" w:color="auto"/>
            </w:tcBorders>
          </w:tcPr>
          <w:p w14:paraId="3799991C" w14:textId="77777777" w:rsidR="009F33CD" w:rsidRDefault="00E40740">
            <w:pPr>
              <w:spacing w:before="0" w:beforeAutospacing="0" w:after="0" w:afterAutospacing="0" w:line="240" w:lineRule="auto"/>
            </w:pPr>
            <w:r>
              <w:t>Embu Level Five Hospital</w:t>
            </w:r>
          </w:p>
        </w:tc>
        <w:tc>
          <w:tcPr>
            <w:tcW w:w="911" w:type="pct"/>
            <w:tcBorders>
              <w:top w:val="single" w:sz="4" w:space="0" w:color="auto"/>
            </w:tcBorders>
          </w:tcPr>
          <w:p w14:paraId="1A938AAF" w14:textId="77777777" w:rsidR="009F33CD" w:rsidRDefault="00E40740">
            <w:pPr>
              <w:spacing w:before="0" w:beforeAutospacing="0" w:after="0" w:afterAutospacing="0" w:line="240" w:lineRule="auto"/>
              <w:jc w:val="center"/>
            </w:pPr>
            <w:r>
              <w:t>32</w:t>
            </w:r>
          </w:p>
        </w:tc>
        <w:tc>
          <w:tcPr>
            <w:tcW w:w="829" w:type="pct"/>
            <w:tcBorders>
              <w:top w:val="single" w:sz="4" w:space="0" w:color="auto"/>
            </w:tcBorders>
          </w:tcPr>
          <w:p w14:paraId="293C284D" w14:textId="77777777" w:rsidR="009F33CD" w:rsidRDefault="00E40740">
            <w:pPr>
              <w:spacing w:before="0" w:beforeAutospacing="0" w:after="0" w:afterAutospacing="0" w:line="240" w:lineRule="auto"/>
              <w:jc w:val="center"/>
            </w:pPr>
            <w:r>
              <w:t>31</w:t>
            </w:r>
          </w:p>
        </w:tc>
        <w:tc>
          <w:tcPr>
            <w:tcW w:w="832" w:type="pct"/>
            <w:tcBorders>
              <w:top w:val="single" w:sz="4" w:space="0" w:color="auto"/>
            </w:tcBorders>
          </w:tcPr>
          <w:p w14:paraId="03E2EBD1" w14:textId="77777777" w:rsidR="009F33CD" w:rsidRDefault="00E40740">
            <w:pPr>
              <w:spacing w:before="0" w:beforeAutospacing="0" w:after="0" w:afterAutospacing="0" w:line="240" w:lineRule="auto"/>
              <w:jc w:val="center"/>
            </w:pPr>
            <w:r>
              <w:t>1</w:t>
            </w:r>
          </w:p>
        </w:tc>
        <w:tc>
          <w:tcPr>
            <w:tcW w:w="688" w:type="pct"/>
            <w:tcBorders>
              <w:top w:val="single" w:sz="4" w:space="0" w:color="auto"/>
            </w:tcBorders>
          </w:tcPr>
          <w:p w14:paraId="337D5C3C" w14:textId="77777777" w:rsidR="009F33CD" w:rsidRDefault="00E40740">
            <w:pPr>
              <w:spacing w:before="0" w:beforeAutospacing="0" w:after="0" w:afterAutospacing="0" w:line="240" w:lineRule="auto"/>
              <w:jc w:val="center"/>
            </w:pPr>
            <w:r>
              <w:t>96.8%</w:t>
            </w:r>
          </w:p>
        </w:tc>
      </w:tr>
      <w:tr w:rsidR="009F33CD" w14:paraId="5E956604" w14:textId="77777777">
        <w:trPr>
          <w:trHeight w:val="158"/>
        </w:trPr>
        <w:tc>
          <w:tcPr>
            <w:tcW w:w="1740" w:type="pct"/>
          </w:tcPr>
          <w:p w14:paraId="4E4656A9" w14:textId="77777777" w:rsidR="009F33CD" w:rsidRDefault="00E40740">
            <w:pPr>
              <w:spacing w:before="0" w:beforeAutospacing="0" w:after="0" w:afterAutospacing="0" w:line="240" w:lineRule="auto"/>
            </w:pPr>
            <w:r>
              <w:t>Nakuru Level Five Hospital</w:t>
            </w:r>
          </w:p>
        </w:tc>
        <w:tc>
          <w:tcPr>
            <w:tcW w:w="911" w:type="pct"/>
          </w:tcPr>
          <w:p w14:paraId="7B778382" w14:textId="77777777" w:rsidR="009F33CD" w:rsidRDefault="00E40740">
            <w:pPr>
              <w:spacing w:before="0" w:beforeAutospacing="0" w:after="0" w:afterAutospacing="0" w:line="240" w:lineRule="auto"/>
              <w:jc w:val="center"/>
            </w:pPr>
            <w:r>
              <w:t>37</w:t>
            </w:r>
          </w:p>
        </w:tc>
        <w:tc>
          <w:tcPr>
            <w:tcW w:w="829" w:type="pct"/>
          </w:tcPr>
          <w:p w14:paraId="32FD0491" w14:textId="77777777" w:rsidR="009F33CD" w:rsidRDefault="00E40740">
            <w:pPr>
              <w:spacing w:before="0" w:beforeAutospacing="0" w:after="0" w:afterAutospacing="0" w:line="240" w:lineRule="auto"/>
              <w:jc w:val="center"/>
            </w:pPr>
            <w:r>
              <w:t>30</w:t>
            </w:r>
          </w:p>
        </w:tc>
        <w:tc>
          <w:tcPr>
            <w:tcW w:w="832" w:type="pct"/>
          </w:tcPr>
          <w:p w14:paraId="2FA50FB6" w14:textId="77777777" w:rsidR="009F33CD" w:rsidRDefault="00E40740">
            <w:pPr>
              <w:spacing w:before="0" w:beforeAutospacing="0" w:after="0" w:afterAutospacing="0" w:line="240" w:lineRule="auto"/>
              <w:jc w:val="center"/>
            </w:pPr>
            <w:r>
              <w:t>7</w:t>
            </w:r>
          </w:p>
        </w:tc>
        <w:tc>
          <w:tcPr>
            <w:tcW w:w="688" w:type="pct"/>
          </w:tcPr>
          <w:p w14:paraId="6A587535" w14:textId="77777777" w:rsidR="009F33CD" w:rsidRDefault="00E40740">
            <w:pPr>
              <w:spacing w:before="0" w:beforeAutospacing="0" w:after="0" w:afterAutospacing="0" w:line="240" w:lineRule="auto"/>
              <w:jc w:val="center"/>
            </w:pPr>
            <w:r>
              <w:t>81.1%</w:t>
            </w:r>
          </w:p>
        </w:tc>
      </w:tr>
      <w:tr w:rsidR="009F33CD" w14:paraId="38BEAC08" w14:textId="77777777">
        <w:trPr>
          <w:trHeight w:val="158"/>
        </w:trPr>
        <w:tc>
          <w:tcPr>
            <w:tcW w:w="1740" w:type="pct"/>
          </w:tcPr>
          <w:p w14:paraId="247799A5" w14:textId="77777777" w:rsidR="009F33CD" w:rsidRDefault="00E40740">
            <w:pPr>
              <w:spacing w:before="0" w:beforeAutospacing="0" w:after="0" w:afterAutospacing="0" w:line="240" w:lineRule="auto"/>
              <w:ind w:firstLineChars="50" w:firstLine="120"/>
            </w:pPr>
            <w:r>
              <w:t>Machakos Level Five Hospital</w:t>
            </w:r>
          </w:p>
        </w:tc>
        <w:tc>
          <w:tcPr>
            <w:tcW w:w="911" w:type="pct"/>
          </w:tcPr>
          <w:p w14:paraId="1B4E21E4" w14:textId="77777777" w:rsidR="009F33CD" w:rsidRDefault="00E40740">
            <w:pPr>
              <w:spacing w:before="0" w:beforeAutospacing="0" w:after="0" w:afterAutospacing="0" w:line="240" w:lineRule="auto"/>
              <w:jc w:val="center"/>
            </w:pPr>
            <w:r>
              <w:t>33</w:t>
            </w:r>
          </w:p>
        </w:tc>
        <w:tc>
          <w:tcPr>
            <w:tcW w:w="829" w:type="pct"/>
          </w:tcPr>
          <w:p w14:paraId="1F76DE3A" w14:textId="77777777" w:rsidR="009F33CD" w:rsidRDefault="00E40740">
            <w:pPr>
              <w:spacing w:before="0" w:beforeAutospacing="0" w:after="0" w:afterAutospacing="0" w:line="240" w:lineRule="auto"/>
              <w:jc w:val="center"/>
            </w:pPr>
            <w:r>
              <w:t>32</w:t>
            </w:r>
          </w:p>
        </w:tc>
        <w:tc>
          <w:tcPr>
            <w:tcW w:w="832" w:type="pct"/>
          </w:tcPr>
          <w:p w14:paraId="2E382BF7" w14:textId="77777777" w:rsidR="009F33CD" w:rsidRDefault="00E40740">
            <w:pPr>
              <w:spacing w:before="0" w:beforeAutospacing="0" w:after="0" w:afterAutospacing="0" w:line="240" w:lineRule="auto"/>
              <w:jc w:val="center"/>
            </w:pPr>
            <w:r>
              <w:t>1</w:t>
            </w:r>
          </w:p>
        </w:tc>
        <w:tc>
          <w:tcPr>
            <w:tcW w:w="688" w:type="pct"/>
          </w:tcPr>
          <w:p w14:paraId="3BFB74DA" w14:textId="77777777" w:rsidR="009F33CD" w:rsidRDefault="00E40740">
            <w:pPr>
              <w:spacing w:before="0" w:beforeAutospacing="0" w:after="0" w:afterAutospacing="0" w:line="240" w:lineRule="auto"/>
              <w:jc w:val="center"/>
            </w:pPr>
            <w:r>
              <w:t>97.0%</w:t>
            </w:r>
          </w:p>
        </w:tc>
      </w:tr>
      <w:tr w:rsidR="009F33CD" w14:paraId="58B3E04D" w14:textId="77777777" w:rsidTr="00747714">
        <w:trPr>
          <w:trHeight w:val="158"/>
        </w:trPr>
        <w:tc>
          <w:tcPr>
            <w:tcW w:w="1740" w:type="pct"/>
          </w:tcPr>
          <w:p w14:paraId="05DA8AC6" w14:textId="77777777" w:rsidR="009F33CD" w:rsidRDefault="00E40740">
            <w:pPr>
              <w:spacing w:before="0" w:beforeAutospacing="0" w:after="0" w:afterAutospacing="0" w:line="240" w:lineRule="auto"/>
            </w:pPr>
            <w:r>
              <w:t>Mama Lucy Kibaki Level Five Hospital</w:t>
            </w:r>
          </w:p>
        </w:tc>
        <w:tc>
          <w:tcPr>
            <w:tcW w:w="911" w:type="pct"/>
          </w:tcPr>
          <w:p w14:paraId="2C0A7591" w14:textId="77777777" w:rsidR="009F33CD" w:rsidRDefault="00E40740">
            <w:pPr>
              <w:spacing w:before="0" w:beforeAutospacing="0" w:after="0" w:afterAutospacing="0" w:line="240" w:lineRule="auto"/>
              <w:jc w:val="center"/>
            </w:pPr>
            <w:r>
              <w:t>29</w:t>
            </w:r>
          </w:p>
        </w:tc>
        <w:tc>
          <w:tcPr>
            <w:tcW w:w="829" w:type="pct"/>
          </w:tcPr>
          <w:p w14:paraId="284D18E3" w14:textId="77777777" w:rsidR="009F33CD" w:rsidRDefault="00E40740">
            <w:pPr>
              <w:spacing w:before="0" w:beforeAutospacing="0" w:after="0" w:afterAutospacing="0" w:line="240" w:lineRule="auto"/>
              <w:jc w:val="center"/>
            </w:pPr>
            <w:r>
              <w:t>25</w:t>
            </w:r>
          </w:p>
        </w:tc>
        <w:tc>
          <w:tcPr>
            <w:tcW w:w="832" w:type="pct"/>
          </w:tcPr>
          <w:p w14:paraId="30C094CE" w14:textId="77777777" w:rsidR="009F33CD" w:rsidRDefault="00E40740">
            <w:pPr>
              <w:spacing w:before="0" w:beforeAutospacing="0" w:after="0" w:afterAutospacing="0" w:line="240" w:lineRule="auto"/>
              <w:jc w:val="center"/>
            </w:pPr>
            <w:r>
              <w:t>4</w:t>
            </w:r>
          </w:p>
        </w:tc>
        <w:tc>
          <w:tcPr>
            <w:tcW w:w="688" w:type="pct"/>
          </w:tcPr>
          <w:p w14:paraId="67198298" w14:textId="77777777" w:rsidR="009F33CD" w:rsidRDefault="00E40740">
            <w:pPr>
              <w:spacing w:before="0" w:beforeAutospacing="0" w:after="0" w:afterAutospacing="0" w:line="240" w:lineRule="auto"/>
              <w:jc w:val="center"/>
            </w:pPr>
            <w:r>
              <w:t>86.2%</w:t>
            </w:r>
          </w:p>
        </w:tc>
      </w:tr>
      <w:tr w:rsidR="009F33CD" w14:paraId="61D72785" w14:textId="77777777" w:rsidTr="00747714">
        <w:trPr>
          <w:trHeight w:val="45"/>
        </w:trPr>
        <w:tc>
          <w:tcPr>
            <w:tcW w:w="1740" w:type="pct"/>
            <w:tcBorders>
              <w:bottom w:val="single" w:sz="4" w:space="0" w:color="auto"/>
            </w:tcBorders>
          </w:tcPr>
          <w:p w14:paraId="07B0D712" w14:textId="77777777" w:rsidR="009F33CD" w:rsidRDefault="00E40740">
            <w:pPr>
              <w:spacing w:before="0" w:beforeAutospacing="0" w:after="0" w:afterAutospacing="0" w:line="240" w:lineRule="auto"/>
              <w:rPr>
                <w:b/>
                <w:bCs/>
              </w:rPr>
            </w:pPr>
            <w:r>
              <w:rPr>
                <w:b/>
                <w:bCs/>
              </w:rPr>
              <w:t>Total</w:t>
            </w:r>
          </w:p>
        </w:tc>
        <w:tc>
          <w:tcPr>
            <w:tcW w:w="911" w:type="pct"/>
            <w:tcBorders>
              <w:bottom w:val="single" w:sz="4" w:space="0" w:color="auto"/>
            </w:tcBorders>
          </w:tcPr>
          <w:p w14:paraId="26379300" w14:textId="77777777" w:rsidR="009F33CD" w:rsidRDefault="00E40740">
            <w:pPr>
              <w:spacing w:before="0" w:beforeAutospacing="0" w:after="0" w:afterAutospacing="0" w:line="240" w:lineRule="auto"/>
              <w:jc w:val="center"/>
              <w:rPr>
                <w:b/>
                <w:bCs/>
              </w:rPr>
            </w:pPr>
            <w:r>
              <w:rPr>
                <w:b/>
                <w:bCs/>
              </w:rPr>
              <w:t>131</w:t>
            </w:r>
          </w:p>
        </w:tc>
        <w:tc>
          <w:tcPr>
            <w:tcW w:w="829" w:type="pct"/>
            <w:tcBorders>
              <w:bottom w:val="single" w:sz="4" w:space="0" w:color="auto"/>
            </w:tcBorders>
          </w:tcPr>
          <w:p w14:paraId="3D0F2916" w14:textId="77777777" w:rsidR="009F33CD" w:rsidRDefault="00E40740">
            <w:pPr>
              <w:spacing w:before="0" w:beforeAutospacing="0" w:after="0" w:afterAutospacing="0" w:line="240" w:lineRule="auto"/>
              <w:jc w:val="center"/>
              <w:rPr>
                <w:b/>
                <w:bCs/>
              </w:rPr>
            </w:pPr>
            <w:r>
              <w:rPr>
                <w:b/>
                <w:bCs/>
              </w:rPr>
              <w:t>118</w:t>
            </w:r>
          </w:p>
        </w:tc>
        <w:tc>
          <w:tcPr>
            <w:tcW w:w="832" w:type="pct"/>
            <w:tcBorders>
              <w:bottom w:val="single" w:sz="4" w:space="0" w:color="auto"/>
            </w:tcBorders>
          </w:tcPr>
          <w:p w14:paraId="09A812C7" w14:textId="77777777" w:rsidR="009F33CD" w:rsidRDefault="00E40740">
            <w:pPr>
              <w:spacing w:before="0" w:beforeAutospacing="0" w:after="0" w:afterAutospacing="0" w:line="240" w:lineRule="auto"/>
              <w:jc w:val="center"/>
              <w:rPr>
                <w:b/>
                <w:bCs/>
              </w:rPr>
            </w:pPr>
            <w:r>
              <w:rPr>
                <w:b/>
                <w:bCs/>
              </w:rPr>
              <w:t>13</w:t>
            </w:r>
          </w:p>
        </w:tc>
        <w:tc>
          <w:tcPr>
            <w:tcW w:w="688" w:type="pct"/>
            <w:tcBorders>
              <w:bottom w:val="single" w:sz="4" w:space="0" w:color="auto"/>
            </w:tcBorders>
          </w:tcPr>
          <w:p w14:paraId="0FE51158" w14:textId="77777777" w:rsidR="009F33CD" w:rsidRDefault="00E40740">
            <w:pPr>
              <w:spacing w:before="0" w:beforeAutospacing="0" w:after="0" w:afterAutospacing="0" w:line="240" w:lineRule="auto"/>
              <w:jc w:val="center"/>
              <w:rPr>
                <w:b/>
                <w:bCs/>
              </w:rPr>
            </w:pPr>
            <w:r>
              <w:rPr>
                <w:b/>
                <w:bCs/>
              </w:rPr>
              <w:t>90.1%</w:t>
            </w:r>
          </w:p>
        </w:tc>
      </w:tr>
    </w:tbl>
    <w:p w14:paraId="16140F42" w14:textId="77777777" w:rsidR="009F33CD" w:rsidRDefault="00E40740">
      <w:pPr>
        <w:pStyle w:val="Heading2"/>
        <w:spacing w:before="240"/>
        <w:rPr>
          <w:lang w:val="en-GB"/>
        </w:rPr>
      </w:pPr>
      <w:bookmarkStart w:id="799" w:name="_Toc224237719"/>
      <w:r>
        <w:rPr>
          <w:lang w:val="en-GB"/>
        </w:rPr>
        <w:t>4.3 Pilot Study Findings</w:t>
      </w:r>
      <w:bookmarkEnd w:id="799"/>
    </w:p>
    <w:p w14:paraId="1A9A06B5" w14:textId="77777777" w:rsidR="009F33CD" w:rsidRDefault="00E40740">
      <w:pPr>
        <w:spacing w:before="240"/>
        <w:rPr>
          <w:rFonts w:cs="Times New Roman"/>
          <w:bCs/>
          <w:color w:val="000000"/>
          <w:szCs w:val="24"/>
          <w:lang w:eastAsia="en-GB" w:bidi="th-TH"/>
        </w:rPr>
      </w:pPr>
      <w:r>
        <w:rPr>
          <w:rFonts w:cs="Times New Roman"/>
          <w:bCs/>
          <w:szCs w:val="24"/>
          <w:lang w:eastAsia="en-GB" w:bidi="th-TH"/>
        </w:rPr>
        <w:t xml:space="preserve">Pilot studies are conducted to detect weaknesses in design and instrumentation and provide proxy data for the selection of probability samples (Cooper &amp; Schindler, 2007). A pilot study was conducted on 13 respondents who were </w:t>
      </w:r>
      <w:r>
        <w:rPr>
          <w:rFonts w:cs="Times New Roman"/>
          <w:bCs/>
          <w:color w:val="000000"/>
          <w:szCs w:val="24"/>
          <w:lang w:eastAsia="en-GB" w:bidi="th-TH"/>
        </w:rPr>
        <w:t xml:space="preserve">picked using random numbers from management employees of Chuka Level Five Hospital. These respondents represented 10% of the sample size of 131. Chuka Level Five Hospital was excluded from the final study. The pilot study assisted the researcher in determining if the selected questions could measure what they were supposed to measure, if the wording was clear, and if all questions were interpreted in the same way by respondents. </w:t>
      </w:r>
    </w:p>
    <w:p w14:paraId="22001C48" w14:textId="77777777" w:rsidR="009F33CD" w:rsidRDefault="00E40740" w:rsidP="00747714">
      <w:pPr>
        <w:pStyle w:val="Heading3"/>
      </w:pPr>
      <w:bookmarkStart w:id="800" w:name="_Toc188442595"/>
      <w:bookmarkStart w:id="801" w:name="_Toc187080839"/>
      <w:bookmarkStart w:id="802" w:name="_Toc188443969"/>
      <w:bookmarkStart w:id="803" w:name="_Toc224160659"/>
      <w:bookmarkStart w:id="804" w:name="_Toc224237720"/>
      <w:r>
        <w:t>4.3.1 Reliability Test Findings</w:t>
      </w:r>
      <w:bookmarkEnd w:id="800"/>
      <w:bookmarkEnd w:id="801"/>
      <w:bookmarkEnd w:id="802"/>
      <w:bookmarkEnd w:id="803"/>
      <w:bookmarkEnd w:id="804"/>
    </w:p>
    <w:p w14:paraId="7949B76A" w14:textId="77777777" w:rsidR="009F33CD" w:rsidRDefault="00E40740">
      <w:pPr>
        <w:spacing w:before="240"/>
        <w:rPr>
          <w:rFonts w:cs="Times New Roman"/>
          <w:bCs/>
          <w:szCs w:val="24"/>
        </w:rPr>
      </w:pPr>
      <w:r>
        <w:rPr>
          <w:rFonts w:cs="Times New Roman"/>
          <w:bCs/>
          <w:szCs w:val="24"/>
        </w:rPr>
        <w:t xml:space="preserve">The pilot study was undertaken to test the feasibility of the research design and ascertain the reliability of the research instrument. The linguistic aspects of the instrument were clarified, and its precision was assessed. In order to assess the instrument's reliability, Cronbach's Alpha formula was employed, with a suggested coefficient range of 0.7 to 0.9 (Mugenda &amp; Mugenda, 2013). The findings of Cronbach’s alpha coefficients of the study variables are presented in Table 4.2. </w:t>
      </w:r>
    </w:p>
    <w:p w14:paraId="1C0E65BB" w14:textId="77777777" w:rsidR="00436612" w:rsidRDefault="00436612">
      <w:pPr>
        <w:autoSpaceDE/>
        <w:autoSpaceDN/>
        <w:adjustRightInd/>
        <w:spacing w:before="0" w:beforeAutospacing="0" w:after="0" w:afterAutospacing="0" w:line="240" w:lineRule="auto"/>
        <w:jc w:val="left"/>
        <w:rPr>
          <w:rFonts w:eastAsiaTheme="majorEastAsia" w:cstheme="majorBidi"/>
          <w:b/>
        </w:rPr>
      </w:pPr>
      <w:bookmarkStart w:id="805" w:name="_Toc187080840"/>
      <w:bookmarkStart w:id="806" w:name="_Toc185614069"/>
      <w:bookmarkStart w:id="807" w:name="_Toc224237431"/>
      <w:r>
        <w:br w:type="page"/>
      </w:r>
    </w:p>
    <w:p w14:paraId="6F617319" w14:textId="77777777" w:rsidR="009F33CD" w:rsidRDefault="00E40740">
      <w:pPr>
        <w:pStyle w:val="Heading6"/>
      </w:pPr>
      <w:r>
        <w:lastRenderedPageBreak/>
        <w:t>Table 4.2: Reliability Coefficients for Study Variables</w:t>
      </w:r>
      <w:bookmarkEnd w:id="805"/>
      <w:bookmarkEnd w:id="806"/>
      <w:bookmarkEnd w:id="80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61"/>
        <w:gridCol w:w="1570"/>
        <w:gridCol w:w="2889"/>
      </w:tblGrid>
      <w:tr w:rsidR="009F33CD" w14:paraId="77BAD801" w14:textId="77777777">
        <w:tc>
          <w:tcPr>
            <w:tcW w:w="4680" w:type="dxa"/>
            <w:tcBorders>
              <w:bottom w:val="single" w:sz="4" w:space="0" w:color="auto"/>
            </w:tcBorders>
          </w:tcPr>
          <w:p w14:paraId="088980D1" w14:textId="77777777" w:rsidR="009F33CD" w:rsidRDefault="00E40740">
            <w:pPr>
              <w:spacing w:before="240" w:line="240" w:lineRule="auto"/>
              <w:rPr>
                <w:b/>
                <w:szCs w:val="24"/>
              </w:rPr>
            </w:pPr>
            <w:r>
              <w:rPr>
                <w:b/>
                <w:szCs w:val="24"/>
              </w:rPr>
              <w:t>Study Variable</w:t>
            </w:r>
          </w:p>
        </w:tc>
        <w:tc>
          <w:tcPr>
            <w:tcW w:w="1921" w:type="dxa"/>
            <w:tcBorders>
              <w:bottom w:val="single" w:sz="4" w:space="0" w:color="auto"/>
            </w:tcBorders>
          </w:tcPr>
          <w:p w14:paraId="1E1F99C9" w14:textId="77777777" w:rsidR="009F33CD" w:rsidRDefault="00E40740">
            <w:pPr>
              <w:spacing w:before="240" w:line="240" w:lineRule="auto"/>
              <w:jc w:val="center"/>
              <w:rPr>
                <w:b/>
                <w:szCs w:val="24"/>
              </w:rPr>
            </w:pPr>
            <w:r>
              <w:rPr>
                <w:b/>
                <w:szCs w:val="24"/>
              </w:rPr>
              <w:t>No. of Test Item</w:t>
            </w:r>
          </w:p>
        </w:tc>
        <w:tc>
          <w:tcPr>
            <w:tcW w:w="3479" w:type="dxa"/>
            <w:tcBorders>
              <w:bottom w:val="single" w:sz="4" w:space="0" w:color="auto"/>
            </w:tcBorders>
          </w:tcPr>
          <w:p w14:paraId="3D5B6EEA" w14:textId="77777777" w:rsidR="009F33CD" w:rsidRDefault="00E40740">
            <w:pPr>
              <w:spacing w:before="240" w:line="240" w:lineRule="auto"/>
              <w:jc w:val="center"/>
              <w:rPr>
                <w:b/>
                <w:szCs w:val="24"/>
              </w:rPr>
            </w:pPr>
            <w:r>
              <w:rPr>
                <w:b/>
                <w:szCs w:val="24"/>
              </w:rPr>
              <w:t>Cronbach’s alpha Coefficient</w:t>
            </w:r>
          </w:p>
        </w:tc>
      </w:tr>
      <w:tr w:rsidR="009F33CD" w14:paraId="61D9E977" w14:textId="77777777">
        <w:tc>
          <w:tcPr>
            <w:tcW w:w="4680" w:type="dxa"/>
            <w:tcBorders>
              <w:top w:val="single" w:sz="4" w:space="0" w:color="auto"/>
              <w:bottom w:val="nil"/>
            </w:tcBorders>
          </w:tcPr>
          <w:p w14:paraId="55FD85C3" w14:textId="77777777" w:rsidR="009F33CD" w:rsidRDefault="00E40740">
            <w:pPr>
              <w:spacing w:before="240" w:line="240" w:lineRule="auto"/>
              <w:rPr>
                <w:bCs/>
                <w:szCs w:val="24"/>
              </w:rPr>
            </w:pPr>
            <w:r>
              <w:rPr>
                <w:bCs/>
                <w:szCs w:val="24"/>
              </w:rPr>
              <w:t>Green Employee Resourcing</w:t>
            </w:r>
          </w:p>
        </w:tc>
        <w:tc>
          <w:tcPr>
            <w:tcW w:w="1921" w:type="dxa"/>
            <w:tcBorders>
              <w:top w:val="single" w:sz="4" w:space="0" w:color="auto"/>
              <w:bottom w:val="nil"/>
            </w:tcBorders>
          </w:tcPr>
          <w:p w14:paraId="7A017D27" w14:textId="77777777" w:rsidR="009F33CD" w:rsidRDefault="00E40740">
            <w:pPr>
              <w:spacing w:before="240" w:line="240" w:lineRule="auto"/>
              <w:jc w:val="center"/>
              <w:rPr>
                <w:bCs/>
                <w:szCs w:val="24"/>
              </w:rPr>
            </w:pPr>
            <w:r>
              <w:rPr>
                <w:bCs/>
                <w:szCs w:val="24"/>
              </w:rPr>
              <w:t>7</w:t>
            </w:r>
          </w:p>
        </w:tc>
        <w:tc>
          <w:tcPr>
            <w:tcW w:w="3479" w:type="dxa"/>
            <w:tcBorders>
              <w:top w:val="single" w:sz="4" w:space="0" w:color="auto"/>
              <w:bottom w:val="nil"/>
            </w:tcBorders>
          </w:tcPr>
          <w:p w14:paraId="262B2FEA" w14:textId="77777777" w:rsidR="009F33CD" w:rsidRDefault="00E40740">
            <w:pPr>
              <w:spacing w:before="240" w:line="240" w:lineRule="auto"/>
              <w:jc w:val="center"/>
              <w:rPr>
                <w:bCs/>
                <w:szCs w:val="24"/>
              </w:rPr>
            </w:pPr>
            <w:r>
              <w:rPr>
                <w:bCs/>
                <w:szCs w:val="24"/>
              </w:rPr>
              <w:t>0.890</w:t>
            </w:r>
          </w:p>
        </w:tc>
      </w:tr>
      <w:tr w:rsidR="009F33CD" w14:paraId="2D2CE75D" w14:textId="77777777">
        <w:tc>
          <w:tcPr>
            <w:tcW w:w="4680" w:type="dxa"/>
            <w:tcBorders>
              <w:top w:val="nil"/>
              <w:bottom w:val="nil"/>
            </w:tcBorders>
          </w:tcPr>
          <w:p w14:paraId="7FDE62AD" w14:textId="77777777" w:rsidR="009F33CD" w:rsidRDefault="00E40740">
            <w:pPr>
              <w:spacing w:before="240" w:line="240" w:lineRule="auto"/>
              <w:rPr>
                <w:bCs/>
                <w:szCs w:val="24"/>
              </w:rPr>
            </w:pPr>
            <w:r>
              <w:rPr>
                <w:bCs/>
                <w:szCs w:val="24"/>
              </w:rPr>
              <w:t>Green Training</w:t>
            </w:r>
          </w:p>
        </w:tc>
        <w:tc>
          <w:tcPr>
            <w:tcW w:w="1921" w:type="dxa"/>
            <w:tcBorders>
              <w:top w:val="nil"/>
              <w:bottom w:val="nil"/>
            </w:tcBorders>
          </w:tcPr>
          <w:p w14:paraId="117C8EFF" w14:textId="77777777" w:rsidR="009F33CD" w:rsidRDefault="00E40740">
            <w:pPr>
              <w:spacing w:before="240" w:line="240" w:lineRule="auto"/>
              <w:jc w:val="center"/>
              <w:rPr>
                <w:bCs/>
                <w:szCs w:val="24"/>
              </w:rPr>
            </w:pPr>
            <w:r>
              <w:rPr>
                <w:bCs/>
                <w:szCs w:val="24"/>
              </w:rPr>
              <w:t>8</w:t>
            </w:r>
          </w:p>
        </w:tc>
        <w:tc>
          <w:tcPr>
            <w:tcW w:w="3479" w:type="dxa"/>
            <w:tcBorders>
              <w:top w:val="nil"/>
              <w:bottom w:val="nil"/>
            </w:tcBorders>
          </w:tcPr>
          <w:p w14:paraId="728681C2" w14:textId="77777777" w:rsidR="009F33CD" w:rsidRDefault="00E40740">
            <w:pPr>
              <w:spacing w:before="240" w:line="240" w:lineRule="auto"/>
              <w:jc w:val="center"/>
              <w:rPr>
                <w:bCs/>
                <w:szCs w:val="24"/>
              </w:rPr>
            </w:pPr>
            <w:r>
              <w:rPr>
                <w:bCs/>
                <w:szCs w:val="24"/>
              </w:rPr>
              <w:t>0.792</w:t>
            </w:r>
          </w:p>
        </w:tc>
      </w:tr>
      <w:tr w:rsidR="009F33CD" w14:paraId="53759BCB" w14:textId="77777777">
        <w:tc>
          <w:tcPr>
            <w:tcW w:w="4680" w:type="dxa"/>
            <w:tcBorders>
              <w:top w:val="nil"/>
              <w:bottom w:val="nil"/>
            </w:tcBorders>
          </w:tcPr>
          <w:p w14:paraId="2EB4A63D" w14:textId="77777777" w:rsidR="009F33CD" w:rsidRDefault="00E40740">
            <w:pPr>
              <w:spacing w:before="240" w:line="240" w:lineRule="auto"/>
              <w:rPr>
                <w:bCs/>
                <w:szCs w:val="24"/>
              </w:rPr>
            </w:pPr>
            <w:r>
              <w:rPr>
                <w:bCs/>
                <w:szCs w:val="24"/>
              </w:rPr>
              <w:t>Green occupational Safety and Health</w:t>
            </w:r>
          </w:p>
        </w:tc>
        <w:tc>
          <w:tcPr>
            <w:tcW w:w="1921" w:type="dxa"/>
            <w:tcBorders>
              <w:top w:val="nil"/>
              <w:bottom w:val="nil"/>
            </w:tcBorders>
          </w:tcPr>
          <w:p w14:paraId="635A48A0" w14:textId="77777777" w:rsidR="009F33CD" w:rsidRDefault="00E40740">
            <w:pPr>
              <w:spacing w:before="240" w:line="240" w:lineRule="auto"/>
              <w:jc w:val="center"/>
              <w:rPr>
                <w:bCs/>
                <w:szCs w:val="24"/>
              </w:rPr>
            </w:pPr>
            <w:r>
              <w:rPr>
                <w:bCs/>
                <w:szCs w:val="24"/>
              </w:rPr>
              <w:t>7</w:t>
            </w:r>
          </w:p>
        </w:tc>
        <w:tc>
          <w:tcPr>
            <w:tcW w:w="3479" w:type="dxa"/>
            <w:tcBorders>
              <w:top w:val="nil"/>
              <w:bottom w:val="nil"/>
            </w:tcBorders>
          </w:tcPr>
          <w:p w14:paraId="19A1137F" w14:textId="77777777" w:rsidR="009F33CD" w:rsidRDefault="00E40740">
            <w:pPr>
              <w:spacing w:before="240" w:line="240" w:lineRule="auto"/>
              <w:jc w:val="center"/>
              <w:rPr>
                <w:bCs/>
                <w:szCs w:val="24"/>
              </w:rPr>
            </w:pPr>
            <w:r>
              <w:rPr>
                <w:bCs/>
                <w:szCs w:val="24"/>
              </w:rPr>
              <w:t>0.880</w:t>
            </w:r>
          </w:p>
        </w:tc>
      </w:tr>
      <w:tr w:rsidR="009F33CD" w14:paraId="16BEAD4C" w14:textId="77777777">
        <w:tc>
          <w:tcPr>
            <w:tcW w:w="4680" w:type="dxa"/>
            <w:tcBorders>
              <w:top w:val="nil"/>
              <w:bottom w:val="nil"/>
            </w:tcBorders>
          </w:tcPr>
          <w:p w14:paraId="61E69E79" w14:textId="77777777" w:rsidR="009F33CD" w:rsidRDefault="00E40740">
            <w:pPr>
              <w:spacing w:before="240" w:line="240" w:lineRule="auto"/>
              <w:rPr>
                <w:bCs/>
                <w:szCs w:val="24"/>
              </w:rPr>
            </w:pPr>
            <w:r>
              <w:rPr>
                <w:bCs/>
                <w:szCs w:val="24"/>
              </w:rPr>
              <w:t>Green Performance Evaluation</w:t>
            </w:r>
          </w:p>
        </w:tc>
        <w:tc>
          <w:tcPr>
            <w:tcW w:w="1921" w:type="dxa"/>
            <w:tcBorders>
              <w:top w:val="nil"/>
              <w:bottom w:val="nil"/>
            </w:tcBorders>
          </w:tcPr>
          <w:p w14:paraId="675A7F17" w14:textId="77777777" w:rsidR="009F33CD" w:rsidRDefault="00E40740">
            <w:pPr>
              <w:spacing w:before="240" w:line="240" w:lineRule="auto"/>
              <w:jc w:val="center"/>
              <w:rPr>
                <w:bCs/>
                <w:szCs w:val="24"/>
              </w:rPr>
            </w:pPr>
            <w:r>
              <w:rPr>
                <w:bCs/>
                <w:szCs w:val="24"/>
              </w:rPr>
              <w:t>7</w:t>
            </w:r>
          </w:p>
        </w:tc>
        <w:tc>
          <w:tcPr>
            <w:tcW w:w="3479" w:type="dxa"/>
            <w:tcBorders>
              <w:top w:val="nil"/>
              <w:bottom w:val="nil"/>
            </w:tcBorders>
          </w:tcPr>
          <w:p w14:paraId="15CA8E38" w14:textId="77777777" w:rsidR="009F33CD" w:rsidRDefault="00E40740">
            <w:pPr>
              <w:spacing w:before="240" w:line="240" w:lineRule="auto"/>
              <w:jc w:val="center"/>
              <w:rPr>
                <w:bCs/>
                <w:szCs w:val="24"/>
              </w:rPr>
            </w:pPr>
            <w:r>
              <w:rPr>
                <w:bCs/>
                <w:szCs w:val="24"/>
              </w:rPr>
              <w:t>0.884</w:t>
            </w:r>
          </w:p>
        </w:tc>
      </w:tr>
      <w:tr w:rsidR="009F33CD" w14:paraId="0EC9D190" w14:textId="77777777">
        <w:tc>
          <w:tcPr>
            <w:tcW w:w="4680" w:type="dxa"/>
            <w:tcBorders>
              <w:top w:val="nil"/>
              <w:bottom w:val="nil"/>
            </w:tcBorders>
          </w:tcPr>
          <w:p w14:paraId="2C0B03DE" w14:textId="77777777" w:rsidR="009F33CD" w:rsidRDefault="00E40740">
            <w:pPr>
              <w:spacing w:before="240" w:line="240" w:lineRule="auto"/>
              <w:rPr>
                <w:bCs/>
                <w:szCs w:val="24"/>
              </w:rPr>
            </w:pPr>
            <w:r>
              <w:rPr>
                <w:bCs/>
                <w:szCs w:val="24"/>
              </w:rPr>
              <w:t>Management Style</w:t>
            </w:r>
          </w:p>
        </w:tc>
        <w:tc>
          <w:tcPr>
            <w:tcW w:w="1921" w:type="dxa"/>
            <w:tcBorders>
              <w:top w:val="nil"/>
              <w:bottom w:val="nil"/>
            </w:tcBorders>
          </w:tcPr>
          <w:p w14:paraId="3DA02B86" w14:textId="77777777" w:rsidR="009F33CD" w:rsidRDefault="00E40740">
            <w:pPr>
              <w:spacing w:before="240" w:line="240" w:lineRule="auto"/>
              <w:jc w:val="center"/>
              <w:rPr>
                <w:bCs/>
                <w:szCs w:val="24"/>
              </w:rPr>
            </w:pPr>
            <w:r>
              <w:rPr>
                <w:bCs/>
                <w:szCs w:val="24"/>
              </w:rPr>
              <w:t>7</w:t>
            </w:r>
          </w:p>
        </w:tc>
        <w:tc>
          <w:tcPr>
            <w:tcW w:w="3479" w:type="dxa"/>
            <w:tcBorders>
              <w:top w:val="nil"/>
              <w:bottom w:val="nil"/>
            </w:tcBorders>
          </w:tcPr>
          <w:p w14:paraId="44B27F48" w14:textId="77777777" w:rsidR="009F33CD" w:rsidRDefault="00E40740">
            <w:pPr>
              <w:spacing w:before="240" w:line="240" w:lineRule="auto"/>
              <w:jc w:val="center"/>
              <w:rPr>
                <w:bCs/>
                <w:szCs w:val="24"/>
              </w:rPr>
            </w:pPr>
            <w:r>
              <w:rPr>
                <w:bCs/>
                <w:szCs w:val="24"/>
              </w:rPr>
              <w:t>0.917</w:t>
            </w:r>
          </w:p>
        </w:tc>
      </w:tr>
      <w:tr w:rsidR="009F33CD" w14:paraId="501CBCA7" w14:textId="77777777">
        <w:tc>
          <w:tcPr>
            <w:tcW w:w="4680" w:type="dxa"/>
            <w:tcBorders>
              <w:top w:val="nil"/>
              <w:bottom w:val="single" w:sz="4" w:space="0" w:color="auto"/>
            </w:tcBorders>
          </w:tcPr>
          <w:p w14:paraId="6F794412" w14:textId="77777777" w:rsidR="009F33CD" w:rsidRDefault="00E40740">
            <w:pPr>
              <w:spacing w:before="240" w:line="240" w:lineRule="auto"/>
              <w:rPr>
                <w:bCs/>
                <w:szCs w:val="24"/>
              </w:rPr>
            </w:pPr>
            <w:r>
              <w:rPr>
                <w:bCs/>
                <w:szCs w:val="24"/>
              </w:rPr>
              <w:t xml:space="preserve">Performance </w:t>
            </w:r>
          </w:p>
        </w:tc>
        <w:tc>
          <w:tcPr>
            <w:tcW w:w="1921" w:type="dxa"/>
            <w:tcBorders>
              <w:top w:val="nil"/>
              <w:bottom w:val="single" w:sz="4" w:space="0" w:color="auto"/>
            </w:tcBorders>
          </w:tcPr>
          <w:p w14:paraId="1A3560AD" w14:textId="77777777" w:rsidR="009F33CD" w:rsidRDefault="00E40740">
            <w:pPr>
              <w:spacing w:before="240" w:line="240" w:lineRule="auto"/>
              <w:jc w:val="center"/>
              <w:rPr>
                <w:bCs/>
                <w:szCs w:val="24"/>
              </w:rPr>
            </w:pPr>
            <w:r>
              <w:rPr>
                <w:bCs/>
                <w:szCs w:val="24"/>
              </w:rPr>
              <w:t>7</w:t>
            </w:r>
          </w:p>
        </w:tc>
        <w:tc>
          <w:tcPr>
            <w:tcW w:w="3479" w:type="dxa"/>
            <w:tcBorders>
              <w:top w:val="nil"/>
              <w:bottom w:val="single" w:sz="4" w:space="0" w:color="auto"/>
            </w:tcBorders>
          </w:tcPr>
          <w:p w14:paraId="0CCA8353" w14:textId="77777777" w:rsidR="009F33CD" w:rsidRDefault="00E40740">
            <w:pPr>
              <w:spacing w:before="240" w:line="240" w:lineRule="auto"/>
              <w:jc w:val="center"/>
              <w:rPr>
                <w:bCs/>
                <w:szCs w:val="24"/>
              </w:rPr>
            </w:pPr>
            <w:r>
              <w:rPr>
                <w:bCs/>
                <w:szCs w:val="24"/>
              </w:rPr>
              <w:t>0.861</w:t>
            </w:r>
          </w:p>
        </w:tc>
      </w:tr>
    </w:tbl>
    <w:p w14:paraId="797E20AA" w14:textId="77777777" w:rsidR="00A74A5E" w:rsidRDefault="00E40740" w:rsidP="00A74A5E">
      <w:pPr>
        <w:spacing w:before="240"/>
        <w:rPr>
          <w:rFonts w:cs="Times New Roman"/>
          <w:bCs/>
          <w:szCs w:val="24"/>
        </w:rPr>
      </w:pPr>
      <w:r>
        <w:rPr>
          <w:rFonts w:cs="Times New Roman"/>
          <w:bCs/>
          <w:szCs w:val="24"/>
        </w:rPr>
        <w:t xml:space="preserve">From Table 4. 2, all research variables had a Cronbach alpha value greater than 0.7, showing that they met the required reliability criterion (Sarstedt </w:t>
      </w:r>
      <w:r>
        <w:rPr>
          <w:rFonts w:cs="Times New Roman"/>
          <w:bCs/>
          <w:i/>
          <w:szCs w:val="24"/>
        </w:rPr>
        <w:t>et al.,</w:t>
      </w:r>
      <w:r>
        <w:rPr>
          <w:rFonts w:cs="Times New Roman"/>
          <w:bCs/>
          <w:szCs w:val="24"/>
        </w:rPr>
        <w:t xml:space="preserve"> 2017). These results indicated that the design of questionnaire items signified high internal consistency (Hair </w:t>
      </w:r>
      <w:r>
        <w:rPr>
          <w:rFonts w:cs="Times New Roman"/>
          <w:bCs/>
          <w:i/>
          <w:szCs w:val="24"/>
        </w:rPr>
        <w:t>et al</w:t>
      </w:r>
      <w:r>
        <w:rPr>
          <w:rFonts w:cs="Times New Roman"/>
          <w:bCs/>
          <w:szCs w:val="24"/>
        </w:rPr>
        <w:t xml:space="preserve">, 2017). All the study variables (the predictor, moderating, and criterion) were retained because they all complied with Cronbach’s Alpha value of 0.7 to 0.9 (Pallant (2010). </w:t>
      </w:r>
    </w:p>
    <w:p w14:paraId="76B81D54" w14:textId="77777777" w:rsidR="00A74A5E" w:rsidRPr="00A74A5E" w:rsidRDefault="00A74A5E" w:rsidP="00747714">
      <w:pPr>
        <w:pStyle w:val="Heading3"/>
      </w:pPr>
      <w:bookmarkStart w:id="808" w:name="_Toc224237721"/>
      <w:r w:rsidRPr="00A74A5E">
        <w:t>4.3.2 Validity Test Findings</w:t>
      </w:r>
      <w:bookmarkEnd w:id="808"/>
    </w:p>
    <w:p w14:paraId="104A1E39" w14:textId="77777777" w:rsidR="00E40740" w:rsidRDefault="00AD410E" w:rsidP="00AD410E">
      <w:pPr>
        <w:spacing w:before="240"/>
        <w:rPr>
          <w:rFonts w:cs="Times New Roman"/>
          <w:bCs/>
          <w:szCs w:val="24"/>
        </w:rPr>
      </w:pPr>
      <w:r w:rsidRPr="00AD410E">
        <w:rPr>
          <w:rFonts w:cs="Times New Roman"/>
          <w:bCs/>
          <w:szCs w:val="24"/>
        </w:rPr>
        <w:t>To establish the statistical rigor of the research instrument, construct validity and factor suitability were evaluated using the Fornell-Larcker (1981) criterion and the Kaiser-Meyer-Olkin (KMO) measure. According to Kline (2013), construct validity is achieved when items measuring the same latent variable show moderate inter-correlation (convergent validity), while variables measuring different constructs display low inter-correlations (discriminant validity). As illustrated in Table 4.</w:t>
      </w:r>
      <w:r w:rsidR="00383394">
        <w:rPr>
          <w:rFonts w:cs="Times New Roman"/>
          <w:bCs/>
          <w:szCs w:val="24"/>
        </w:rPr>
        <w:t>3</w:t>
      </w:r>
      <w:r w:rsidRPr="00AD410E">
        <w:rPr>
          <w:rFonts w:cs="Times New Roman"/>
          <w:bCs/>
          <w:szCs w:val="24"/>
        </w:rPr>
        <w:t>, all constructs yielded Average Variance Extracted (AVE) values ranging from 0.59</w:t>
      </w:r>
      <w:r w:rsidR="00383394">
        <w:rPr>
          <w:rFonts w:cs="Times New Roman"/>
          <w:bCs/>
          <w:szCs w:val="24"/>
        </w:rPr>
        <w:t>3</w:t>
      </w:r>
      <w:r w:rsidRPr="00AD410E">
        <w:rPr>
          <w:rFonts w:cs="Times New Roman"/>
          <w:bCs/>
          <w:szCs w:val="24"/>
        </w:rPr>
        <w:t xml:space="preserve"> to 0.78</w:t>
      </w:r>
      <w:r w:rsidR="00383394">
        <w:rPr>
          <w:rFonts w:cs="Times New Roman"/>
          <w:bCs/>
          <w:szCs w:val="24"/>
        </w:rPr>
        <w:t>8</w:t>
      </w:r>
      <w:r w:rsidRPr="00AD410E">
        <w:rPr>
          <w:rFonts w:cs="Times New Roman"/>
          <w:bCs/>
          <w:szCs w:val="24"/>
        </w:rPr>
        <w:t>. Since these values exceed the 0.5 threshold cited by Alarcon and Sanchez (2015), convergent validity is confirmed. Furthermore, discriminant validity was established because the squared multiple correlations for each variable remained strictly lower than their respective AVEs, ensuring that each construct is a distinct and unique measure. The suitability of the data for factor extraction was further verified by the KMO index and Bartlett's Test of Sphericity. The KMO values range from 0.60</w:t>
      </w:r>
      <w:r w:rsidR="00383394">
        <w:rPr>
          <w:rFonts w:cs="Times New Roman"/>
          <w:bCs/>
          <w:szCs w:val="24"/>
        </w:rPr>
        <w:t>8</w:t>
      </w:r>
      <w:r w:rsidRPr="00AD410E">
        <w:rPr>
          <w:rFonts w:cs="Times New Roman"/>
          <w:bCs/>
          <w:szCs w:val="24"/>
        </w:rPr>
        <w:t xml:space="preserve"> to 0.783, all surpassing the 0.60 benchmark, which indicates that the sum of partial correlations is sufficiently small relative to the sum of correlations to yield reliable factors. Simultaneously, Bartlett’s Test produced a significance level of p=0</w:t>
      </w:r>
      <w:r w:rsidR="00383394">
        <w:rPr>
          <w:rFonts w:cs="Times New Roman"/>
          <w:bCs/>
          <w:szCs w:val="24"/>
        </w:rPr>
        <w:t>.</w:t>
      </w:r>
      <w:r w:rsidRPr="00AD410E">
        <w:rPr>
          <w:rFonts w:cs="Times New Roman"/>
          <w:bCs/>
          <w:szCs w:val="24"/>
        </w:rPr>
        <w:t xml:space="preserve">000 </w:t>
      </w:r>
      <w:r w:rsidRPr="00AD410E">
        <w:rPr>
          <w:rFonts w:cs="Times New Roman"/>
          <w:bCs/>
          <w:szCs w:val="24"/>
        </w:rPr>
        <w:lastRenderedPageBreak/>
        <w:t>across all variables, rejecting the null hypothesis that the correlation matrix is an identity matrix. These results provide a statistical mandate for factor extraction, ensuring that the relationships observed in the forthcoming hypothesis testing are based on stable, non-random data structures. Consequently, the instrument demonstrates robust psychometric properties and is fit for use in the main study.</w:t>
      </w:r>
    </w:p>
    <w:p w14:paraId="06762A2E" w14:textId="77777777" w:rsidR="00AD410E" w:rsidRPr="00AD410E" w:rsidRDefault="00AD410E" w:rsidP="00747714">
      <w:pPr>
        <w:pStyle w:val="Heading6"/>
      </w:pPr>
      <w:bookmarkStart w:id="809" w:name="_Toc224237432"/>
      <w:r w:rsidRPr="00AD410E">
        <w:t>Table 4.3</w:t>
      </w:r>
      <w:r w:rsidR="00747714">
        <w:t>:</w:t>
      </w:r>
      <w:r w:rsidRPr="00AD410E">
        <w:t xml:space="preserve"> Validity and Suitability Test</w:t>
      </w:r>
      <w:bookmarkEnd w:id="80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834"/>
        <w:gridCol w:w="1417"/>
        <w:gridCol w:w="1243"/>
        <w:gridCol w:w="1622"/>
        <w:gridCol w:w="859"/>
      </w:tblGrid>
      <w:tr w:rsidR="00AD410E" w14:paraId="58E7D0C0" w14:textId="77777777" w:rsidTr="007F7E1C">
        <w:tc>
          <w:tcPr>
            <w:tcW w:w="2410" w:type="dxa"/>
            <w:tcBorders>
              <w:top w:val="single" w:sz="4" w:space="0" w:color="auto"/>
              <w:bottom w:val="single" w:sz="4" w:space="0" w:color="auto"/>
            </w:tcBorders>
          </w:tcPr>
          <w:p w14:paraId="7E3CE666" w14:textId="77777777" w:rsidR="00AD410E" w:rsidRPr="00AD410E" w:rsidRDefault="00AD410E" w:rsidP="00747714">
            <w:pPr>
              <w:spacing w:line="240" w:lineRule="auto"/>
              <w:jc w:val="left"/>
              <w:rPr>
                <w:b/>
                <w:szCs w:val="24"/>
              </w:rPr>
            </w:pPr>
            <w:r w:rsidRPr="00AD410E">
              <w:rPr>
                <w:rFonts w:eastAsiaTheme="minorHAnsi"/>
                <w:b/>
                <w:szCs w:val="24"/>
              </w:rPr>
              <w:t>Construct</w:t>
            </w:r>
          </w:p>
        </w:tc>
        <w:tc>
          <w:tcPr>
            <w:tcW w:w="851" w:type="dxa"/>
            <w:tcBorders>
              <w:top w:val="single" w:sz="4" w:space="0" w:color="auto"/>
              <w:bottom w:val="single" w:sz="4" w:space="0" w:color="auto"/>
            </w:tcBorders>
          </w:tcPr>
          <w:p w14:paraId="015FC009" w14:textId="77777777" w:rsidR="00AD410E" w:rsidRPr="00AD410E" w:rsidRDefault="00AD410E" w:rsidP="007F7E1C">
            <w:pPr>
              <w:spacing w:line="240" w:lineRule="auto"/>
              <w:jc w:val="center"/>
              <w:rPr>
                <w:b/>
                <w:szCs w:val="24"/>
              </w:rPr>
            </w:pPr>
            <w:r w:rsidRPr="00AD410E">
              <w:rPr>
                <w:b/>
                <w:szCs w:val="24"/>
              </w:rPr>
              <w:t>AVE</w:t>
            </w:r>
          </w:p>
        </w:tc>
        <w:tc>
          <w:tcPr>
            <w:tcW w:w="1417" w:type="dxa"/>
            <w:tcBorders>
              <w:top w:val="single" w:sz="4" w:space="0" w:color="auto"/>
              <w:bottom w:val="single" w:sz="4" w:space="0" w:color="auto"/>
            </w:tcBorders>
          </w:tcPr>
          <w:p w14:paraId="5156B8D0" w14:textId="77777777" w:rsidR="00AD410E" w:rsidRPr="00AD410E" w:rsidRDefault="00AD410E" w:rsidP="007F7E1C">
            <w:pPr>
              <w:spacing w:line="240" w:lineRule="auto"/>
              <w:jc w:val="center"/>
              <w:rPr>
                <w:b/>
                <w:szCs w:val="24"/>
              </w:rPr>
            </w:pPr>
            <w:r w:rsidRPr="00AD410E">
              <w:rPr>
                <w:b/>
                <w:szCs w:val="24"/>
              </w:rPr>
              <w:t>Squared Correlation</w:t>
            </w:r>
          </w:p>
        </w:tc>
        <w:tc>
          <w:tcPr>
            <w:tcW w:w="1276" w:type="dxa"/>
            <w:tcBorders>
              <w:top w:val="single" w:sz="4" w:space="0" w:color="auto"/>
              <w:bottom w:val="single" w:sz="4" w:space="0" w:color="auto"/>
            </w:tcBorders>
          </w:tcPr>
          <w:p w14:paraId="06FCEF77" w14:textId="77777777" w:rsidR="00AD410E" w:rsidRPr="00AD410E" w:rsidRDefault="00AD410E" w:rsidP="007F7E1C">
            <w:pPr>
              <w:spacing w:line="240" w:lineRule="auto"/>
              <w:jc w:val="center"/>
              <w:rPr>
                <w:b/>
                <w:szCs w:val="24"/>
              </w:rPr>
            </w:pPr>
            <w:r w:rsidRPr="00AD410E">
              <w:rPr>
                <w:b/>
                <w:szCs w:val="24"/>
              </w:rPr>
              <w:t>Multiple KMO</w:t>
            </w:r>
          </w:p>
        </w:tc>
        <w:tc>
          <w:tcPr>
            <w:tcW w:w="1718" w:type="dxa"/>
            <w:tcBorders>
              <w:top w:val="single" w:sz="4" w:space="0" w:color="auto"/>
              <w:bottom w:val="single" w:sz="4" w:space="0" w:color="auto"/>
            </w:tcBorders>
          </w:tcPr>
          <w:p w14:paraId="307B5663" w14:textId="77777777" w:rsidR="00AD410E" w:rsidRPr="00AD410E" w:rsidRDefault="00AD410E" w:rsidP="007F7E1C">
            <w:pPr>
              <w:spacing w:line="240" w:lineRule="auto"/>
              <w:jc w:val="center"/>
              <w:rPr>
                <w:b/>
                <w:szCs w:val="24"/>
              </w:rPr>
            </w:pPr>
            <w:r w:rsidRPr="00AD410E">
              <w:rPr>
                <w:b/>
                <w:szCs w:val="24"/>
              </w:rPr>
              <w:t>Bartlett’s Chi-Square (X</w:t>
            </w:r>
            <w:r w:rsidRPr="00AD410E">
              <w:rPr>
                <w:b/>
                <w:szCs w:val="24"/>
                <w:vertAlign w:val="superscript"/>
              </w:rPr>
              <w:t>2)</w:t>
            </w:r>
          </w:p>
        </w:tc>
        <w:tc>
          <w:tcPr>
            <w:tcW w:w="882" w:type="dxa"/>
            <w:tcBorders>
              <w:top w:val="single" w:sz="4" w:space="0" w:color="auto"/>
              <w:bottom w:val="single" w:sz="4" w:space="0" w:color="auto"/>
            </w:tcBorders>
          </w:tcPr>
          <w:p w14:paraId="06ADE99D" w14:textId="77777777" w:rsidR="00AD410E" w:rsidRPr="00AD410E" w:rsidRDefault="00AD410E" w:rsidP="007F7E1C">
            <w:pPr>
              <w:spacing w:line="240" w:lineRule="auto"/>
              <w:jc w:val="center"/>
              <w:rPr>
                <w:b/>
                <w:szCs w:val="24"/>
              </w:rPr>
            </w:pPr>
            <w:r w:rsidRPr="00AD410E">
              <w:rPr>
                <w:b/>
                <w:szCs w:val="24"/>
              </w:rPr>
              <w:t>Sign</w:t>
            </w:r>
          </w:p>
        </w:tc>
      </w:tr>
      <w:tr w:rsidR="00AD410E" w14:paraId="2C5EDE4D" w14:textId="77777777" w:rsidTr="007F7E1C">
        <w:tc>
          <w:tcPr>
            <w:tcW w:w="2410" w:type="dxa"/>
            <w:tcBorders>
              <w:top w:val="single" w:sz="4" w:space="0" w:color="auto"/>
            </w:tcBorders>
          </w:tcPr>
          <w:p w14:paraId="50402FBD" w14:textId="77777777" w:rsidR="00AD410E" w:rsidRDefault="00AD410E" w:rsidP="00747714">
            <w:pPr>
              <w:jc w:val="left"/>
              <w:rPr>
                <w:bCs/>
                <w:szCs w:val="24"/>
              </w:rPr>
            </w:pPr>
            <w:r>
              <w:rPr>
                <w:bCs/>
                <w:szCs w:val="24"/>
              </w:rPr>
              <w:t>Green employee resourcing (X</w:t>
            </w:r>
            <w:r w:rsidRPr="00AD410E">
              <w:rPr>
                <w:bCs/>
                <w:szCs w:val="24"/>
                <w:vertAlign w:val="subscript"/>
              </w:rPr>
              <w:t>1</w:t>
            </w:r>
            <w:r>
              <w:rPr>
                <w:bCs/>
                <w:szCs w:val="24"/>
              </w:rPr>
              <w:t>)</w:t>
            </w:r>
          </w:p>
        </w:tc>
        <w:tc>
          <w:tcPr>
            <w:tcW w:w="851" w:type="dxa"/>
            <w:tcBorders>
              <w:top w:val="single" w:sz="4" w:space="0" w:color="auto"/>
            </w:tcBorders>
          </w:tcPr>
          <w:p w14:paraId="49744545" w14:textId="77777777" w:rsidR="00AD410E" w:rsidRDefault="00AD410E" w:rsidP="007F7E1C">
            <w:pPr>
              <w:jc w:val="center"/>
              <w:rPr>
                <w:bCs/>
                <w:szCs w:val="24"/>
              </w:rPr>
            </w:pPr>
            <w:r>
              <w:rPr>
                <w:bCs/>
                <w:szCs w:val="24"/>
              </w:rPr>
              <w:t>0.593</w:t>
            </w:r>
          </w:p>
        </w:tc>
        <w:tc>
          <w:tcPr>
            <w:tcW w:w="1417" w:type="dxa"/>
            <w:tcBorders>
              <w:top w:val="single" w:sz="4" w:space="0" w:color="auto"/>
            </w:tcBorders>
          </w:tcPr>
          <w:p w14:paraId="0C923938" w14:textId="77777777" w:rsidR="00AD410E" w:rsidRDefault="00AD410E" w:rsidP="007F7E1C">
            <w:pPr>
              <w:jc w:val="center"/>
              <w:rPr>
                <w:bCs/>
                <w:szCs w:val="24"/>
              </w:rPr>
            </w:pPr>
            <w:r>
              <w:rPr>
                <w:bCs/>
                <w:szCs w:val="24"/>
              </w:rPr>
              <w:t>0.257</w:t>
            </w:r>
          </w:p>
        </w:tc>
        <w:tc>
          <w:tcPr>
            <w:tcW w:w="1276" w:type="dxa"/>
            <w:tcBorders>
              <w:top w:val="single" w:sz="4" w:space="0" w:color="auto"/>
            </w:tcBorders>
          </w:tcPr>
          <w:p w14:paraId="60A9C1F4" w14:textId="77777777" w:rsidR="00AD410E" w:rsidRDefault="00AD410E" w:rsidP="007F7E1C">
            <w:pPr>
              <w:jc w:val="center"/>
              <w:rPr>
                <w:bCs/>
                <w:szCs w:val="24"/>
              </w:rPr>
            </w:pPr>
            <w:r>
              <w:rPr>
                <w:bCs/>
                <w:szCs w:val="24"/>
              </w:rPr>
              <w:t>0.783</w:t>
            </w:r>
          </w:p>
        </w:tc>
        <w:tc>
          <w:tcPr>
            <w:tcW w:w="1718" w:type="dxa"/>
            <w:tcBorders>
              <w:top w:val="single" w:sz="4" w:space="0" w:color="auto"/>
            </w:tcBorders>
          </w:tcPr>
          <w:p w14:paraId="6B8298B6" w14:textId="77777777" w:rsidR="00AD410E" w:rsidRDefault="00AD410E" w:rsidP="007F7E1C">
            <w:pPr>
              <w:jc w:val="center"/>
              <w:rPr>
                <w:bCs/>
                <w:szCs w:val="24"/>
              </w:rPr>
            </w:pPr>
            <w:r>
              <w:rPr>
                <w:bCs/>
                <w:szCs w:val="24"/>
              </w:rPr>
              <w:t>72.049</w:t>
            </w:r>
          </w:p>
        </w:tc>
        <w:tc>
          <w:tcPr>
            <w:tcW w:w="882" w:type="dxa"/>
            <w:tcBorders>
              <w:top w:val="single" w:sz="4" w:space="0" w:color="auto"/>
            </w:tcBorders>
          </w:tcPr>
          <w:p w14:paraId="0C296D9D" w14:textId="77777777" w:rsidR="00AD410E" w:rsidRDefault="00AD410E" w:rsidP="007F7E1C">
            <w:pPr>
              <w:jc w:val="center"/>
              <w:rPr>
                <w:bCs/>
                <w:szCs w:val="24"/>
              </w:rPr>
            </w:pPr>
            <w:r>
              <w:rPr>
                <w:bCs/>
                <w:szCs w:val="24"/>
              </w:rPr>
              <w:t>0.000</w:t>
            </w:r>
          </w:p>
        </w:tc>
      </w:tr>
      <w:tr w:rsidR="00AD410E" w14:paraId="364E3914" w14:textId="77777777" w:rsidTr="007F7E1C">
        <w:tc>
          <w:tcPr>
            <w:tcW w:w="2410" w:type="dxa"/>
          </w:tcPr>
          <w:p w14:paraId="4E8307A3" w14:textId="77777777" w:rsidR="00AD410E" w:rsidRDefault="00AD410E" w:rsidP="00747714">
            <w:pPr>
              <w:jc w:val="left"/>
              <w:rPr>
                <w:bCs/>
                <w:szCs w:val="24"/>
              </w:rPr>
            </w:pPr>
            <w:r>
              <w:rPr>
                <w:bCs/>
                <w:szCs w:val="24"/>
              </w:rPr>
              <w:t>Green training (X</w:t>
            </w:r>
            <w:r w:rsidRPr="00AD410E">
              <w:rPr>
                <w:bCs/>
                <w:szCs w:val="24"/>
                <w:vertAlign w:val="subscript"/>
              </w:rPr>
              <w:t>2</w:t>
            </w:r>
            <w:r>
              <w:rPr>
                <w:bCs/>
                <w:szCs w:val="24"/>
              </w:rPr>
              <w:t>)</w:t>
            </w:r>
          </w:p>
        </w:tc>
        <w:tc>
          <w:tcPr>
            <w:tcW w:w="851" w:type="dxa"/>
          </w:tcPr>
          <w:p w14:paraId="13C8E5FD" w14:textId="77777777" w:rsidR="00AD410E" w:rsidRDefault="00AD410E" w:rsidP="007F7E1C">
            <w:pPr>
              <w:jc w:val="center"/>
              <w:rPr>
                <w:bCs/>
                <w:szCs w:val="24"/>
              </w:rPr>
            </w:pPr>
            <w:r>
              <w:rPr>
                <w:bCs/>
                <w:szCs w:val="24"/>
              </w:rPr>
              <w:t>0.622</w:t>
            </w:r>
          </w:p>
        </w:tc>
        <w:tc>
          <w:tcPr>
            <w:tcW w:w="1417" w:type="dxa"/>
          </w:tcPr>
          <w:p w14:paraId="1D2BD25C" w14:textId="77777777" w:rsidR="00AD410E" w:rsidRDefault="00AD410E" w:rsidP="007F7E1C">
            <w:pPr>
              <w:jc w:val="center"/>
              <w:rPr>
                <w:bCs/>
                <w:szCs w:val="24"/>
              </w:rPr>
            </w:pPr>
            <w:r>
              <w:rPr>
                <w:bCs/>
                <w:szCs w:val="24"/>
              </w:rPr>
              <w:t>0.431</w:t>
            </w:r>
          </w:p>
        </w:tc>
        <w:tc>
          <w:tcPr>
            <w:tcW w:w="1276" w:type="dxa"/>
          </w:tcPr>
          <w:p w14:paraId="3531D6C9" w14:textId="77777777" w:rsidR="00AD410E" w:rsidRDefault="00AD410E" w:rsidP="007F7E1C">
            <w:pPr>
              <w:jc w:val="center"/>
              <w:rPr>
                <w:bCs/>
                <w:szCs w:val="24"/>
              </w:rPr>
            </w:pPr>
            <w:r>
              <w:rPr>
                <w:bCs/>
                <w:szCs w:val="24"/>
              </w:rPr>
              <w:t>0.683</w:t>
            </w:r>
          </w:p>
        </w:tc>
        <w:tc>
          <w:tcPr>
            <w:tcW w:w="1718" w:type="dxa"/>
          </w:tcPr>
          <w:p w14:paraId="54099BCF" w14:textId="77777777" w:rsidR="00AD410E" w:rsidRDefault="00AD410E" w:rsidP="007F7E1C">
            <w:pPr>
              <w:jc w:val="center"/>
              <w:rPr>
                <w:bCs/>
                <w:szCs w:val="24"/>
              </w:rPr>
            </w:pPr>
            <w:r>
              <w:rPr>
                <w:bCs/>
                <w:szCs w:val="24"/>
              </w:rPr>
              <w:t>99.868</w:t>
            </w:r>
          </w:p>
        </w:tc>
        <w:tc>
          <w:tcPr>
            <w:tcW w:w="882" w:type="dxa"/>
          </w:tcPr>
          <w:p w14:paraId="0FAB3649" w14:textId="77777777" w:rsidR="00AD410E" w:rsidRDefault="00AD410E" w:rsidP="007F7E1C">
            <w:pPr>
              <w:jc w:val="center"/>
              <w:rPr>
                <w:bCs/>
                <w:szCs w:val="24"/>
              </w:rPr>
            </w:pPr>
            <w:r>
              <w:rPr>
                <w:bCs/>
                <w:szCs w:val="24"/>
              </w:rPr>
              <w:t>0.000</w:t>
            </w:r>
          </w:p>
        </w:tc>
      </w:tr>
      <w:tr w:rsidR="00AD410E" w14:paraId="74319536" w14:textId="77777777" w:rsidTr="007F7E1C">
        <w:tc>
          <w:tcPr>
            <w:tcW w:w="2410" w:type="dxa"/>
          </w:tcPr>
          <w:p w14:paraId="71F094B2" w14:textId="77777777" w:rsidR="00AD410E" w:rsidRDefault="00AD410E" w:rsidP="00747714">
            <w:pPr>
              <w:jc w:val="left"/>
              <w:rPr>
                <w:bCs/>
                <w:szCs w:val="24"/>
              </w:rPr>
            </w:pPr>
            <w:r>
              <w:rPr>
                <w:bCs/>
                <w:szCs w:val="24"/>
              </w:rPr>
              <w:t>Green Occupational Safety and Health (X</w:t>
            </w:r>
            <w:r w:rsidRPr="00AD410E">
              <w:rPr>
                <w:bCs/>
                <w:szCs w:val="24"/>
                <w:vertAlign w:val="subscript"/>
              </w:rPr>
              <w:t>3</w:t>
            </w:r>
            <w:r>
              <w:rPr>
                <w:bCs/>
                <w:szCs w:val="24"/>
              </w:rPr>
              <w:t>)</w:t>
            </w:r>
          </w:p>
        </w:tc>
        <w:tc>
          <w:tcPr>
            <w:tcW w:w="851" w:type="dxa"/>
          </w:tcPr>
          <w:p w14:paraId="3585681A" w14:textId="77777777" w:rsidR="00AD410E" w:rsidRDefault="00AD410E" w:rsidP="007F7E1C">
            <w:pPr>
              <w:jc w:val="center"/>
              <w:rPr>
                <w:bCs/>
                <w:szCs w:val="24"/>
              </w:rPr>
            </w:pPr>
            <w:r>
              <w:rPr>
                <w:bCs/>
                <w:szCs w:val="24"/>
              </w:rPr>
              <w:t>0.675</w:t>
            </w:r>
          </w:p>
        </w:tc>
        <w:tc>
          <w:tcPr>
            <w:tcW w:w="1417" w:type="dxa"/>
          </w:tcPr>
          <w:p w14:paraId="59F7759A" w14:textId="77777777" w:rsidR="00AD410E" w:rsidRDefault="00AD410E" w:rsidP="007F7E1C">
            <w:pPr>
              <w:jc w:val="center"/>
              <w:rPr>
                <w:bCs/>
                <w:szCs w:val="24"/>
              </w:rPr>
            </w:pPr>
            <w:r>
              <w:rPr>
                <w:bCs/>
                <w:szCs w:val="24"/>
              </w:rPr>
              <w:t>0.512</w:t>
            </w:r>
          </w:p>
        </w:tc>
        <w:tc>
          <w:tcPr>
            <w:tcW w:w="1276" w:type="dxa"/>
          </w:tcPr>
          <w:p w14:paraId="05676BB7" w14:textId="77777777" w:rsidR="00AD410E" w:rsidRDefault="00AD410E" w:rsidP="007F7E1C">
            <w:pPr>
              <w:jc w:val="center"/>
              <w:rPr>
                <w:bCs/>
                <w:szCs w:val="24"/>
              </w:rPr>
            </w:pPr>
            <w:r>
              <w:rPr>
                <w:bCs/>
                <w:szCs w:val="24"/>
              </w:rPr>
              <w:t>0.702</w:t>
            </w:r>
          </w:p>
        </w:tc>
        <w:tc>
          <w:tcPr>
            <w:tcW w:w="1718" w:type="dxa"/>
          </w:tcPr>
          <w:p w14:paraId="6B9C0BFE" w14:textId="77777777" w:rsidR="00AD410E" w:rsidRDefault="00AD410E" w:rsidP="007F7E1C">
            <w:pPr>
              <w:jc w:val="center"/>
              <w:rPr>
                <w:bCs/>
                <w:szCs w:val="24"/>
              </w:rPr>
            </w:pPr>
            <w:r>
              <w:rPr>
                <w:bCs/>
                <w:szCs w:val="24"/>
              </w:rPr>
              <w:t>120.664</w:t>
            </w:r>
          </w:p>
        </w:tc>
        <w:tc>
          <w:tcPr>
            <w:tcW w:w="882" w:type="dxa"/>
          </w:tcPr>
          <w:p w14:paraId="5C84F82C" w14:textId="77777777" w:rsidR="00AD410E" w:rsidRDefault="00AD410E" w:rsidP="007F7E1C">
            <w:pPr>
              <w:jc w:val="center"/>
              <w:rPr>
                <w:bCs/>
                <w:szCs w:val="24"/>
              </w:rPr>
            </w:pPr>
            <w:r>
              <w:rPr>
                <w:bCs/>
                <w:szCs w:val="24"/>
              </w:rPr>
              <w:t>0.000</w:t>
            </w:r>
          </w:p>
        </w:tc>
      </w:tr>
      <w:tr w:rsidR="00AD410E" w14:paraId="0223CAD8" w14:textId="77777777" w:rsidTr="007F7E1C">
        <w:tc>
          <w:tcPr>
            <w:tcW w:w="2410" w:type="dxa"/>
          </w:tcPr>
          <w:p w14:paraId="2D3621AB" w14:textId="77777777" w:rsidR="00AD410E" w:rsidRDefault="00AD410E" w:rsidP="00747714">
            <w:pPr>
              <w:jc w:val="left"/>
              <w:rPr>
                <w:bCs/>
                <w:szCs w:val="24"/>
              </w:rPr>
            </w:pPr>
            <w:r>
              <w:rPr>
                <w:bCs/>
                <w:szCs w:val="24"/>
              </w:rPr>
              <w:t>Green performance evaluation (X</w:t>
            </w:r>
            <w:r w:rsidRPr="00AD410E">
              <w:rPr>
                <w:bCs/>
                <w:szCs w:val="24"/>
                <w:vertAlign w:val="subscript"/>
              </w:rPr>
              <w:t>4</w:t>
            </w:r>
            <w:r>
              <w:rPr>
                <w:bCs/>
                <w:szCs w:val="24"/>
              </w:rPr>
              <w:t>)</w:t>
            </w:r>
          </w:p>
        </w:tc>
        <w:tc>
          <w:tcPr>
            <w:tcW w:w="851" w:type="dxa"/>
          </w:tcPr>
          <w:p w14:paraId="10B66A13" w14:textId="77777777" w:rsidR="00AD410E" w:rsidRDefault="00AD410E" w:rsidP="007F7E1C">
            <w:pPr>
              <w:jc w:val="center"/>
              <w:rPr>
                <w:bCs/>
                <w:szCs w:val="24"/>
              </w:rPr>
            </w:pPr>
            <w:r>
              <w:rPr>
                <w:bCs/>
                <w:szCs w:val="24"/>
              </w:rPr>
              <w:t>0.788</w:t>
            </w:r>
          </w:p>
        </w:tc>
        <w:tc>
          <w:tcPr>
            <w:tcW w:w="1417" w:type="dxa"/>
          </w:tcPr>
          <w:p w14:paraId="41102349" w14:textId="77777777" w:rsidR="00AD410E" w:rsidRDefault="00AD410E" w:rsidP="007F7E1C">
            <w:pPr>
              <w:jc w:val="center"/>
              <w:rPr>
                <w:bCs/>
                <w:szCs w:val="24"/>
              </w:rPr>
            </w:pPr>
            <w:r>
              <w:rPr>
                <w:bCs/>
                <w:szCs w:val="24"/>
              </w:rPr>
              <w:t>0.445</w:t>
            </w:r>
          </w:p>
        </w:tc>
        <w:tc>
          <w:tcPr>
            <w:tcW w:w="1276" w:type="dxa"/>
          </w:tcPr>
          <w:p w14:paraId="23266CD5" w14:textId="77777777" w:rsidR="00AD410E" w:rsidRDefault="00AD410E" w:rsidP="007F7E1C">
            <w:pPr>
              <w:jc w:val="center"/>
              <w:rPr>
                <w:bCs/>
                <w:szCs w:val="24"/>
              </w:rPr>
            </w:pPr>
            <w:r>
              <w:rPr>
                <w:bCs/>
                <w:szCs w:val="24"/>
              </w:rPr>
              <w:t>0.664</w:t>
            </w:r>
          </w:p>
        </w:tc>
        <w:tc>
          <w:tcPr>
            <w:tcW w:w="1718" w:type="dxa"/>
          </w:tcPr>
          <w:p w14:paraId="1429DB88" w14:textId="77777777" w:rsidR="00AD410E" w:rsidRDefault="00AD410E" w:rsidP="007F7E1C">
            <w:pPr>
              <w:jc w:val="center"/>
              <w:rPr>
                <w:bCs/>
                <w:szCs w:val="24"/>
              </w:rPr>
            </w:pPr>
            <w:r>
              <w:rPr>
                <w:bCs/>
                <w:szCs w:val="24"/>
              </w:rPr>
              <w:t>218.423</w:t>
            </w:r>
          </w:p>
        </w:tc>
        <w:tc>
          <w:tcPr>
            <w:tcW w:w="882" w:type="dxa"/>
          </w:tcPr>
          <w:p w14:paraId="24D7B412" w14:textId="77777777" w:rsidR="00AD410E" w:rsidRDefault="00AD410E" w:rsidP="007F7E1C">
            <w:pPr>
              <w:jc w:val="center"/>
              <w:rPr>
                <w:bCs/>
                <w:szCs w:val="24"/>
              </w:rPr>
            </w:pPr>
            <w:r>
              <w:rPr>
                <w:bCs/>
                <w:szCs w:val="24"/>
              </w:rPr>
              <w:t>0.000</w:t>
            </w:r>
          </w:p>
        </w:tc>
      </w:tr>
      <w:tr w:rsidR="00AD410E" w14:paraId="6B5E5093" w14:textId="77777777" w:rsidTr="007F7E1C">
        <w:tc>
          <w:tcPr>
            <w:tcW w:w="2410" w:type="dxa"/>
          </w:tcPr>
          <w:p w14:paraId="32296BB4" w14:textId="77777777" w:rsidR="00AD410E" w:rsidRDefault="00AD410E" w:rsidP="00747714">
            <w:pPr>
              <w:jc w:val="left"/>
              <w:rPr>
                <w:bCs/>
                <w:szCs w:val="24"/>
              </w:rPr>
            </w:pPr>
            <w:r>
              <w:rPr>
                <w:bCs/>
                <w:szCs w:val="24"/>
              </w:rPr>
              <w:t>Management style (Z)</w:t>
            </w:r>
          </w:p>
        </w:tc>
        <w:tc>
          <w:tcPr>
            <w:tcW w:w="851" w:type="dxa"/>
          </w:tcPr>
          <w:p w14:paraId="7A15AAD0" w14:textId="77777777" w:rsidR="00AD410E" w:rsidRDefault="00AD410E" w:rsidP="007F7E1C">
            <w:pPr>
              <w:jc w:val="center"/>
              <w:rPr>
                <w:bCs/>
                <w:szCs w:val="24"/>
              </w:rPr>
            </w:pPr>
            <w:r>
              <w:rPr>
                <w:bCs/>
                <w:szCs w:val="24"/>
              </w:rPr>
              <w:t>0.699</w:t>
            </w:r>
          </w:p>
        </w:tc>
        <w:tc>
          <w:tcPr>
            <w:tcW w:w="1417" w:type="dxa"/>
          </w:tcPr>
          <w:p w14:paraId="2C46D6EA" w14:textId="77777777" w:rsidR="00AD410E" w:rsidRDefault="00AD410E" w:rsidP="007F7E1C">
            <w:pPr>
              <w:jc w:val="center"/>
              <w:rPr>
                <w:bCs/>
                <w:szCs w:val="24"/>
              </w:rPr>
            </w:pPr>
            <w:r>
              <w:rPr>
                <w:bCs/>
                <w:szCs w:val="24"/>
              </w:rPr>
              <w:t>0.257</w:t>
            </w:r>
          </w:p>
        </w:tc>
        <w:tc>
          <w:tcPr>
            <w:tcW w:w="1276" w:type="dxa"/>
          </w:tcPr>
          <w:p w14:paraId="34AF9178" w14:textId="77777777" w:rsidR="00AD410E" w:rsidRDefault="00AD410E" w:rsidP="007F7E1C">
            <w:pPr>
              <w:jc w:val="center"/>
              <w:rPr>
                <w:bCs/>
                <w:szCs w:val="24"/>
              </w:rPr>
            </w:pPr>
            <w:r>
              <w:rPr>
                <w:bCs/>
                <w:szCs w:val="24"/>
              </w:rPr>
              <w:t>0.608</w:t>
            </w:r>
          </w:p>
        </w:tc>
        <w:tc>
          <w:tcPr>
            <w:tcW w:w="1718" w:type="dxa"/>
          </w:tcPr>
          <w:p w14:paraId="4E6C86DA" w14:textId="77777777" w:rsidR="00AD410E" w:rsidRDefault="00AD410E" w:rsidP="007F7E1C">
            <w:pPr>
              <w:jc w:val="center"/>
              <w:rPr>
                <w:bCs/>
                <w:szCs w:val="24"/>
              </w:rPr>
            </w:pPr>
            <w:r>
              <w:rPr>
                <w:bCs/>
                <w:szCs w:val="24"/>
              </w:rPr>
              <w:t>221.181</w:t>
            </w:r>
          </w:p>
        </w:tc>
        <w:tc>
          <w:tcPr>
            <w:tcW w:w="882" w:type="dxa"/>
          </w:tcPr>
          <w:p w14:paraId="347E465E" w14:textId="77777777" w:rsidR="00AD410E" w:rsidRDefault="00AD410E" w:rsidP="007F7E1C">
            <w:pPr>
              <w:jc w:val="center"/>
              <w:rPr>
                <w:bCs/>
                <w:szCs w:val="24"/>
              </w:rPr>
            </w:pPr>
            <w:r>
              <w:rPr>
                <w:bCs/>
                <w:szCs w:val="24"/>
              </w:rPr>
              <w:t>0.000</w:t>
            </w:r>
          </w:p>
        </w:tc>
      </w:tr>
      <w:tr w:rsidR="00AD410E" w14:paraId="179F66D6" w14:textId="77777777" w:rsidTr="007F7E1C">
        <w:tc>
          <w:tcPr>
            <w:tcW w:w="2410" w:type="dxa"/>
          </w:tcPr>
          <w:p w14:paraId="1C45FBBC" w14:textId="77777777" w:rsidR="00AD410E" w:rsidRDefault="00AD410E" w:rsidP="00747714">
            <w:pPr>
              <w:jc w:val="left"/>
              <w:rPr>
                <w:bCs/>
                <w:szCs w:val="24"/>
              </w:rPr>
            </w:pPr>
            <w:r>
              <w:rPr>
                <w:bCs/>
                <w:szCs w:val="24"/>
              </w:rPr>
              <w:t>Performance of devolved healthcare (Y)</w:t>
            </w:r>
          </w:p>
        </w:tc>
        <w:tc>
          <w:tcPr>
            <w:tcW w:w="851" w:type="dxa"/>
          </w:tcPr>
          <w:p w14:paraId="43D7172A" w14:textId="77777777" w:rsidR="00AD410E" w:rsidRDefault="00AD410E" w:rsidP="007F7E1C">
            <w:pPr>
              <w:jc w:val="center"/>
              <w:rPr>
                <w:bCs/>
                <w:szCs w:val="24"/>
              </w:rPr>
            </w:pPr>
            <w:r>
              <w:rPr>
                <w:bCs/>
                <w:szCs w:val="24"/>
              </w:rPr>
              <w:t>0.704</w:t>
            </w:r>
          </w:p>
        </w:tc>
        <w:tc>
          <w:tcPr>
            <w:tcW w:w="1417" w:type="dxa"/>
          </w:tcPr>
          <w:p w14:paraId="2DA0851E" w14:textId="77777777" w:rsidR="00AD410E" w:rsidRDefault="00AD410E" w:rsidP="007F7E1C">
            <w:pPr>
              <w:jc w:val="center"/>
              <w:rPr>
                <w:bCs/>
                <w:szCs w:val="24"/>
              </w:rPr>
            </w:pPr>
            <w:r>
              <w:rPr>
                <w:bCs/>
                <w:szCs w:val="24"/>
              </w:rPr>
              <w:t>0.512</w:t>
            </w:r>
          </w:p>
        </w:tc>
        <w:tc>
          <w:tcPr>
            <w:tcW w:w="1276" w:type="dxa"/>
          </w:tcPr>
          <w:p w14:paraId="021FA818" w14:textId="77777777" w:rsidR="00AD410E" w:rsidRDefault="00AD410E" w:rsidP="007F7E1C">
            <w:pPr>
              <w:jc w:val="center"/>
              <w:rPr>
                <w:bCs/>
                <w:szCs w:val="24"/>
              </w:rPr>
            </w:pPr>
            <w:r>
              <w:rPr>
                <w:bCs/>
                <w:szCs w:val="24"/>
              </w:rPr>
              <w:t>0.675</w:t>
            </w:r>
          </w:p>
        </w:tc>
        <w:tc>
          <w:tcPr>
            <w:tcW w:w="1718" w:type="dxa"/>
          </w:tcPr>
          <w:p w14:paraId="13804C2E" w14:textId="77777777" w:rsidR="00AD410E" w:rsidRDefault="00AD410E" w:rsidP="007F7E1C">
            <w:pPr>
              <w:jc w:val="center"/>
              <w:rPr>
                <w:bCs/>
                <w:szCs w:val="24"/>
              </w:rPr>
            </w:pPr>
            <w:r>
              <w:rPr>
                <w:bCs/>
                <w:szCs w:val="24"/>
              </w:rPr>
              <w:t>218.423</w:t>
            </w:r>
          </w:p>
        </w:tc>
        <w:tc>
          <w:tcPr>
            <w:tcW w:w="882" w:type="dxa"/>
          </w:tcPr>
          <w:p w14:paraId="3BF741AD" w14:textId="77777777" w:rsidR="00AD410E" w:rsidRDefault="00AD410E" w:rsidP="007F7E1C">
            <w:pPr>
              <w:jc w:val="center"/>
              <w:rPr>
                <w:bCs/>
                <w:szCs w:val="24"/>
              </w:rPr>
            </w:pPr>
            <w:r>
              <w:rPr>
                <w:bCs/>
                <w:szCs w:val="24"/>
              </w:rPr>
              <w:t>0.000</w:t>
            </w:r>
          </w:p>
        </w:tc>
      </w:tr>
    </w:tbl>
    <w:p w14:paraId="5938E32D" w14:textId="77777777" w:rsidR="00001479" w:rsidRPr="00AD410E" w:rsidRDefault="00AD410E">
      <w:pPr>
        <w:spacing w:before="240"/>
        <w:rPr>
          <w:rFonts w:cs="Times New Roman"/>
          <w:bCs/>
          <w:szCs w:val="24"/>
        </w:rPr>
      </w:pPr>
      <w:r w:rsidRPr="00AD410E">
        <w:rPr>
          <w:rFonts w:cs="Times New Roman"/>
          <w:bCs/>
          <w:szCs w:val="24"/>
        </w:rPr>
        <w:t xml:space="preserve">The empirical results from the validity assessment carry significant implications for the study’s primary objectives. By satisfying the Fornell-Larcker criteria, the analysis ensures that the measurement of green human resource practices is both precise and targeted. The high AVE values, particularly for Green Performance Evaluation (X4), suggest that the survey items are highly effective at capturing the underlying reality of how </w:t>
      </w:r>
      <w:r>
        <w:rPr>
          <w:rFonts w:cs="Times New Roman"/>
          <w:bCs/>
          <w:szCs w:val="24"/>
        </w:rPr>
        <w:t>healthcare services measure performance.</w:t>
      </w:r>
      <w:r w:rsidRPr="00AD410E">
        <w:rPr>
          <w:rFonts w:cs="Times New Roman"/>
          <w:bCs/>
          <w:szCs w:val="24"/>
        </w:rPr>
        <w:t xml:space="preserve"> This technical accuracy is </w:t>
      </w:r>
      <w:r>
        <w:rPr>
          <w:rFonts w:cs="Times New Roman"/>
          <w:bCs/>
          <w:szCs w:val="24"/>
        </w:rPr>
        <w:t>important</w:t>
      </w:r>
      <w:r w:rsidRPr="00AD410E">
        <w:rPr>
          <w:rFonts w:cs="Times New Roman"/>
          <w:bCs/>
          <w:szCs w:val="24"/>
        </w:rPr>
        <w:t xml:space="preserve"> for the study's objective of determining how these specific </w:t>
      </w:r>
      <w:r>
        <w:rPr>
          <w:rFonts w:cs="Times New Roman"/>
          <w:bCs/>
          <w:szCs w:val="24"/>
        </w:rPr>
        <w:t>G</w:t>
      </w:r>
      <w:r w:rsidRPr="00AD410E">
        <w:rPr>
          <w:rFonts w:cs="Times New Roman"/>
          <w:bCs/>
          <w:szCs w:val="24"/>
        </w:rPr>
        <w:t>HR</w:t>
      </w:r>
      <w:r>
        <w:rPr>
          <w:rFonts w:cs="Times New Roman"/>
          <w:bCs/>
          <w:szCs w:val="24"/>
        </w:rPr>
        <w:t>M</w:t>
      </w:r>
      <w:r w:rsidRPr="00AD410E">
        <w:rPr>
          <w:rFonts w:cs="Times New Roman"/>
          <w:bCs/>
          <w:szCs w:val="24"/>
        </w:rPr>
        <w:t xml:space="preserve"> </w:t>
      </w:r>
      <w:r>
        <w:rPr>
          <w:rFonts w:cs="Times New Roman"/>
          <w:bCs/>
          <w:szCs w:val="24"/>
        </w:rPr>
        <w:t xml:space="preserve">practices </w:t>
      </w:r>
      <w:r w:rsidRPr="00AD410E">
        <w:rPr>
          <w:rFonts w:cs="Times New Roman"/>
          <w:bCs/>
          <w:szCs w:val="24"/>
        </w:rPr>
        <w:t xml:space="preserve">contribute to </w:t>
      </w:r>
      <w:r>
        <w:rPr>
          <w:rFonts w:cs="Times New Roman"/>
          <w:bCs/>
          <w:szCs w:val="24"/>
        </w:rPr>
        <w:t>performance of devolved healthcare services</w:t>
      </w:r>
      <w:r w:rsidRPr="00AD410E">
        <w:rPr>
          <w:rFonts w:cs="Times New Roman"/>
          <w:bCs/>
          <w:szCs w:val="24"/>
        </w:rPr>
        <w:t xml:space="preserve"> (Y). Furthermore, the confirmation of discriminant validity ensures that the</w:t>
      </w:r>
      <w:r>
        <w:rPr>
          <w:rFonts w:cs="Times New Roman"/>
          <w:bCs/>
          <w:szCs w:val="24"/>
        </w:rPr>
        <w:t xml:space="preserve"> </w:t>
      </w:r>
      <w:r w:rsidRPr="00AD410E">
        <w:rPr>
          <w:rFonts w:cs="Times New Roman"/>
          <w:bCs/>
          <w:szCs w:val="24"/>
        </w:rPr>
        <w:t xml:space="preserve">moderating influence of Management Style </w:t>
      </w:r>
      <w:r w:rsidRPr="00AD410E">
        <w:rPr>
          <w:rFonts w:cs="Times New Roman"/>
          <w:bCs/>
          <w:szCs w:val="24"/>
        </w:rPr>
        <w:lastRenderedPageBreak/>
        <w:t xml:space="preserve">(Z) can be isolated and analyzed without statistical noise from the other variables. Because the squared multiple correlations remained below the AVEs, </w:t>
      </w:r>
      <w:r>
        <w:rPr>
          <w:rFonts w:cs="Times New Roman"/>
          <w:bCs/>
          <w:szCs w:val="24"/>
        </w:rPr>
        <w:t>the study concludes that</w:t>
      </w:r>
      <w:r w:rsidRPr="00AD410E">
        <w:rPr>
          <w:rFonts w:cs="Times New Roman"/>
          <w:bCs/>
          <w:szCs w:val="24"/>
        </w:rPr>
        <w:t xml:space="preserve"> any observed </w:t>
      </w:r>
      <w:r>
        <w:rPr>
          <w:rFonts w:cs="Times New Roman"/>
          <w:bCs/>
          <w:szCs w:val="24"/>
        </w:rPr>
        <w:t>effect</w:t>
      </w:r>
      <w:r w:rsidRPr="00AD410E">
        <w:rPr>
          <w:rFonts w:cs="Times New Roman"/>
          <w:bCs/>
          <w:szCs w:val="24"/>
        </w:rPr>
        <w:t xml:space="preserve"> of management style on</w:t>
      </w:r>
      <w:r>
        <w:rPr>
          <w:rFonts w:cs="Times New Roman"/>
          <w:bCs/>
          <w:szCs w:val="24"/>
        </w:rPr>
        <w:t xml:space="preserve"> the relationship between independent variables and</w:t>
      </w:r>
      <w:r w:rsidRPr="00AD410E">
        <w:rPr>
          <w:rFonts w:cs="Times New Roman"/>
          <w:bCs/>
          <w:szCs w:val="24"/>
        </w:rPr>
        <w:t xml:space="preserve"> performance </w:t>
      </w:r>
      <w:r>
        <w:rPr>
          <w:rFonts w:cs="Times New Roman"/>
          <w:bCs/>
          <w:szCs w:val="24"/>
        </w:rPr>
        <w:t xml:space="preserve">of devolved healthcare services </w:t>
      </w:r>
      <w:r w:rsidRPr="00AD410E">
        <w:rPr>
          <w:rFonts w:cs="Times New Roman"/>
          <w:bCs/>
          <w:szCs w:val="24"/>
        </w:rPr>
        <w:t>is unique. Finally, the significant Bartlett’s Test and adequate KMO levels validate the structural integrity of the model</w:t>
      </w:r>
      <w:r>
        <w:rPr>
          <w:rFonts w:cs="Times New Roman"/>
          <w:bCs/>
          <w:szCs w:val="24"/>
        </w:rPr>
        <w:t xml:space="preserve">. </w:t>
      </w:r>
    </w:p>
    <w:p w14:paraId="76702177" w14:textId="77777777" w:rsidR="009F33CD" w:rsidRDefault="00E40740">
      <w:pPr>
        <w:pStyle w:val="Heading2"/>
      </w:pPr>
      <w:bookmarkStart w:id="810" w:name="_Toc188442596"/>
      <w:bookmarkStart w:id="811" w:name="_Toc224160660"/>
      <w:bookmarkStart w:id="812" w:name="_Toc224237722"/>
      <w:r>
        <w:t>4.4 Demographic Characteristics of the Respondents</w:t>
      </w:r>
      <w:bookmarkEnd w:id="810"/>
      <w:bookmarkEnd w:id="811"/>
      <w:bookmarkEnd w:id="812"/>
    </w:p>
    <w:p w14:paraId="46C0D68E" w14:textId="77777777" w:rsidR="009F33CD" w:rsidRDefault="00E40740">
      <w:pPr>
        <w:rPr>
          <w:rFonts w:cs="Times New Roman"/>
          <w:szCs w:val="24"/>
        </w:rPr>
      </w:pPr>
      <w:r>
        <w:rPr>
          <w:rFonts w:cs="Times New Roman"/>
          <w:szCs w:val="24"/>
        </w:rPr>
        <w:t>The respondents were asked to indicate the name of the hospital and their demographic data because it was necessary to ensure a fair distribution and equal representation of respondents' views regarding study objectives. The study obtained respondents’ data on their hospital, gender, management category, age, level of education, and length of service, which are analyzed and presented as follows.</w:t>
      </w:r>
    </w:p>
    <w:p w14:paraId="6EF3D708" w14:textId="77777777" w:rsidR="009F33CD" w:rsidRDefault="00E40740" w:rsidP="00747714">
      <w:pPr>
        <w:pStyle w:val="Heading3"/>
      </w:pPr>
      <w:bookmarkStart w:id="813" w:name="_Toc188443971"/>
      <w:bookmarkStart w:id="814" w:name="_Toc185614071"/>
      <w:bookmarkStart w:id="815" w:name="_Toc178940582"/>
      <w:bookmarkStart w:id="816" w:name="_Toc188130624"/>
      <w:bookmarkStart w:id="817" w:name="_Toc187080842"/>
      <w:bookmarkStart w:id="818" w:name="_Toc178944281"/>
      <w:bookmarkStart w:id="819" w:name="_Toc178942623"/>
      <w:bookmarkStart w:id="820" w:name="_Toc178945033"/>
      <w:bookmarkStart w:id="821" w:name="_Toc188442597"/>
      <w:bookmarkStart w:id="822" w:name="_Toc224160661"/>
      <w:bookmarkStart w:id="823" w:name="_Toc224237723"/>
      <w:bookmarkStart w:id="824" w:name="_Toc165626373"/>
      <w:bookmarkStart w:id="825" w:name="_Toc139981651"/>
      <w:bookmarkStart w:id="826" w:name="_Toc147950229"/>
      <w:bookmarkStart w:id="827" w:name="_Toc165623592"/>
      <w:r>
        <w:t xml:space="preserve">4.4.1 Findings </w:t>
      </w:r>
      <w:r w:rsidRPr="00747714">
        <w:t>for</w:t>
      </w:r>
      <w:r>
        <w:t xml:space="preserve"> Name of the Hospital</w:t>
      </w:r>
      <w:bookmarkEnd w:id="813"/>
      <w:bookmarkEnd w:id="814"/>
      <w:bookmarkEnd w:id="815"/>
      <w:bookmarkEnd w:id="816"/>
      <w:bookmarkEnd w:id="817"/>
      <w:bookmarkEnd w:id="818"/>
      <w:bookmarkEnd w:id="819"/>
      <w:bookmarkEnd w:id="820"/>
      <w:bookmarkEnd w:id="821"/>
      <w:bookmarkEnd w:id="822"/>
      <w:bookmarkEnd w:id="823"/>
    </w:p>
    <w:p w14:paraId="1B8D38C2" w14:textId="77777777" w:rsidR="009F33CD" w:rsidRDefault="00E40740">
      <w:r>
        <w:t>To aid the study on the source of the questionnaires filled out, the respondents were requested to indicate the name of the hospital they work. The fin</w:t>
      </w:r>
      <w:r w:rsidR="003F4007">
        <w:t>dings are presented in Table 4.4</w:t>
      </w:r>
      <w:r>
        <w:t>.</w:t>
      </w:r>
    </w:p>
    <w:p w14:paraId="13C71EDB" w14:textId="77777777" w:rsidR="009F33CD" w:rsidRDefault="000748E0">
      <w:pPr>
        <w:pStyle w:val="Heading6"/>
      </w:pPr>
      <w:bookmarkStart w:id="828" w:name="_Toc187080843"/>
      <w:bookmarkStart w:id="829" w:name="_Toc224237433"/>
      <w:r>
        <w:t>Table 4.4</w:t>
      </w:r>
      <w:r w:rsidR="00E40740">
        <w:t>: Findings for Name of the Hospital</w:t>
      </w:r>
      <w:bookmarkEnd w:id="828"/>
      <w:bookmarkEnd w:id="8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2215"/>
        <w:gridCol w:w="2166"/>
      </w:tblGrid>
      <w:tr w:rsidR="009F33CD" w14:paraId="4AFB0754" w14:textId="77777777" w:rsidTr="007F7E1C">
        <w:trPr>
          <w:trHeight w:val="45"/>
        </w:trPr>
        <w:tc>
          <w:tcPr>
            <w:tcW w:w="4874" w:type="dxa"/>
            <w:tcBorders>
              <w:top w:val="single" w:sz="4" w:space="0" w:color="auto"/>
              <w:bottom w:val="single" w:sz="4" w:space="0" w:color="auto"/>
            </w:tcBorders>
          </w:tcPr>
          <w:p w14:paraId="58F769C2" w14:textId="77777777" w:rsidR="009F33CD" w:rsidRDefault="00E40740">
            <w:pPr>
              <w:spacing w:line="240" w:lineRule="auto"/>
              <w:rPr>
                <w:b/>
                <w:bCs/>
                <w:szCs w:val="24"/>
              </w:rPr>
            </w:pPr>
            <w:r>
              <w:rPr>
                <w:b/>
                <w:bCs/>
                <w:szCs w:val="24"/>
              </w:rPr>
              <w:t>Name of Level Five Hospital</w:t>
            </w:r>
          </w:p>
        </w:tc>
        <w:tc>
          <w:tcPr>
            <w:tcW w:w="2486" w:type="dxa"/>
            <w:tcBorders>
              <w:top w:val="single" w:sz="4" w:space="0" w:color="auto"/>
              <w:bottom w:val="single" w:sz="4" w:space="0" w:color="auto"/>
            </w:tcBorders>
          </w:tcPr>
          <w:p w14:paraId="26A12C24" w14:textId="77777777" w:rsidR="009F33CD" w:rsidRDefault="00E40740" w:rsidP="007F7E1C">
            <w:pPr>
              <w:spacing w:line="240" w:lineRule="auto"/>
              <w:jc w:val="center"/>
              <w:rPr>
                <w:b/>
                <w:bCs/>
                <w:szCs w:val="24"/>
              </w:rPr>
            </w:pPr>
            <w:r>
              <w:rPr>
                <w:b/>
                <w:bCs/>
                <w:szCs w:val="24"/>
              </w:rPr>
              <w:t>Respondents</w:t>
            </w:r>
          </w:p>
        </w:tc>
        <w:tc>
          <w:tcPr>
            <w:tcW w:w="2486" w:type="dxa"/>
            <w:tcBorders>
              <w:top w:val="single" w:sz="4" w:space="0" w:color="auto"/>
              <w:bottom w:val="single" w:sz="4" w:space="0" w:color="auto"/>
            </w:tcBorders>
          </w:tcPr>
          <w:p w14:paraId="102733CD" w14:textId="77777777" w:rsidR="009F33CD" w:rsidRDefault="00E40740" w:rsidP="007F7E1C">
            <w:pPr>
              <w:spacing w:line="240" w:lineRule="auto"/>
              <w:jc w:val="center"/>
              <w:rPr>
                <w:b/>
                <w:bCs/>
                <w:szCs w:val="24"/>
              </w:rPr>
            </w:pPr>
            <w:r>
              <w:rPr>
                <w:b/>
                <w:bCs/>
                <w:szCs w:val="24"/>
              </w:rPr>
              <w:t>Percentage</w:t>
            </w:r>
          </w:p>
        </w:tc>
      </w:tr>
      <w:tr w:rsidR="009F33CD" w14:paraId="79B94073" w14:textId="77777777" w:rsidTr="007F7E1C">
        <w:trPr>
          <w:trHeight w:val="260"/>
        </w:trPr>
        <w:tc>
          <w:tcPr>
            <w:tcW w:w="4874" w:type="dxa"/>
            <w:tcBorders>
              <w:top w:val="single" w:sz="4" w:space="0" w:color="auto"/>
            </w:tcBorders>
          </w:tcPr>
          <w:p w14:paraId="1B5502C6" w14:textId="77777777" w:rsidR="009F33CD" w:rsidRDefault="00E40740">
            <w:pPr>
              <w:spacing w:line="240" w:lineRule="auto"/>
              <w:rPr>
                <w:szCs w:val="24"/>
              </w:rPr>
            </w:pPr>
            <w:r>
              <w:rPr>
                <w:szCs w:val="24"/>
              </w:rPr>
              <w:t>Machakos Level Five Hospital</w:t>
            </w:r>
          </w:p>
        </w:tc>
        <w:tc>
          <w:tcPr>
            <w:tcW w:w="2486" w:type="dxa"/>
            <w:tcBorders>
              <w:top w:val="single" w:sz="4" w:space="0" w:color="auto"/>
            </w:tcBorders>
          </w:tcPr>
          <w:p w14:paraId="275836EE" w14:textId="77777777" w:rsidR="009F33CD" w:rsidRDefault="00E40740" w:rsidP="007F7E1C">
            <w:pPr>
              <w:spacing w:line="240" w:lineRule="auto"/>
              <w:jc w:val="center"/>
              <w:rPr>
                <w:szCs w:val="24"/>
              </w:rPr>
            </w:pPr>
            <w:r>
              <w:rPr>
                <w:szCs w:val="24"/>
              </w:rPr>
              <w:t>32</w:t>
            </w:r>
          </w:p>
        </w:tc>
        <w:tc>
          <w:tcPr>
            <w:tcW w:w="2486" w:type="dxa"/>
            <w:tcBorders>
              <w:top w:val="single" w:sz="4" w:space="0" w:color="auto"/>
            </w:tcBorders>
          </w:tcPr>
          <w:p w14:paraId="7E40097F" w14:textId="77777777" w:rsidR="009F33CD" w:rsidRDefault="00E40740" w:rsidP="007F7E1C">
            <w:pPr>
              <w:spacing w:line="240" w:lineRule="auto"/>
              <w:jc w:val="center"/>
              <w:rPr>
                <w:szCs w:val="24"/>
              </w:rPr>
            </w:pPr>
            <w:r>
              <w:rPr>
                <w:szCs w:val="24"/>
              </w:rPr>
              <w:t>27.12</w:t>
            </w:r>
          </w:p>
        </w:tc>
      </w:tr>
      <w:tr w:rsidR="009F33CD" w14:paraId="0A9C7A5B" w14:textId="77777777" w:rsidTr="007F7E1C">
        <w:trPr>
          <w:trHeight w:val="261"/>
        </w:trPr>
        <w:tc>
          <w:tcPr>
            <w:tcW w:w="4874" w:type="dxa"/>
          </w:tcPr>
          <w:p w14:paraId="52EA6A98" w14:textId="77777777" w:rsidR="009F33CD" w:rsidRDefault="00E40740">
            <w:pPr>
              <w:spacing w:line="240" w:lineRule="auto"/>
              <w:rPr>
                <w:szCs w:val="24"/>
              </w:rPr>
            </w:pPr>
            <w:r>
              <w:rPr>
                <w:szCs w:val="24"/>
              </w:rPr>
              <w:t>Mama Lucy Kibaki Level Five Hospital</w:t>
            </w:r>
          </w:p>
        </w:tc>
        <w:tc>
          <w:tcPr>
            <w:tcW w:w="2486" w:type="dxa"/>
          </w:tcPr>
          <w:p w14:paraId="06083BF0" w14:textId="77777777" w:rsidR="009F33CD" w:rsidRDefault="00E40740" w:rsidP="007F7E1C">
            <w:pPr>
              <w:spacing w:line="240" w:lineRule="auto"/>
              <w:jc w:val="center"/>
              <w:rPr>
                <w:szCs w:val="24"/>
              </w:rPr>
            </w:pPr>
            <w:r>
              <w:rPr>
                <w:szCs w:val="24"/>
              </w:rPr>
              <w:t>25</w:t>
            </w:r>
          </w:p>
        </w:tc>
        <w:tc>
          <w:tcPr>
            <w:tcW w:w="2486" w:type="dxa"/>
          </w:tcPr>
          <w:p w14:paraId="04F01D30" w14:textId="77777777" w:rsidR="009F33CD" w:rsidRDefault="00E40740" w:rsidP="007F7E1C">
            <w:pPr>
              <w:spacing w:line="240" w:lineRule="auto"/>
              <w:jc w:val="center"/>
              <w:rPr>
                <w:szCs w:val="24"/>
              </w:rPr>
            </w:pPr>
            <w:r>
              <w:rPr>
                <w:szCs w:val="24"/>
              </w:rPr>
              <w:t>21.19</w:t>
            </w:r>
          </w:p>
        </w:tc>
      </w:tr>
      <w:tr w:rsidR="009F33CD" w14:paraId="28CED7FE" w14:textId="77777777" w:rsidTr="007F7E1C">
        <w:trPr>
          <w:trHeight w:val="297"/>
        </w:trPr>
        <w:tc>
          <w:tcPr>
            <w:tcW w:w="4874" w:type="dxa"/>
          </w:tcPr>
          <w:p w14:paraId="300EA636" w14:textId="77777777" w:rsidR="009F33CD" w:rsidRDefault="00E40740">
            <w:pPr>
              <w:spacing w:line="240" w:lineRule="auto"/>
              <w:rPr>
                <w:szCs w:val="24"/>
              </w:rPr>
            </w:pPr>
            <w:r>
              <w:rPr>
                <w:szCs w:val="24"/>
              </w:rPr>
              <w:t>Embu Level Five Hospital</w:t>
            </w:r>
          </w:p>
        </w:tc>
        <w:tc>
          <w:tcPr>
            <w:tcW w:w="2486" w:type="dxa"/>
          </w:tcPr>
          <w:p w14:paraId="3D0B4573" w14:textId="77777777" w:rsidR="009F33CD" w:rsidRDefault="00E40740" w:rsidP="007F7E1C">
            <w:pPr>
              <w:spacing w:line="240" w:lineRule="auto"/>
              <w:jc w:val="center"/>
              <w:rPr>
                <w:szCs w:val="24"/>
              </w:rPr>
            </w:pPr>
            <w:r>
              <w:rPr>
                <w:szCs w:val="24"/>
              </w:rPr>
              <w:t>31</w:t>
            </w:r>
          </w:p>
        </w:tc>
        <w:tc>
          <w:tcPr>
            <w:tcW w:w="2486" w:type="dxa"/>
          </w:tcPr>
          <w:p w14:paraId="747432D4" w14:textId="77777777" w:rsidR="009F33CD" w:rsidRDefault="00E40740" w:rsidP="007F7E1C">
            <w:pPr>
              <w:spacing w:line="240" w:lineRule="auto"/>
              <w:jc w:val="center"/>
              <w:rPr>
                <w:szCs w:val="24"/>
              </w:rPr>
            </w:pPr>
            <w:r>
              <w:rPr>
                <w:szCs w:val="24"/>
              </w:rPr>
              <w:t>26.27</w:t>
            </w:r>
          </w:p>
        </w:tc>
      </w:tr>
      <w:tr w:rsidR="009F33CD" w14:paraId="730CA73A" w14:textId="77777777" w:rsidTr="007F7E1C">
        <w:trPr>
          <w:trHeight w:val="198"/>
        </w:trPr>
        <w:tc>
          <w:tcPr>
            <w:tcW w:w="4874" w:type="dxa"/>
            <w:tcBorders>
              <w:bottom w:val="nil"/>
            </w:tcBorders>
          </w:tcPr>
          <w:p w14:paraId="2240F12F" w14:textId="77777777" w:rsidR="009F33CD" w:rsidRDefault="00E40740">
            <w:pPr>
              <w:spacing w:line="240" w:lineRule="auto"/>
              <w:rPr>
                <w:szCs w:val="24"/>
              </w:rPr>
            </w:pPr>
            <w:r>
              <w:rPr>
                <w:szCs w:val="24"/>
              </w:rPr>
              <w:t>Nakuru Level Five Hospital</w:t>
            </w:r>
          </w:p>
        </w:tc>
        <w:tc>
          <w:tcPr>
            <w:tcW w:w="2486" w:type="dxa"/>
            <w:tcBorders>
              <w:bottom w:val="nil"/>
            </w:tcBorders>
          </w:tcPr>
          <w:p w14:paraId="30715D9C" w14:textId="77777777" w:rsidR="009F33CD" w:rsidRDefault="00E40740" w:rsidP="007F7E1C">
            <w:pPr>
              <w:spacing w:line="240" w:lineRule="auto"/>
              <w:jc w:val="center"/>
              <w:rPr>
                <w:szCs w:val="24"/>
              </w:rPr>
            </w:pPr>
            <w:r>
              <w:rPr>
                <w:szCs w:val="24"/>
              </w:rPr>
              <w:t>30</w:t>
            </w:r>
          </w:p>
        </w:tc>
        <w:tc>
          <w:tcPr>
            <w:tcW w:w="2486" w:type="dxa"/>
            <w:tcBorders>
              <w:bottom w:val="nil"/>
            </w:tcBorders>
          </w:tcPr>
          <w:p w14:paraId="0820F2BB" w14:textId="77777777" w:rsidR="009F33CD" w:rsidRDefault="00E40740" w:rsidP="007F7E1C">
            <w:pPr>
              <w:spacing w:line="240" w:lineRule="auto"/>
              <w:jc w:val="center"/>
              <w:rPr>
                <w:szCs w:val="24"/>
              </w:rPr>
            </w:pPr>
            <w:r>
              <w:rPr>
                <w:szCs w:val="24"/>
              </w:rPr>
              <w:t>25.42</w:t>
            </w:r>
          </w:p>
        </w:tc>
      </w:tr>
      <w:tr w:rsidR="009F33CD" w14:paraId="5D564821" w14:textId="77777777" w:rsidTr="007F7E1C">
        <w:trPr>
          <w:trHeight w:val="45"/>
        </w:trPr>
        <w:tc>
          <w:tcPr>
            <w:tcW w:w="4874" w:type="dxa"/>
            <w:tcBorders>
              <w:top w:val="nil"/>
              <w:bottom w:val="single" w:sz="4" w:space="0" w:color="auto"/>
            </w:tcBorders>
          </w:tcPr>
          <w:p w14:paraId="47785E38" w14:textId="77777777" w:rsidR="009F33CD" w:rsidRDefault="00E40740">
            <w:pPr>
              <w:spacing w:before="0" w:beforeAutospacing="0" w:after="0" w:afterAutospacing="0" w:line="240" w:lineRule="auto"/>
              <w:rPr>
                <w:b/>
                <w:szCs w:val="24"/>
              </w:rPr>
            </w:pPr>
            <w:r>
              <w:rPr>
                <w:b/>
                <w:szCs w:val="24"/>
              </w:rPr>
              <w:t>Total</w:t>
            </w:r>
          </w:p>
        </w:tc>
        <w:tc>
          <w:tcPr>
            <w:tcW w:w="2486" w:type="dxa"/>
            <w:tcBorders>
              <w:top w:val="nil"/>
              <w:bottom w:val="single" w:sz="4" w:space="0" w:color="auto"/>
            </w:tcBorders>
          </w:tcPr>
          <w:p w14:paraId="6FC377D0" w14:textId="77777777" w:rsidR="009F33CD" w:rsidRDefault="00E40740" w:rsidP="007F7E1C">
            <w:pPr>
              <w:spacing w:before="0" w:beforeAutospacing="0" w:after="0" w:afterAutospacing="0" w:line="240" w:lineRule="auto"/>
              <w:jc w:val="center"/>
              <w:rPr>
                <w:b/>
                <w:szCs w:val="24"/>
              </w:rPr>
            </w:pPr>
            <w:r>
              <w:rPr>
                <w:b/>
                <w:szCs w:val="24"/>
              </w:rPr>
              <w:t>118</w:t>
            </w:r>
          </w:p>
        </w:tc>
        <w:tc>
          <w:tcPr>
            <w:tcW w:w="2486" w:type="dxa"/>
            <w:tcBorders>
              <w:top w:val="nil"/>
              <w:bottom w:val="single" w:sz="4" w:space="0" w:color="auto"/>
            </w:tcBorders>
          </w:tcPr>
          <w:p w14:paraId="38D84EDD" w14:textId="77777777" w:rsidR="009F33CD" w:rsidRDefault="00E40740" w:rsidP="007F7E1C">
            <w:pPr>
              <w:spacing w:before="0" w:beforeAutospacing="0" w:after="0" w:afterAutospacing="0" w:line="240" w:lineRule="auto"/>
              <w:jc w:val="center"/>
              <w:rPr>
                <w:b/>
                <w:szCs w:val="24"/>
              </w:rPr>
            </w:pPr>
            <w:r>
              <w:rPr>
                <w:b/>
                <w:szCs w:val="24"/>
              </w:rPr>
              <w:t>100.00</w:t>
            </w:r>
          </w:p>
        </w:tc>
      </w:tr>
    </w:tbl>
    <w:p w14:paraId="5219FDA4" w14:textId="77777777" w:rsidR="009F33CD" w:rsidRDefault="003F4007">
      <w:r>
        <w:t>From Table 4.4</w:t>
      </w:r>
      <w:r w:rsidR="00E40740">
        <w:t xml:space="preserve">, respondents 27.12 % were from Machakos Level Five Hospital, 21.19% were from Mama Lucy Kibaki Level Five Hospital, 26.27% were from Embu Level Five Hospital, while respondents 25.42% were from Nakuru Level Five Hospital. The result reveals a diverse representation from four Level Five Hospitals. Further, the hospitals were Level Five hospitals indicating that they serve as county healthcare centers that provide specialized healthcare services and they also act as </w:t>
      </w:r>
      <w:r w:rsidR="00E40740">
        <w:lastRenderedPageBreak/>
        <w:t>referral health points for lower-level health facilities in Kenya. This finding is consistent with the technical classification of healthcare service delivery (The Health Act, 2017). Level Five hospitals offer a higher level of quality of care as they are more equipped with better healthcare infrastructure and specialist healthcare professionals.</w:t>
      </w:r>
    </w:p>
    <w:p w14:paraId="4A246CBF" w14:textId="77777777" w:rsidR="009F33CD" w:rsidRDefault="00E40740">
      <w:pPr>
        <w:pStyle w:val="Heading3"/>
      </w:pPr>
      <w:bookmarkStart w:id="830" w:name="_Toc178942624"/>
      <w:bookmarkStart w:id="831" w:name="_Toc187080844"/>
      <w:bookmarkStart w:id="832" w:name="_Toc178945034"/>
      <w:bookmarkStart w:id="833" w:name="_Toc188442598"/>
      <w:bookmarkStart w:id="834" w:name="_Toc188130625"/>
      <w:bookmarkStart w:id="835" w:name="_Toc185614072"/>
      <w:bookmarkStart w:id="836" w:name="_Toc188443972"/>
      <w:bookmarkStart w:id="837" w:name="_Toc178944282"/>
      <w:bookmarkStart w:id="838" w:name="_Toc178940583"/>
      <w:bookmarkStart w:id="839" w:name="_Toc224160662"/>
      <w:bookmarkStart w:id="840" w:name="_Toc224237724"/>
      <w:r>
        <w:t>4.4.2 Gender of the Respondents</w:t>
      </w:r>
      <w:bookmarkEnd w:id="824"/>
      <w:bookmarkEnd w:id="825"/>
      <w:bookmarkEnd w:id="826"/>
      <w:bookmarkEnd w:id="827"/>
      <w:bookmarkEnd w:id="830"/>
      <w:bookmarkEnd w:id="831"/>
      <w:bookmarkEnd w:id="832"/>
      <w:bookmarkEnd w:id="833"/>
      <w:bookmarkEnd w:id="834"/>
      <w:bookmarkEnd w:id="835"/>
      <w:bookmarkEnd w:id="836"/>
      <w:bookmarkEnd w:id="837"/>
      <w:bookmarkEnd w:id="838"/>
      <w:bookmarkEnd w:id="839"/>
      <w:bookmarkEnd w:id="840"/>
    </w:p>
    <w:p w14:paraId="726CB200" w14:textId="77777777" w:rsidR="009F33CD" w:rsidRDefault="00E40740">
      <w:pPr>
        <w:rPr>
          <w:rFonts w:cs="Times New Roman"/>
          <w:szCs w:val="24"/>
        </w:rPr>
      </w:pPr>
      <w:r>
        <w:rPr>
          <w:rFonts w:cs="Times New Roman"/>
          <w:szCs w:val="24"/>
        </w:rPr>
        <w:t>The respondents who participated in this study were requested to indicate their gender. The gender of respondents was important in this study because it could influence the choices made regarding green human resource management practices and the performance of devolved healthcare services in Kenya.</w:t>
      </w:r>
      <w:r>
        <w:t xml:space="preserve"> </w:t>
      </w:r>
      <w:r>
        <w:rPr>
          <w:rFonts w:cs="Times New Roman"/>
          <w:szCs w:val="24"/>
        </w:rPr>
        <w:t>The study fin</w:t>
      </w:r>
      <w:r w:rsidR="003F4007">
        <w:rPr>
          <w:rFonts w:cs="Times New Roman"/>
          <w:szCs w:val="24"/>
        </w:rPr>
        <w:t>dings are presented in Table 4.5</w:t>
      </w:r>
      <w:r>
        <w:rPr>
          <w:rFonts w:cs="Times New Roman"/>
          <w:szCs w:val="24"/>
        </w:rPr>
        <w:t>.</w:t>
      </w:r>
    </w:p>
    <w:p w14:paraId="4EF5A94D" w14:textId="77777777" w:rsidR="009F33CD" w:rsidRDefault="000748E0">
      <w:pPr>
        <w:pStyle w:val="Heading6"/>
      </w:pPr>
      <w:bookmarkStart w:id="841" w:name="_Toc165623593"/>
      <w:bookmarkStart w:id="842" w:name="_Toc139981652"/>
      <w:bookmarkStart w:id="843" w:name="_Toc139986451"/>
      <w:bookmarkStart w:id="844" w:name="_Toc139987478"/>
      <w:bookmarkStart w:id="845" w:name="_Toc178944283"/>
      <w:bookmarkStart w:id="846" w:name="_Toc165626374"/>
      <w:bookmarkStart w:id="847" w:name="_Toc178945035"/>
      <w:bookmarkStart w:id="848" w:name="_Toc178942625"/>
      <w:bookmarkStart w:id="849" w:name="_Toc147946891"/>
      <w:bookmarkStart w:id="850" w:name="_Toc147950230"/>
      <w:bookmarkStart w:id="851" w:name="_Toc178940584"/>
      <w:bookmarkStart w:id="852" w:name="_Toc185614073"/>
      <w:bookmarkStart w:id="853" w:name="_Toc187080845"/>
      <w:bookmarkStart w:id="854" w:name="_Toc224237434"/>
      <w:r>
        <w:t>Table 4.5</w:t>
      </w:r>
      <w:r w:rsidR="00E40740">
        <w:t>: Findings for Gender of Respondents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10"/>
        <w:gridCol w:w="2797"/>
        <w:gridCol w:w="2713"/>
      </w:tblGrid>
      <w:tr w:rsidR="009F33CD" w14:paraId="62A166ED" w14:textId="77777777">
        <w:tc>
          <w:tcPr>
            <w:tcW w:w="3356" w:type="dxa"/>
            <w:tcBorders>
              <w:top w:val="single" w:sz="4" w:space="0" w:color="auto"/>
              <w:left w:val="nil"/>
              <w:bottom w:val="single" w:sz="4" w:space="0" w:color="auto"/>
            </w:tcBorders>
          </w:tcPr>
          <w:p w14:paraId="416CE031" w14:textId="77777777" w:rsidR="009F33CD" w:rsidRDefault="00E40740">
            <w:pPr>
              <w:spacing w:line="240" w:lineRule="auto"/>
              <w:rPr>
                <w:b/>
                <w:bCs/>
                <w:szCs w:val="24"/>
              </w:rPr>
            </w:pPr>
            <w:r>
              <w:rPr>
                <w:b/>
                <w:bCs/>
                <w:szCs w:val="24"/>
              </w:rPr>
              <w:t>Gender</w:t>
            </w:r>
          </w:p>
        </w:tc>
        <w:tc>
          <w:tcPr>
            <w:tcW w:w="3357" w:type="dxa"/>
            <w:tcBorders>
              <w:top w:val="single" w:sz="4" w:space="0" w:color="auto"/>
              <w:bottom w:val="single" w:sz="4" w:space="0" w:color="auto"/>
            </w:tcBorders>
          </w:tcPr>
          <w:p w14:paraId="08E17CE3" w14:textId="77777777" w:rsidR="009F33CD" w:rsidRDefault="00E40740">
            <w:pPr>
              <w:spacing w:line="240" w:lineRule="auto"/>
              <w:jc w:val="center"/>
              <w:rPr>
                <w:b/>
                <w:bCs/>
                <w:szCs w:val="24"/>
              </w:rPr>
            </w:pPr>
            <w:r>
              <w:rPr>
                <w:b/>
                <w:bCs/>
                <w:szCs w:val="24"/>
              </w:rPr>
              <w:t>Frequency</w:t>
            </w:r>
          </w:p>
        </w:tc>
        <w:tc>
          <w:tcPr>
            <w:tcW w:w="3357" w:type="dxa"/>
            <w:tcBorders>
              <w:top w:val="single" w:sz="4" w:space="0" w:color="auto"/>
              <w:bottom w:val="single" w:sz="4" w:space="0" w:color="auto"/>
              <w:right w:val="nil"/>
            </w:tcBorders>
          </w:tcPr>
          <w:p w14:paraId="4D80D613" w14:textId="77777777" w:rsidR="009F33CD" w:rsidRDefault="00E40740">
            <w:pPr>
              <w:spacing w:line="240" w:lineRule="auto"/>
              <w:jc w:val="center"/>
              <w:rPr>
                <w:b/>
                <w:bCs/>
                <w:szCs w:val="24"/>
              </w:rPr>
            </w:pPr>
            <w:r>
              <w:rPr>
                <w:b/>
                <w:bCs/>
                <w:szCs w:val="24"/>
              </w:rPr>
              <w:t>Percent</w:t>
            </w:r>
          </w:p>
        </w:tc>
      </w:tr>
      <w:tr w:rsidR="009F33CD" w14:paraId="7CEF9679" w14:textId="77777777">
        <w:trPr>
          <w:trHeight w:val="269"/>
        </w:trPr>
        <w:tc>
          <w:tcPr>
            <w:tcW w:w="3356" w:type="dxa"/>
            <w:tcBorders>
              <w:top w:val="single" w:sz="4" w:space="0" w:color="auto"/>
              <w:left w:val="nil"/>
            </w:tcBorders>
          </w:tcPr>
          <w:p w14:paraId="64F66BA3" w14:textId="77777777" w:rsidR="009F33CD" w:rsidRDefault="00E40740">
            <w:pPr>
              <w:spacing w:line="240" w:lineRule="auto"/>
              <w:rPr>
                <w:szCs w:val="24"/>
              </w:rPr>
            </w:pPr>
            <w:r>
              <w:rPr>
                <w:szCs w:val="24"/>
              </w:rPr>
              <w:t>Male</w:t>
            </w:r>
          </w:p>
        </w:tc>
        <w:tc>
          <w:tcPr>
            <w:tcW w:w="3357" w:type="dxa"/>
            <w:tcBorders>
              <w:top w:val="single" w:sz="4" w:space="0" w:color="auto"/>
            </w:tcBorders>
          </w:tcPr>
          <w:p w14:paraId="5C8C2860" w14:textId="77777777" w:rsidR="009F33CD" w:rsidRDefault="00E40740">
            <w:pPr>
              <w:spacing w:line="240" w:lineRule="auto"/>
              <w:jc w:val="center"/>
              <w:rPr>
                <w:szCs w:val="24"/>
              </w:rPr>
            </w:pPr>
            <w:r>
              <w:rPr>
                <w:szCs w:val="24"/>
              </w:rPr>
              <w:t>55</w:t>
            </w:r>
          </w:p>
        </w:tc>
        <w:tc>
          <w:tcPr>
            <w:tcW w:w="3357" w:type="dxa"/>
            <w:tcBorders>
              <w:top w:val="single" w:sz="4" w:space="0" w:color="auto"/>
              <w:right w:val="nil"/>
            </w:tcBorders>
          </w:tcPr>
          <w:p w14:paraId="07F5D4C1" w14:textId="77777777" w:rsidR="009F33CD" w:rsidRDefault="00E40740">
            <w:pPr>
              <w:spacing w:line="240" w:lineRule="auto"/>
              <w:jc w:val="center"/>
              <w:rPr>
                <w:szCs w:val="24"/>
              </w:rPr>
            </w:pPr>
            <w:r>
              <w:rPr>
                <w:szCs w:val="24"/>
              </w:rPr>
              <w:t>46.6</w:t>
            </w:r>
          </w:p>
        </w:tc>
      </w:tr>
      <w:tr w:rsidR="009F33CD" w14:paraId="577DCE71" w14:textId="77777777" w:rsidTr="00747714">
        <w:tc>
          <w:tcPr>
            <w:tcW w:w="3356" w:type="dxa"/>
            <w:tcBorders>
              <w:left w:val="nil"/>
              <w:bottom w:val="nil"/>
            </w:tcBorders>
          </w:tcPr>
          <w:p w14:paraId="0E6CA02A" w14:textId="77777777" w:rsidR="009F33CD" w:rsidRDefault="00E40740">
            <w:pPr>
              <w:spacing w:line="240" w:lineRule="auto"/>
              <w:rPr>
                <w:szCs w:val="24"/>
              </w:rPr>
            </w:pPr>
            <w:r>
              <w:rPr>
                <w:szCs w:val="24"/>
              </w:rPr>
              <w:t>Female</w:t>
            </w:r>
          </w:p>
        </w:tc>
        <w:tc>
          <w:tcPr>
            <w:tcW w:w="3357" w:type="dxa"/>
            <w:tcBorders>
              <w:bottom w:val="nil"/>
            </w:tcBorders>
          </w:tcPr>
          <w:p w14:paraId="784916A3" w14:textId="77777777" w:rsidR="009F33CD" w:rsidRDefault="00E40740">
            <w:pPr>
              <w:spacing w:line="240" w:lineRule="auto"/>
              <w:jc w:val="center"/>
              <w:rPr>
                <w:szCs w:val="24"/>
              </w:rPr>
            </w:pPr>
            <w:r>
              <w:rPr>
                <w:szCs w:val="24"/>
              </w:rPr>
              <w:t>63</w:t>
            </w:r>
          </w:p>
        </w:tc>
        <w:tc>
          <w:tcPr>
            <w:tcW w:w="3357" w:type="dxa"/>
            <w:tcBorders>
              <w:bottom w:val="nil"/>
              <w:right w:val="nil"/>
            </w:tcBorders>
          </w:tcPr>
          <w:p w14:paraId="26F671F0" w14:textId="77777777" w:rsidR="009F33CD" w:rsidRDefault="00E40740">
            <w:pPr>
              <w:spacing w:line="240" w:lineRule="auto"/>
              <w:jc w:val="center"/>
              <w:rPr>
                <w:szCs w:val="24"/>
              </w:rPr>
            </w:pPr>
            <w:r>
              <w:rPr>
                <w:szCs w:val="24"/>
              </w:rPr>
              <w:t>53,4</w:t>
            </w:r>
          </w:p>
        </w:tc>
      </w:tr>
      <w:tr w:rsidR="009F33CD" w14:paraId="3C1C66AA" w14:textId="77777777" w:rsidTr="00747714">
        <w:tc>
          <w:tcPr>
            <w:tcW w:w="3356" w:type="dxa"/>
            <w:tcBorders>
              <w:top w:val="nil"/>
              <w:left w:val="nil"/>
              <w:bottom w:val="single" w:sz="4" w:space="0" w:color="auto"/>
            </w:tcBorders>
          </w:tcPr>
          <w:p w14:paraId="10659F1E" w14:textId="77777777" w:rsidR="009F33CD" w:rsidRDefault="00E40740">
            <w:pPr>
              <w:spacing w:line="240" w:lineRule="auto"/>
              <w:rPr>
                <w:b/>
                <w:bCs/>
                <w:szCs w:val="24"/>
              </w:rPr>
            </w:pPr>
            <w:r>
              <w:rPr>
                <w:b/>
                <w:bCs/>
                <w:szCs w:val="24"/>
              </w:rPr>
              <w:t>Total</w:t>
            </w:r>
          </w:p>
        </w:tc>
        <w:tc>
          <w:tcPr>
            <w:tcW w:w="3357" w:type="dxa"/>
            <w:tcBorders>
              <w:top w:val="nil"/>
              <w:bottom w:val="single" w:sz="4" w:space="0" w:color="auto"/>
            </w:tcBorders>
          </w:tcPr>
          <w:p w14:paraId="2596021D" w14:textId="77777777" w:rsidR="009F33CD" w:rsidRDefault="00E40740">
            <w:pPr>
              <w:spacing w:line="240" w:lineRule="auto"/>
              <w:jc w:val="center"/>
              <w:rPr>
                <w:b/>
                <w:bCs/>
                <w:szCs w:val="24"/>
              </w:rPr>
            </w:pPr>
            <w:r>
              <w:rPr>
                <w:b/>
                <w:bCs/>
                <w:szCs w:val="24"/>
              </w:rPr>
              <w:t>118</w:t>
            </w:r>
          </w:p>
        </w:tc>
        <w:tc>
          <w:tcPr>
            <w:tcW w:w="3357" w:type="dxa"/>
            <w:tcBorders>
              <w:top w:val="nil"/>
              <w:bottom w:val="single" w:sz="4" w:space="0" w:color="auto"/>
              <w:right w:val="nil"/>
            </w:tcBorders>
          </w:tcPr>
          <w:p w14:paraId="06DBDF91" w14:textId="77777777" w:rsidR="009F33CD" w:rsidRDefault="00E40740">
            <w:pPr>
              <w:spacing w:line="240" w:lineRule="auto"/>
              <w:jc w:val="center"/>
              <w:rPr>
                <w:b/>
                <w:bCs/>
                <w:szCs w:val="24"/>
              </w:rPr>
            </w:pPr>
            <w:r>
              <w:rPr>
                <w:b/>
                <w:bCs/>
                <w:szCs w:val="24"/>
              </w:rPr>
              <w:t>100.0</w:t>
            </w:r>
          </w:p>
        </w:tc>
      </w:tr>
    </w:tbl>
    <w:p w14:paraId="289B48F2" w14:textId="77777777" w:rsidR="009F33CD" w:rsidRDefault="00E40740">
      <w:pPr>
        <w:spacing w:line="400" w:lineRule="atLeast"/>
        <w:rPr>
          <w:rFonts w:eastAsia="Times New Roman" w:cs="Times New Roman"/>
          <w:bCs/>
          <w:szCs w:val="24"/>
        </w:rPr>
      </w:pPr>
      <w:r>
        <w:rPr>
          <w:rFonts w:cs="Times New Roman"/>
          <w:szCs w:val="24"/>
        </w:rPr>
        <w:t>According to the</w:t>
      </w:r>
      <w:r w:rsidR="003F4007">
        <w:rPr>
          <w:rFonts w:cs="Times New Roman"/>
          <w:szCs w:val="24"/>
        </w:rPr>
        <w:t xml:space="preserve"> findings presented in Table 4.5</w:t>
      </w:r>
      <w:r>
        <w:rPr>
          <w:rFonts w:cs="Times New Roman"/>
          <w:szCs w:val="24"/>
        </w:rPr>
        <w:t>, the proportion of male respondents was 46.6%, whereas the proportion of female respondents was 53.4%.</w:t>
      </w:r>
      <w:r>
        <w:rPr>
          <w:rFonts w:eastAsia="Times New Roman" w:cs="Times New Roman"/>
          <w:bCs/>
          <w:szCs w:val="24"/>
        </w:rPr>
        <w:t xml:space="preserve"> The results reveal that most of the respondents working in devolved healthcare services in Kenya are females. This finding displayed an acceptable gender balance as it met the minimum gender rule that provides that 1/3 of the employees should consist of either gender (The Constitution of Kenya, 2010). This finding concurs with a study conducted by Maina (2019) which reported 52.6% and 47.4% female and male respondents respectively. Further, t</w:t>
      </w:r>
      <w:r>
        <w:rPr>
          <w:rFonts w:cs="Times New Roman"/>
          <w:szCs w:val="24"/>
        </w:rPr>
        <w:t xml:space="preserve">his finding aligns with a study conducted by Boniol </w:t>
      </w:r>
      <w:r>
        <w:rPr>
          <w:rFonts w:cs="Times New Roman"/>
          <w:i/>
          <w:szCs w:val="24"/>
        </w:rPr>
        <w:t>et al.</w:t>
      </w:r>
      <w:r>
        <w:rPr>
          <w:rFonts w:cs="Times New Roman"/>
          <w:szCs w:val="24"/>
        </w:rPr>
        <w:t xml:space="preserve"> (2019), which revealed that women constitute 70% of the workforce in the health and social care sector globally</w:t>
      </w:r>
      <w:r>
        <w:rPr>
          <w:rFonts w:eastAsia="Times New Roman" w:cs="Times New Roman"/>
          <w:bCs/>
          <w:szCs w:val="24"/>
        </w:rPr>
        <w:t xml:space="preserve">. </w:t>
      </w:r>
      <w:bookmarkStart w:id="855" w:name="_Toc178940585"/>
      <w:bookmarkStart w:id="856" w:name="_Toc178944284"/>
      <w:bookmarkStart w:id="857" w:name="_Toc139981653"/>
      <w:bookmarkStart w:id="858" w:name="_Toc147950231"/>
      <w:bookmarkStart w:id="859" w:name="_Toc165626375"/>
      <w:bookmarkStart w:id="860" w:name="_Toc178942626"/>
      <w:bookmarkStart w:id="861" w:name="_Toc185614074"/>
      <w:bookmarkStart w:id="862" w:name="_Toc165623594"/>
      <w:bookmarkStart w:id="863" w:name="_Toc178945036"/>
    </w:p>
    <w:p w14:paraId="684A46CD" w14:textId="77777777" w:rsidR="009F33CD" w:rsidRDefault="00E40740">
      <w:pPr>
        <w:pStyle w:val="Heading3"/>
        <w:rPr>
          <w:rFonts w:eastAsia="Times New Roman"/>
        </w:rPr>
      </w:pPr>
      <w:bookmarkStart w:id="864" w:name="_Toc188130626"/>
      <w:bookmarkStart w:id="865" w:name="_Toc188443973"/>
      <w:bookmarkStart w:id="866" w:name="_Toc188442599"/>
      <w:bookmarkStart w:id="867" w:name="_Toc187080846"/>
      <w:bookmarkStart w:id="868" w:name="_Toc224160663"/>
      <w:bookmarkStart w:id="869" w:name="_Toc224237725"/>
      <w:r>
        <w:t>4.4.3 Category of Respondents in Management</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048B0CFA" w14:textId="77777777" w:rsidR="009F33CD" w:rsidRDefault="00E40740">
      <w:pPr>
        <w:spacing w:before="240"/>
        <w:rPr>
          <w:rFonts w:cs="Times New Roman"/>
          <w:szCs w:val="24"/>
        </w:rPr>
      </w:pPr>
      <w:r>
        <w:rPr>
          <w:rFonts w:cs="Times New Roman"/>
          <w:szCs w:val="24"/>
        </w:rPr>
        <w:t xml:space="preserve">The category of respondents in management who participated in this study was analyzed according to the levels of management they occupied in the Level Five </w:t>
      </w:r>
      <w:r>
        <w:rPr>
          <w:rFonts w:cs="Times New Roman"/>
          <w:szCs w:val="24"/>
        </w:rPr>
        <w:lastRenderedPageBreak/>
        <w:t>hospital they served. These levels of management were designated as top-level, middle-level, and bottom-level. The summary of fi</w:t>
      </w:r>
      <w:r w:rsidR="003F4007">
        <w:rPr>
          <w:rFonts w:cs="Times New Roman"/>
          <w:szCs w:val="24"/>
        </w:rPr>
        <w:t>ndings is presented in Table 4.6</w:t>
      </w:r>
      <w:r>
        <w:rPr>
          <w:rFonts w:cs="Times New Roman"/>
          <w:szCs w:val="24"/>
        </w:rPr>
        <w:t>.</w:t>
      </w:r>
    </w:p>
    <w:p w14:paraId="657D98E0" w14:textId="77777777" w:rsidR="009F33CD" w:rsidRDefault="000748E0">
      <w:pPr>
        <w:pStyle w:val="Heading6"/>
      </w:pPr>
      <w:bookmarkStart w:id="870" w:name="_Toc147950232"/>
      <w:bookmarkStart w:id="871" w:name="_Toc147946893"/>
      <w:bookmarkStart w:id="872" w:name="_Toc165626376"/>
      <w:bookmarkStart w:id="873" w:name="_Toc139986453"/>
      <w:bookmarkStart w:id="874" w:name="_Toc139987480"/>
      <w:bookmarkStart w:id="875" w:name="_Toc165623595"/>
      <w:bookmarkStart w:id="876" w:name="_Toc139981654"/>
      <w:bookmarkStart w:id="877" w:name="_Toc185614075"/>
      <w:bookmarkStart w:id="878" w:name="_Toc187080847"/>
      <w:bookmarkStart w:id="879" w:name="_Toc224237435"/>
      <w:r>
        <w:t>Table 4.6</w:t>
      </w:r>
      <w:r w:rsidR="00E40740">
        <w:t>: Findings for Category of Respondent</w:t>
      </w:r>
      <w:bookmarkEnd w:id="870"/>
      <w:bookmarkEnd w:id="871"/>
      <w:bookmarkEnd w:id="872"/>
      <w:bookmarkEnd w:id="873"/>
      <w:bookmarkEnd w:id="874"/>
      <w:bookmarkEnd w:id="875"/>
      <w:bookmarkEnd w:id="876"/>
      <w:r w:rsidR="00E40740">
        <w:t>s in Management</w:t>
      </w:r>
      <w:bookmarkEnd w:id="877"/>
      <w:bookmarkEnd w:id="878"/>
      <w:bookmarkEnd w:id="879"/>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357"/>
        <w:gridCol w:w="1191"/>
        <w:gridCol w:w="1060"/>
        <w:gridCol w:w="1060"/>
        <w:gridCol w:w="1059"/>
        <w:gridCol w:w="1333"/>
        <w:gridCol w:w="1160"/>
      </w:tblGrid>
      <w:tr w:rsidR="009F33CD" w14:paraId="0643CBDE" w14:textId="77777777" w:rsidTr="007F7E1C">
        <w:trPr>
          <w:cantSplit/>
          <w:trHeight w:val="858"/>
        </w:trPr>
        <w:tc>
          <w:tcPr>
            <w:tcW w:w="829" w:type="pct"/>
            <w:tcBorders>
              <w:top w:val="single" w:sz="4" w:space="0" w:color="auto"/>
              <w:left w:val="nil"/>
              <w:bottom w:val="single" w:sz="4" w:space="0" w:color="auto"/>
            </w:tcBorders>
          </w:tcPr>
          <w:p w14:paraId="1E5EC336" w14:textId="77777777" w:rsidR="009F33CD" w:rsidRDefault="00E40740">
            <w:pPr>
              <w:autoSpaceDE/>
              <w:autoSpaceDN/>
              <w:adjustRightInd/>
              <w:spacing w:before="0" w:beforeAutospacing="0" w:after="0" w:afterAutospacing="0" w:line="240" w:lineRule="auto"/>
              <w:rPr>
                <w:b/>
                <w:sz w:val="20"/>
              </w:rPr>
            </w:pPr>
            <w:bookmarkStart w:id="880" w:name="_Hlk219450499"/>
            <w:r>
              <w:rPr>
                <w:b/>
                <w:sz w:val="20"/>
              </w:rPr>
              <w:t>Level of Management</w:t>
            </w:r>
          </w:p>
        </w:tc>
        <w:tc>
          <w:tcPr>
            <w:tcW w:w="728" w:type="pct"/>
            <w:tcBorders>
              <w:top w:val="single" w:sz="4" w:space="0" w:color="auto"/>
              <w:bottom w:val="single" w:sz="4" w:space="0" w:color="auto"/>
            </w:tcBorders>
          </w:tcPr>
          <w:p w14:paraId="3473AF6E" w14:textId="77777777" w:rsidR="009F33CD" w:rsidRDefault="00E40740" w:rsidP="007F7E1C">
            <w:pPr>
              <w:autoSpaceDE/>
              <w:autoSpaceDN/>
              <w:adjustRightInd/>
              <w:spacing w:before="0" w:beforeAutospacing="0" w:after="0" w:afterAutospacing="0" w:line="240" w:lineRule="auto"/>
              <w:jc w:val="center"/>
              <w:rPr>
                <w:b/>
                <w:sz w:val="20"/>
              </w:rPr>
            </w:pPr>
            <w:r>
              <w:rPr>
                <w:b/>
                <w:sz w:val="20"/>
              </w:rPr>
              <w:t>Machakos Level Five Hospital</w:t>
            </w:r>
          </w:p>
        </w:tc>
        <w:tc>
          <w:tcPr>
            <w:tcW w:w="648" w:type="pct"/>
            <w:tcBorders>
              <w:top w:val="single" w:sz="4" w:space="0" w:color="auto"/>
              <w:bottom w:val="single" w:sz="4" w:space="0" w:color="auto"/>
            </w:tcBorders>
          </w:tcPr>
          <w:p w14:paraId="551DED5F" w14:textId="77777777" w:rsidR="009F33CD" w:rsidRDefault="00E40740" w:rsidP="007F7E1C">
            <w:pPr>
              <w:autoSpaceDE/>
              <w:autoSpaceDN/>
              <w:adjustRightInd/>
              <w:spacing w:before="0" w:beforeAutospacing="0" w:after="0" w:afterAutospacing="0" w:line="240" w:lineRule="auto"/>
              <w:jc w:val="center"/>
              <w:rPr>
                <w:b/>
                <w:sz w:val="20"/>
              </w:rPr>
            </w:pPr>
            <w:r>
              <w:rPr>
                <w:b/>
                <w:sz w:val="20"/>
              </w:rPr>
              <w:t>Mama Lucy Kibaki Level Five Hospital</w:t>
            </w:r>
          </w:p>
        </w:tc>
        <w:tc>
          <w:tcPr>
            <w:tcW w:w="648" w:type="pct"/>
            <w:tcBorders>
              <w:top w:val="single" w:sz="4" w:space="0" w:color="auto"/>
              <w:bottom w:val="single" w:sz="4" w:space="0" w:color="auto"/>
            </w:tcBorders>
          </w:tcPr>
          <w:p w14:paraId="78282A41" w14:textId="77777777" w:rsidR="009F33CD" w:rsidRDefault="00E40740" w:rsidP="007F7E1C">
            <w:pPr>
              <w:autoSpaceDE/>
              <w:autoSpaceDN/>
              <w:adjustRightInd/>
              <w:spacing w:before="0" w:beforeAutospacing="0" w:after="0" w:afterAutospacing="0" w:line="240" w:lineRule="auto"/>
              <w:jc w:val="center"/>
              <w:rPr>
                <w:b/>
                <w:sz w:val="20"/>
              </w:rPr>
            </w:pPr>
            <w:r>
              <w:rPr>
                <w:b/>
                <w:sz w:val="20"/>
              </w:rPr>
              <w:t>Embu Level Five Hospital</w:t>
            </w:r>
          </w:p>
        </w:tc>
        <w:tc>
          <w:tcPr>
            <w:tcW w:w="647" w:type="pct"/>
            <w:tcBorders>
              <w:top w:val="single" w:sz="4" w:space="0" w:color="auto"/>
              <w:bottom w:val="single" w:sz="4" w:space="0" w:color="auto"/>
              <w:right w:val="nil"/>
            </w:tcBorders>
          </w:tcPr>
          <w:p w14:paraId="37E9EA2A" w14:textId="77777777" w:rsidR="009F33CD" w:rsidRDefault="00E40740" w:rsidP="007F7E1C">
            <w:pPr>
              <w:autoSpaceDE/>
              <w:autoSpaceDN/>
              <w:adjustRightInd/>
              <w:spacing w:before="0" w:beforeAutospacing="0" w:after="0" w:afterAutospacing="0" w:line="240" w:lineRule="auto"/>
              <w:jc w:val="center"/>
              <w:rPr>
                <w:b/>
                <w:sz w:val="20"/>
              </w:rPr>
            </w:pPr>
            <w:r>
              <w:rPr>
                <w:b/>
                <w:sz w:val="20"/>
              </w:rPr>
              <w:t>Nakuru Level Five Hospital</w:t>
            </w:r>
          </w:p>
        </w:tc>
        <w:tc>
          <w:tcPr>
            <w:tcW w:w="814" w:type="pct"/>
            <w:tcBorders>
              <w:top w:val="single" w:sz="4" w:space="0" w:color="auto"/>
              <w:bottom w:val="single" w:sz="4" w:space="0" w:color="auto"/>
            </w:tcBorders>
          </w:tcPr>
          <w:p w14:paraId="23C90C20" w14:textId="77777777" w:rsidR="009F33CD" w:rsidRDefault="00E40740" w:rsidP="007F7E1C">
            <w:pPr>
              <w:autoSpaceDE/>
              <w:autoSpaceDN/>
              <w:adjustRightInd/>
              <w:spacing w:before="0" w:beforeAutospacing="0" w:after="0" w:afterAutospacing="0" w:line="240" w:lineRule="auto"/>
              <w:jc w:val="center"/>
              <w:rPr>
                <w:b/>
                <w:sz w:val="20"/>
              </w:rPr>
            </w:pPr>
            <w:r>
              <w:rPr>
                <w:b/>
                <w:sz w:val="20"/>
              </w:rPr>
              <w:t>Total per level of management</w:t>
            </w:r>
          </w:p>
        </w:tc>
        <w:tc>
          <w:tcPr>
            <w:tcW w:w="686" w:type="pct"/>
            <w:tcBorders>
              <w:top w:val="single" w:sz="4" w:space="0" w:color="auto"/>
              <w:bottom w:val="single" w:sz="4" w:space="0" w:color="auto"/>
              <w:right w:val="nil"/>
            </w:tcBorders>
          </w:tcPr>
          <w:p w14:paraId="72E2EA4F" w14:textId="77777777" w:rsidR="009F33CD" w:rsidRDefault="00E40740" w:rsidP="007F7E1C">
            <w:pPr>
              <w:autoSpaceDE/>
              <w:autoSpaceDN/>
              <w:adjustRightInd/>
              <w:spacing w:before="0" w:beforeAutospacing="0" w:after="0" w:afterAutospacing="0" w:line="240" w:lineRule="auto"/>
              <w:jc w:val="center"/>
              <w:rPr>
                <w:b/>
                <w:sz w:val="20"/>
              </w:rPr>
            </w:pPr>
            <w:r>
              <w:rPr>
                <w:b/>
                <w:sz w:val="20"/>
              </w:rPr>
              <w:t>Percentage Response per Level</w:t>
            </w:r>
          </w:p>
        </w:tc>
      </w:tr>
      <w:tr w:rsidR="009F33CD" w14:paraId="3AF391CE" w14:textId="77777777" w:rsidTr="007F7E1C">
        <w:trPr>
          <w:cantSplit/>
          <w:trHeight w:val="45"/>
        </w:trPr>
        <w:tc>
          <w:tcPr>
            <w:tcW w:w="829" w:type="pct"/>
            <w:tcBorders>
              <w:top w:val="single" w:sz="4" w:space="0" w:color="auto"/>
              <w:left w:val="nil"/>
            </w:tcBorders>
          </w:tcPr>
          <w:p w14:paraId="71F0BE2A" w14:textId="77777777" w:rsidR="009F33CD" w:rsidRDefault="00E40740">
            <w:pPr>
              <w:autoSpaceDE/>
              <w:autoSpaceDN/>
              <w:adjustRightInd/>
              <w:spacing w:before="0" w:beforeAutospacing="0" w:after="0" w:afterAutospacing="0" w:line="240" w:lineRule="auto"/>
              <w:rPr>
                <w:b/>
                <w:sz w:val="20"/>
              </w:rPr>
            </w:pPr>
            <w:r>
              <w:rPr>
                <w:b/>
                <w:sz w:val="20"/>
              </w:rPr>
              <w:t>Top-level</w:t>
            </w:r>
          </w:p>
        </w:tc>
        <w:tc>
          <w:tcPr>
            <w:tcW w:w="728" w:type="pct"/>
            <w:tcBorders>
              <w:top w:val="single" w:sz="4" w:space="0" w:color="auto"/>
            </w:tcBorders>
          </w:tcPr>
          <w:p w14:paraId="3BBC4C24" w14:textId="77777777" w:rsidR="009F33CD" w:rsidRDefault="00E40740" w:rsidP="007F7E1C">
            <w:pPr>
              <w:autoSpaceDE/>
              <w:autoSpaceDN/>
              <w:adjustRightInd/>
              <w:spacing w:before="0" w:beforeAutospacing="0" w:after="0" w:afterAutospacing="0" w:line="240" w:lineRule="auto"/>
              <w:jc w:val="center"/>
              <w:rPr>
                <w:sz w:val="20"/>
              </w:rPr>
            </w:pPr>
            <w:r>
              <w:rPr>
                <w:sz w:val="20"/>
              </w:rPr>
              <w:t>4</w:t>
            </w:r>
          </w:p>
        </w:tc>
        <w:tc>
          <w:tcPr>
            <w:tcW w:w="648" w:type="pct"/>
            <w:tcBorders>
              <w:top w:val="single" w:sz="4" w:space="0" w:color="auto"/>
            </w:tcBorders>
          </w:tcPr>
          <w:p w14:paraId="41C1D6B9" w14:textId="77777777" w:rsidR="009F33CD" w:rsidRDefault="00E40740" w:rsidP="007F7E1C">
            <w:pPr>
              <w:autoSpaceDE/>
              <w:autoSpaceDN/>
              <w:adjustRightInd/>
              <w:spacing w:before="0" w:beforeAutospacing="0" w:after="0" w:afterAutospacing="0" w:line="240" w:lineRule="auto"/>
              <w:jc w:val="center"/>
              <w:rPr>
                <w:sz w:val="20"/>
              </w:rPr>
            </w:pPr>
            <w:r>
              <w:rPr>
                <w:sz w:val="20"/>
              </w:rPr>
              <w:t>3</w:t>
            </w:r>
          </w:p>
        </w:tc>
        <w:tc>
          <w:tcPr>
            <w:tcW w:w="648" w:type="pct"/>
            <w:tcBorders>
              <w:top w:val="single" w:sz="4" w:space="0" w:color="auto"/>
            </w:tcBorders>
          </w:tcPr>
          <w:p w14:paraId="44574249" w14:textId="77777777" w:rsidR="009F33CD" w:rsidRDefault="00E40740" w:rsidP="007F7E1C">
            <w:pPr>
              <w:autoSpaceDE/>
              <w:autoSpaceDN/>
              <w:adjustRightInd/>
              <w:spacing w:before="0" w:beforeAutospacing="0" w:after="0" w:afterAutospacing="0" w:line="240" w:lineRule="auto"/>
              <w:jc w:val="center"/>
              <w:rPr>
                <w:sz w:val="20"/>
              </w:rPr>
            </w:pPr>
            <w:r>
              <w:rPr>
                <w:sz w:val="20"/>
              </w:rPr>
              <w:t>3</w:t>
            </w:r>
          </w:p>
        </w:tc>
        <w:tc>
          <w:tcPr>
            <w:tcW w:w="647" w:type="pct"/>
            <w:tcBorders>
              <w:top w:val="single" w:sz="4" w:space="0" w:color="auto"/>
              <w:right w:val="nil"/>
            </w:tcBorders>
          </w:tcPr>
          <w:p w14:paraId="6296C482" w14:textId="77777777" w:rsidR="009F33CD" w:rsidRDefault="00E40740" w:rsidP="007F7E1C">
            <w:pPr>
              <w:autoSpaceDE/>
              <w:autoSpaceDN/>
              <w:adjustRightInd/>
              <w:spacing w:before="0" w:beforeAutospacing="0" w:after="0" w:afterAutospacing="0" w:line="240" w:lineRule="auto"/>
              <w:jc w:val="center"/>
              <w:rPr>
                <w:sz w:val="20"/>
              </w:rPr>
            </w:pPr>
            <w:r>
              <w:rPr>
                <w:sz w:val="20"/>
              </w:rPr>
              <w:t>4</w:t>
            </w:r>
          </w:p>
        </w:tc>
        <w:tc>
          <w:tcPr>
            <w:tcW w:w="814" w:type="pct"/>
            <w:tcBorders>
              <w:top w:val="single" w:sz="4" w:space="0" w:color="auto"/>
            </w:tcBorders>
          </w:tcPr>
          <w:p w14:paraId="4CFD8ED6" w14:textId="77777777" w:rsidR="009F33CD" w:rsidRPr="007F7E1C" w:rsidRDefault="00E40740" w:rsidP="007F7E1C">
            <w:pPr>
              <w:autoSpaceDE/>
              <w:autoSpaceDN/>
              <w:adjustRightInd/>
              <w:spacing w:before="0" w:beforeAutospacing="0" w:after="0" w:afterAutospacing="0" w:line="240" w:lineRule="auto"/>
              <w:jc w:val="center"/>
              <w:rPr>
                <w:sz w:val="20"/>
              </w:rPr>
            </w:pPr>
            <w:r w:rsidRPr="007F7E1C">
              <w:rPr>
                <w:sz w:val="20"/>
              </w:rPr>
              <w:t>14</w:t>
            </w:r>
          </w:p>
        </w:tc>
        <w:tc>
          <w:tcPr>
            <w:tcW w:w="686" w:type="pct"/>
            <w:tcBorders>
              <w:top w:val="single" w:sz="4" w:space="0" w:color="auto"/>
              <w:right w:val="nil"/>
            </w:tcBorders>
          </w:tcPr>
          <w:p w14:paraId="365D78E4" w14:textId="77777777" w:rsidR="009F33CD" w:rsidRDefault="00E40740" w:rsidP="007F7E1C">
            <w:pPr>
              <w:autoSpaceDE/>
              <w:autoSpaceDN/>
              <w:adjustRightInd/>
              <w:spacing w:before="0" w:beforeAutospacing="0" w:after="0" w:afterAutospacing="0" w:line="240" w:lineRule="auto"/>
              <w:jc w:val="center"/>
              <w:rPr>
                <w:sz w:val="20"/>
              </w:rPr>
            </w:pPr>
            <w:r>
              <w:rPr>
                <w:sz w:val="20"/>
              </w:rPr>
              <w:t>11.9</w:t>
            </w:r>
          </w:p>
        </w:tc>
      </w:tr>
      <w:tr w:rsidR="009F33CD" w14:paraId="5B8BD52C" w14:textId="77777777" w:rsidTr="007F7E1C">
        <w:trPr>
          <w:cantSplit/>
          <w:trHeight w:val="55"/>
        </w:trPr>
        <w:tc>
          <w:tcPr>
            <w:tcW w:w="829" w:type="pct"/>
            <w:tcBorders>
              <w:left w:val="nil"/>
            </w:tcBorders>
          </w:tcPr>
          <w:p w14:paraId="2D2D508C" w14:textId="77777777" w:rsidR="009F33CD" w:rsidRDefault="00E40740">
            <w:pPr>
              <w:autoSpaceDE/>
              <w:autoSpaceDN/>
              <w:adjustRightInd/>
              <w:spacing w:before="0" w:beforeAutospacing="0" w:after="0" w:afterAutospacing="0" w:line="240" w:lineRule="auto"/>
              <w:rPr>
                <w:b/>
                <w:sz w:val="20"/>
              </w:rPr>
            </w:pPr>
            <w:r>
              <w:rPr>
                <w:b/>
                <w:sz w:val="20"/>
              </w:rPr>
              <w:t>Middle-level</w:t>
            </w:r>
          </w:p>
        </w:tc>
        <w:tc>
          <w:tcPr>
            <w:tcW w:w="728" w:type="pct"/>
          </w:tcPr>
          <w:p w14:paraId="3E77D3FD" w14:textId="77777777" w:rsidR="009F33CD" w:rsidRDefault="00E40740" w:rsidP="007F7E1C">
            <w:pPr>
              <w:autoSpaceDE/>
              <w:autoSpaceDN/>
              <w:adjustRightInd/>
              <w:spacing w:before="0" w:beforeAutospacing="0" w:after="0" w:afterAutospacing="0" w:line="240" w:lineRule="auto"/>
              <w:jc w:val="center"/>
              <w:rPr>
                <w:sz w:val="20"/>
              </w:rPr>
            </w:pPr>
            <w:r>
              <w:rPr>
                <w:sz w:val="20"/>
              </w:rPr>
              <w:t>17</w:t>
            </w:r>
          </w:p>
        </w:tc>
        <w:tc>
          <w:tcPr>
            <w:tcW w:w="648" w:type="pct"/>
          </w:tcPr>
          <w:p w14:paraId="160C758B" w14:textId="77777777" w:rsidR="009F33CD" w:rsidRDefault="00E40740" w:rsidP="007F7E1C">
            <w:pPr>
              <w:autoSpaceDE/>
              <w:autoSpaceDN/>
              <w:adjustRightInd/>
              <w:spacing w:before="0" w:beforeAutospacing="0" w:after="0" w:afterAutospacing="0" w:line="240" w:lineRule="auto"/>
              <w:jc w:val="center"/>
              <w:rPr>
                <w:sz w:val="20"/>
              </w:rPr>
            </w:pPr>
            <w:r>
              <w:rPr>
                <w:sz w:val="20"/>
              </w:rPr>
              <w:t>13</w:t>
            </w:r>
          </w:p>
        </w:tc>
        <w:tc>
          <w:tcPr>
            <w:tcW w:w="648" w:type="pct"/>
          </w:tcPr>
          <w:p w14:paraId="770606CC" w14:textId="77777777" w:rsidR="009F33CD" w:rsidRDefault="00E40740" w:rsidP="007F7E1C">
            <w:pPr>
              <w:autoSpaceDE/>
              <w:autoSpaceDN/>
              <w:adjustRightInd/>
              <w:spacing w:before="0" w:beforeAutospacing="0" w:after="0" w:afterAutospacing="0" w:line="240" w:lineRule="auto"/>
              <w:jc w:val="center"/>
              <w:rPr>
                <w:sz w:val="20"/>
              </w:rPr>
            </w:pPr>
            <w:r>
              <w:rPr>
                <w:sz w:val="20"/>
              </w:rPr>
              <w:t>1</w:t>
            </w:r>
            <w:r w:rsidR="00C77F85">
              <w:rPr>
                <w:sz w:val="20"/>
              </w:rPr>
              <w:t>8</w:t>
            </w:r>
          </w:p>
        </w:tc>
        <w:tc>
          <w:tcPr>
            <w:tcW w:w="647" w:type="pct"/>
            <w:tcBorders>
              <w:right w:val="nil"/>
            </w:tcBorders>
          </w:tcPr>
          <w:p w14:paraId="3D3FADE1" w14:textId="77777777" w:rsidR="009F33CD" w:rsidRDefault="00E40740" w:rsidP="007F7E1C">
            <w:pPr>
              <w:autoSpaceDE/>
              <w:autoSpaceDN/>
              <w:adjustRightInd/>
              <w:spacing w:before="0" w:beforeAutospacing="0" w:after="0" w:afterAutospacing="0" w:line="240" w:lineRule="auto"/>
              <w:jc w:val="center"/>
              <w:rPr>
                <w:sz w:val="20"/>
              </w:rPr>
            </w:pPr>
            <w:r>
              <w:rPr>
                <w:sz w:val="20"/>
              </w:rPr>
              <w:t>1</w:t>
            </w:r>
            <w:r w:rsidR="00C77F85">
              <w:rPr>
                <w:sz w:val="20"/>
              </w:rPr>
              <w:t>6</w:t>
            </w:r>
          </w:p>
        </w:tc>
        <w:tc>
          <w:tcPr>
            <w:tcW w:w="814" w:type="pct"/>
          </w:tcPr>
          <w:p w14:paraId="4EFE6E9F" w14:textId="77777777" w:rsidR="009F33CD" w:rsidRPr="007F7E1C" w:rsidRDefault="00E40740" w:rsidP="007F7E1C">
            <w:pPr>
              <w:autoSpaceDE/>
              <w:autoSpaceDN/>
              <w:adjustRightInd/>
              <w:spacing w:before="0" w:beforeAutospacing="0" w:after="0" w:afterAutospacing="0" w:line="240" w:lineRule="auto"/>
              <w:jc w:val="center"/>
              <w:rPr>
                <w:sz w:val="20"/>
              </w:rPr>
            </w:pPr>
            <w:r w:rsidRPr="007F7E1C">
              <w:rPr>
                <w:sz w:val="20"/>
              </w:rPr>
              <w:t>64</w:t>
            </w:r>
          </w:p>
        </w:tc>
        <w:tc>
          <w:tcPr>
            <w:tcW w:w="686" w:type="pct"/>
            <w:tcBorders>
              <w:right w:val="nil"/>
            </w:tcBorders>
          </w:tcPr>
          <w:p w14:paraId="11E6BA75" w14:textId="77777777" w:rsidR="009F33CD" w:rsidRDefault="00E40740" w:rsidP="007F7E1C">
            <w:pPr>
              <w:autoSpaceDE/>
              <w:autoSpaceDN/>
              <w:adjustRightInd/>
              <w:spacing w:before="0" w:beforeAutospacing="0" w:after="0" w:afterAutospacing="0" w:line="240" w:lineRule="auto"/>
              <w:jc w:val="center"/>
              <w:rPr>
                <w:sz w:val="20"/>
              </w:rPr>
            </w:pPr>
            <w:r>
              <w:rPr>
                <w:sz w:val="20"/>
              </w:rPr>
              <w:t>54.2</w:t>
            </w:r>
          </w:p>
        </w:tc>
      </w:tr>
      <w:tr w:rsidR="009F33CD" w14:paraId="1ADC43E0" w14:textId="77777777" w:rsidTr="007F7E1C">
        <w:trPr>
          <w:cantSplit/>
          <w:trHeight w:val="55"/>
        </w:trPr>
        <w:tc>
          <w:tcPr>
            <w:tcW w:w="829" w:type="pct"/>
            <w:tcBorders>
              <w:left w:val="nil"/>
              <w:bottom w:val="nil"/>
            </w:tcBorders>
          </w:tcPr>
          <w:p w14:paraId="1E7DDB71" w14:textId="77777777" w:rsidR="009F33CD" w:rsidRDefault="00E40740">
            <w:pPr>
              <w:autoSpaceDE/>
              <w:autoSpaceDN/>
              <w:adjustRightInd/>
              <w:spacing w:before="0" w:beforeAutospacing="0" w:after="0" w:afterAutospacing="0" w:line="240" w:lineRule="auto"/>
              <w:rPr>
                <w:b/>
                <w:sz w:val="20"/>
              </w:rPr>
            </w:pPr>
            <w:r>
              <w:rPr>
                <w:b/>
                <w:sz w:val="20"/>
              </w:rPr>
              <w:t>Bottom-level</w:t>
            </w:r>
          </w:p>
        </w:tc>
        <w:tc>
          <w:tcPr>
            <w:tcW w:w="728" w:type="pct"/>
            <w:tcBorders>
              <w:bottom w:val="nil"/>
            </w:tcBorders>
          </w:tcPr>
          <w:p w14:paraId="5D584B73" w14:textId="77777777" w:rsidR="009F33CD" w:rsidRDefault="00E40740" w:rsidP="007F7E1C">
            <w:pPr>
              <w:autoSpaceDE/>
              <w:autoSpaceDN/>
              <w:adjustRightInd/>
              <w:spacing w:before="0" w:beforeAutospacing="0" w:after="0" w:afterAutospacing="0" w:line="240" w:lineRule="auto"/>
              <w:jc w:val="center"/>
              <w:rPr>
                <w:sz w:val="20"/>
              </w:rPr>
            </w:pPr>
            <w:r>
              <w:rPr>
                <w:sz w:val="20"/>
              </w:rPr>
              <w:t>1</w:t>
            </w:r>
            <w:r w:rsidR="00C77F85">
              <w:rPr>
                <w:sz w:val="20"/>
              </w:rPr>
              <w:t>1</w:t>
            </w:r>
          </w:p>
        </w:tc>
        <w:tc>
          <w:tcPr>
            <w:tcW w:w="648" w:type="pct"/>
            <w:tcBorders>
              <w:bottom w:val="nil"/>
            </w:tcBorders>
          </w:tcPr>
          <w:p w14:paraId="1F536CF8" w14:textId="77777777" w:rsidR="009F33CD" w:rsidRDefault="00E40740" w:rsidP="007F7E1C">
            <w:pPr>
              <w:autoSpaceDE/>
              <w:autoSpaceDN/>
              <w:adjustRightInd/>
              <w:spacing w:before="0" w:beforeAutospacing="0" w:after="0" w:afterAutospacing="0" w:line="240" w:lineRule="auto"/>
              <w:jc w:val="center"/>
              <w:rPr>
                <w:sz w:val="20"/>
              </w:rPr>
            </w:pPr>
            <w:r>
              <w:rPr>
                <w:sz w:val="20"/>
              </w:rPr>
              <w:t>9</w:t>
            </w:r>
          </w:p>
        </w:tc>
        <w:tc>
          <w:tcPr>
            <w:tcW w:w="648" w:type="pct"/>
            <w:tcBorders>
              <w:bottom w:val="nil"/>
            </w:tcBorders>
          </w:tcPr>
          <w:p w14:paraId="5E88390A" w14:textId="77777777" w:rsidR="009F33CD" w:rsidRDefault="00E40740" w:rsidP="007F7E1C">
            <w:pPr>
              <w:autoSpaceDE/>
              <w:autoSpaceDN/>
              <w:adjustRightInd/>
              <w:spacing w:before="0" w:beforeAutospacing="0" w:after="0" w:afterAutospacing="0" w:line="240" w:lineRule="auto"/>
              <w:jc w:val="center"/>
              <w:rPr>
                <w:sz w:val="20"/>
              </w:rPr>
            </w:pPr>
            <w:r>
              <w:rPr>
                <w:sz w:val="20"/>
              </w:rPr>
              <w:t>10</w:t>
            </w:r>
          </w:p>
        </w:tc>
        <w:tc>
          <w:tcPr>
            <w:tcW w:w="647" w:type="pct"/>
            <w:tcBorders>
              <w:bottom w:val="nil"/>
              <w:right w:val="nil"/>
            </w:tcBorders>
          </w:tcPr>
          <w:p w14:paraId="2B011165" w14:textId="77777777" w:rsidR="009F33CD" w:rsidRDefault="00E40740" w:rsidP="007F7E1C">
            <w:pPr>
              <w:autoSpaceDE/>
              <w:autoSpaceDN/>
              <w:adjustRightInd/>
              <w:spacing w:before="0" w:beforeAutospacing="0" w:after="0" w:afterAutospacing="0" w:line="240" w:lineRule="auto"/>
              <w:jc w:val="center"/>
              <w:rPr>
                <w:sz w:val="20"/>
              </w:rPr>
            </w:pPr>
            <w:r>
              <w:rPr>
                <w:sz w:val="20"/>
              </w:rPr>
              <w:t>1</w:t>
            </w:r>
            <w:r w:rsidR="00C77F85">
              <w:rPr>
                <w:sz w:val="20"/>
              </w:rPr>
              <w:t>0</w:t>
            </w:r>
          </w:p>
        </w:tc>
        <w:tc>
          <w:tcPr>
            <w:tcW w:w="814" w:type="pct"/>
            <w:tcBorders>
              <w:bottom w:val="nil"/>
            </w:tcBorders>
          </w:tcPr>
          <w:p w14:paraId="63052495" w14:textId="77777777" w:rsidR="009F33CD" w:rsidRPr="007F7E1C" w:rsidRDefault="00E40740" w:rsidP="007F7E1C">
            <w:pPr>
              <w:autoSpaceDE/>
              <w:autoSpaceDN/>
              <w:adjustRightInd/>
              <w:spacing w:before="0" w:beforeAutospacing="0" w:after="0" w:afterAutospacing="0" w:line="240" w:lineRule="auto"/>
              <w:jc w:val="center"/>
              <w:rPr>
                <w:sz w:val="20"/>
              </w:rPr>
            </w:pPr>
            <w:r w:rsidRPr="007F7E1C">
              <w:rPr>
                <w:sz w:val="20"/>
              </w:rPr>
              <w:t>40</w:t>
            </w:r>
          </w:p>
        </w:tc>
        <w:tc>
          <w:tcPr>
            <w:tcW w:w="686" w:type="pct"/>
            <w:tcBorders>
              <w:bottom w:val="nil"/>
              <w:right w:val="nil"/>
            </w:tcBorders>
          </w:tcPr>
          <w:p w14:paraId="5759609D" w14:textId="77777777" w:rsidR="009F33CD" w:rsidRDefault="00E40740" w:rsidP="007F7E1C">
            <w:pPr>
              <w:autoSpaceDE/>
              <w:autoSpaceDN/>
              <w:adjustRightInd/>
              <w:spacing w:before="0" w:beforeAutospacing="0" w:after="0" w:afterAutospacing="0" w:line="240" w:lineRule="auto"/>
              <w:jc w:val="center"/>
              <w:rPr>
                <w:sz w:val="20"/>
              </w:rPr>
            </w:pPr>
            <w:r>
              <w:rPr>
                <w:sz w:val="20"/>
              </w:rPr>
              <w:t>33.9</w:t>
            </w:r>
          </w:p>
        </w:tc>
      </w:tr>
      <w:tr w:rsidR="009F33CD" w14:paraId="28FCC96B" w14:textId="77777777" w:rsidTr="007F7E1C">
        <w:trPr>
          <w:cantSplit/>
          <w:trHeight w:val="45"/>
        </w:trPr>
        <w:tc>
          <w:tcPr>
            <w:tcW w:w="829" w:type="pct"/>
            <w:tcBorders>
              <w:top w:val="nil"/>
              <w:left w:val="nil"/>
              <w:bottom w:val="single" w:sz="4" w:space="0" w:color="auto"/>
            </w:tcBorders>
          </w:tcPr>
          <w:p w14:paraId="0F249DE1" w14:textId="77777777" w:rsidR="009F33CD" w:rsidRDefault="00E40740">
            <w:pPr>
              <w:autoSpaceDE/>
              <w:autoSpaceDN/>
              <w:adjustRightInd/>
              <w:spacing w:before="0" w:beforeAutospacing="0" w:after="0" w:afterAutospacing="0" w:line="240" w:lineRule="auto"/>
              <w:rPr>
                <w:b/>
                <w:sz w:val="20"/>
              </w:rPr>
            </w:pPr>
            <w:r>
              <w:rPr>
                <w:b/>
                <w:sz w:val="20"/>
              </w:rPr>
              <w:t>Total</w:t>
            </w:r>
          </w:p>
        </w:tc>
        <w:tc>
          <w:tcPr>
            <w:tcW w:w="728" w:type="pct"/>
            <w:tcBorders>
              <w:top w:val="nil"/>
              <w:bottom w:val="single" w:sz="4" w:space="0" w:color="auto"/>
            </w:tcBorders>
          </w:tcPr>
          <w:p w14:paraId="0AC96861" w14:textId="77777777" w:rsidR="009F33CD" w:rsidRDefault="00E40740" w:rsidP="007F7E1C">
            <w:pPr>
              <w:autoSpaceDE/>
              <w:autoSpaceDN/>
              <w:adjustRightInd/>
              <w:spacing w:before="0" w:beforeAutospacing="0" w:after="0" w:afterAutospacing="0" w:line="240" w:lineRule="auto"/>
              <w:jc w:val="center"/>
              <w:rPr>
                <w:b/>
                <w:sz w:val="20"/>
              </w:rPr>
            </w:pPr>
            <w:r>
              <w:rPr>
                <w:b/>
                <w:sz w:val="20"/>
              </w:rPr>
              <w:t>3</w:t>
            </w:r>
            <w:r w:rsidR="00C77F85">
              <w:rPr>
                <w:b/>
                <w:sz w:val="20"/>
              </w:rPr>
              <w:t>2</w:t>
            </w:r>
          </w:p>
        </w:tc>
        <w:tc>
          <w:tcPr>
            <w:tcW w:w="648" w:type="pct"/>
            <w:tcBorders>
              <w:top w:val="nil"/>
              <w:bottom w:val="single" w:sz="4" w:space="0" w:color="auto"/>
            </w:tcBorders>
          </w:tcPr>
          <w:p w14:paraId="6BB60815" w14:textId="77777777" w:rsidR="009F33CD" w:rsidRDefault="00E40740" w:rsidP="007F7E1C">
            <w:pPr>
              <w:autoSpaceDE/>
              <w:autoSpaceDN/>
              <w:adjustRightInd/>
              <w:spacing w:before="0" w:beforeAutospacing="0" w:after="0" w:afterAutospacing="0" w:line="240" w:lineRule="auto"/>
              <w:jc w:val="center"/>
              <w:rPr>
                <w:b/>
                <w:sz w:val="20"/>
              </w:rPr>
            </w:pPr>
            <w:r>
              <w:rPr>
                <w:b/>
                <w:sz w:val="20"/>
              </w:rPr>
              <w:t>25</w:t>
            </w:r>
          </w:p>
        </w:tc>
        <w:tc>
          <w:tcPr>
            <w:tcW w:w="648" w:type="pct"/>
            <w:tcBorders>
              <w:top w:val="nil"/>
              <w:bottom w:val="single" w:sz="4" w:space="0" w:color="auto"/>
            </w:tcBorders>
          </w:tcPr>
          <w:p w14:paraId="41610C55" w14:textId="77777777" w:rsidR="009F33CD" w:rsidRDefault="00C77F85" w:rsidP="007F7E1C">
            <w:pPr>
              <w:autoSpaceDE/>
              <w:autoSpaceDN/>
              <w:adjustRightInd/>
              <w:spacing w:before="0" w:beforeAutospacing="0" w:after="0" w:afterAutospacing="0" w:line="240" w:lineRule="auto"/>
              <w:jc w:val="center"/>
              <w:rPr>
                <w:b/>
                <w:sz w:val="20"/>
              </w:rPr>
            </w:pPr>
            <w:r>
              <w:rPr>
                <w:b/>
                <w:sz w:val="20"/>
              </w:rPr>
              <w:t>31</w:t>
            </w:r>
          </w:p>
        </w:tc>
        <w:tc>
          <w:tcPr>
            <w:tcW w:w="647" w:type="pct"/>
            <w:tcBorders>
              <w:top w:val="nil"/>
              <w:bottom w:val="single" w:sz="4" w:space="0" w:color="auto"/>
              <w:right w:val="nil"/>
            </w:tcBorders>
          </w:tcPr>
          <w:p w14:paraId="4322F8B6" w14:textId="77777777" w:rsidR="009F33CD" w:rsidRDefault="00E40740" w:rsidP="007F7E1C">
            <w:pPr>
              <w:autoSpaceDE/>
              <w:autoSpaceDN/>
              <w:adjustRightInd/>
              <w:spacing w:before="0" w:beforeAutospacing="0" w:after="0" w:afterAutospacing="0" w:line="240" w:lineRule="auto"/>
              <w:jc w:val="center"/>
              <w:rPr>
                <w:b/>
                <w:sz w:val="20"/>
              </w:rPr>
            </w:pPr>
            <w:r>
              <w:rPr>
                <w:b/>
                <w:sz w:val="20"/>
              </w:rPr>
              <w:t>3</w:t>
            </w:r>
            <w:r w:rsidR="00C77F85">
              <w:rPr>
                <w:b/>
                <w:sz w:val="20"/>
              </w:rPr>
              <w:t>0</w:t>
            </w:r>
          </w:p>
        </w:tc>
        <w:tc>
          <w:tcPr>
            <w:tcW w:w="814" w:type="pct"/>
            <w:tcBorders>
              <w:top w:val="nil"/>
              <w:bottom w:val="single" w:sz="4" w:space="0" w:color="auto"/>
            </w:tcBorders>
          </w:tcPr>
          <w:p w14:paraId="2FAC442C" w14:textId="77777777" w:rsidR="009F33CD" w:rsidRDefault="00E40740" w:rsidP="007F7E1C">
            <w:pPr>
              <w:autoSpaceDE/>
              <w:autoSpaceDN/>
              <w:adjustRightInd/>
              <w:spacing w:before="0" w:beforeAutospacing="0" w:after="0" w:afterAutospacing="0" w:line="240" w:lineRule="auto"/>
              <w:jc w:val="center"/>
              <w:rPr>
                <w:b/>
                <w:sz w:val="20"/>
              </w:rPr>
            </w:pPr>
            <w:r>
              <w:rPr>
                <w:b/>
                <w:sz w:val="20"/>
              </w:rPr>
              <w:t>118</w:t>
            </w:r>
          </w:p>
        </w:tc>
        <w:tc>
          <w:tcPr>
            <w:tcW w:w="686" w:type="pct"/>
            <w:tcBorders>
              <w:top w:val="nil"/>
              <w:bottom w:val="single" w:sz="4" w:space="0" w:color="auto"/>
              <w:right w:val="nil"/>
            </w:tcBorders>
          </w:tcPr>
          <w:p w14:paraId="7EC00E98" w14:textId="77777777" w:rsidR="009F33CD" w:rsidRDefault="00E40740" w:rsidP="007F7E1C">
            <w:pPr>
              <w:autoSpaceDE/>
              <w:autoSpaceDN/>
              <w:adjustRightInd/>
              <w:spacing w:before="0" w:beforeAutospacing="0" w:after="0" w:afterAutospacing="0" w:line="240" w:lineRule="auto"/>
              <w:jc w:val="center"/>
              <w:rPr>
                <w:b/>
                <w:sz w:val="20"/>
              </w:rPr>
            </w:pPr>
            <w:r>
              <w:rPr>
                <w:b/>
                <w:sz w:val="20"/>
              </w:rPr>
              <w:t>100</w:t>
            </w:r>
          </w:p>
        </w:tc>
      </w:tr>
    </w:tbl>
    <w:bookmarkEnd w:id="880"/>
    <w:p w14:paraId="04C7CC71" w14:textId="77777777" w:rsidR="009F33CD" w:rsidRDefault="00E40740">
      <w:pPr>
        <w:rPr>
          <w:rFonts w:cs="Times New Roman"/>
          <w:szCs w:val="24"/>
        </w:rPr>
      </w:pPr>
      <w:r>
        <w:rPr>
          <w:rFonts w:cs="Times New Roman"/>
          <w:szCs w:val="24"/>
        </w:rPr>
        <w:t>The find</w:t>
      </w:r>
      <w:r w:rsidR="003F4007">
        <w:rPr>
          <w:rFonts w:cs="Times New Roman"/>
          <w:szCs w:val="24"/>
        </w:rPr>
        <w:t>ings in Table 4.6</w:t>
      </w:r>
      <w:r>
        <w:rPr>
          <w:rFonts w:cs="Times New Roman"/>
          <w:szCs w:val="24"/>
        </w:rPr>
        <w:t xml:space="preserve"> reveal that most participants held positions in Middle-Level Management, accounting for 54.2% of the total respondents. This was followed by Bottom-Level Management, which constituted 33.9% of the participants, while Top-Level Management comprised 11.9% of the respondents. Middle-level managers with their human relations skills typically serve as a vital link between top- and bottom-level management. They also play a pivotal role in implementing policies and practices to ensure the achievement of the objectives of Level Five hospitals. Further, this study's findings suggest heterogeneous and adequate representation across various management levels, thereby enhancing the objectivity of the results. The choice of respondents is supported by Rawashdeh (2018) who noted that managers are considered to have the necessary skills and good knowledge about eco-friendly initiatives and activities and understand employee reactions to GHRM. Managers are in charge of monitoring and improving employee productivity and commitment to environmentally friendly activities.    </w:t>
      </w:r>
    </w:p>
    <w:p w14:paraId="7FFAB1DC" w14:textId="77777777" w:rsidR="009F33CD" w:rsidRDefault="00E40740">
      <w:pPr>
        <w:pStyle w:val="Heading3"/>
      </w:pPr>
      <w:bookmarkStart w:id="881" w:name="_Toc187080848"/>
      <w:bookmarkStart w:id="882" w:name="_Toc185614076"/>
      <w:bookmarkStart w:id="883" w:name="_Toc178945037"/>
      <w:bookmarkStart w:id="884" w:name="_Toc178944285"/>
      <w:bookmarkStart w:id="885" w:name="_Toc178940586"/>
      <w:bookmarkStart w:id="886" w:name="_Toc188130627"/>
      <w:bookmarkStart w:id="887" w:name="_Toc188442600"/>
      <w:bookmarkStart w:id="888" w:name="_Toc188443974"/>
      <w:bookmarkStart w:id="889" w:name="_Toc147950233"/>
      <w:bookmarkStart w:id="890" w:name="_Toc139981655"/>
      <w:bookmarkStart w:id="891" w:name="_Toc165626377"/>
      <w:bookmarkStart w:id="892" w:name="_Toc165623596"/>
      <w:bookmarkStart w:id="893" w:name="_Toc178942627"/>
      <w:bookmarkStart w:id="894" w:name="_Toc224160664"/>
      <w:bookmarkStart w:id="895" w:name="_Toc224237726"/>
      <w:r>
        <w:t>4.4.4 Age of the Respondents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F864892" w14:textId="77777777" w:rsidR="009F33CD" w:rsidRDefault="00E40740">
      <w:pPr>
        <w:spacing w:after="240"/>
        <w:rPr>
          <w:rFonts w:cs="Times New Roman"/>
          <w:szCs w:val="24"/>
        </w:rPr>
      </w:pPr>
      <w:r>
        <w:rPr>
          <w:rFonts w:cs="Times New Roman"/>
          <w:szCs w:val="24"/>
        </w:rPr>
        <w:t>The respondents were requested to indicate their age in years based on the age groups provided. The age of the respondents was perceived to affect the level of performance and the choices made by different age groups regarding green human resource management practices on the performance of devolved healthcare services. Age The results obt</w:t>
      </w:r>
      <w:r w:rsidR="003F4007">
        <w:rPr>
          <w:rFonts w:cs="Times New Roman"/>
          <w:szCs w:val="24"/>
        </w:rPr>
        <w:t>ained are presented in Table 4.7</w:t>
      </w:r>
      <w:r>
        <w:rPr>
          <w:rFonts w:cs="Times New Roman"/>
          <w:szCs w:val="24"/>
        </w:rPr>
        <w:t>.</w:t>
      </w:r>
    </w:p>
    <w:p w14:paraId="6D9AE86C" w14:textId="77777777" w:rsidR="009F33CD" w:rsidRDefault="000748E0">
      <w:pPr>
        <w:pStyle w:val="Heading6"/>
      </w:pPr>
      <w:bookmarkStart w:id="896" w:name="_Toc147946895"/>
      <w:bookmarkStart w:id="897" w:name="_Toc178940587"/>
      <w:bookmarkStart w:id="898" w:name="_Toc187080849"/>
      <w:bookmarkStart w:id="899" w:name="_Toc185614077"/>
      <w:bookmarkStart w:id="900" w:name="_Toc178944286"/>
      <w:bookmarkStart w:id="901" w:name="_Toc178945038"/>
      <w:bookmarkStart w:id="902" w:name="_Toc139981656"/>
      <w:bookmarkStart w:id="903" w:name="_Toc139987482"/>
      <w:bookmarkStart w:id="904" w:name="_Toc147950234"/>
      <w:bookmarkStart w:id="905" w:name="_Toc165623597"/>
      <w:bookmarkStart w:id="906" w:name="_Toc165626378"/>
      <w:bookmarkStart w:id="907" w:name="_Toc139986455"/>
      <w:bookmarkStart w:id="908" w:name="_Toc178942628"/>
      <w:bookmarkStart w:id="909" w:name="_Toc224237436"/>
      <w:r>
        <w:lastRenderedPageBreak/>
        <w:t>Table 4.7</w:t>
      </w:r>
      <w:r w:rsidR="00E40740">
        <w:t>: Findings for Age of the Respondents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168"/>
        <w:gridCol w:w="3666"/>
        <w:gridCol w:w="2931"/>
        <w:gridCol w:w="227"/>
        <w:gridCol w:w="1203"/>
        <w:gridCol w:w="25"/>
      </w:tblGrid>
      <w:tr w:rsidR="009F33CD" w14:paraId="3C313091" w14:textId="77777777">
        <w:trPr>
          <w:cantSplit/>
          <w:trHeight w:val="233"/>
        </w:trPr>
        <w:tc>
          <w:tcPr>
            <w:tcW w:w="2332" w:type="pct"/>
            <w:gridSpan w:val="2"/>
            <w:tcBorders>
              <w:top w:val="single" w:sz="4" w:space="0" w:color="auto"/>
              <w:bottom w:val="single" w:sz="4" w:space="0" w:color="auto"/>
            </w:tcBorders>
            <w:shd w:val="clear" w:color="auto" w:fill="FFFFFF"/>
          </w:tcPr>
          <w:p w14:paraId="6AD359D6" w14:textId="77777777" w:rsidR="009F33CD" w:rsidRDefault="00E40740">
            <w:pPr>
              <w:spacing w:before="0" w:beforeAutospacing="0" w:after="0" w:afterAutospacing="0" w:line="240" w:lineRule="auto"/>
              <w:ind w:right="60"/>
              <w:rPr>
                <w:rFonts w:cs="Times New Roman"/>
                <w:b/>
                <w:bCs/>
                <w:color w:val="000000"/>
                <w:szCs w:val="24"/>
              </w:rPr>
            </w:pPr>
            <w:r>
              <w:rPr>
                <w:rFonts w:cs="Times New Roman"/>
                <w:b/>
                <w:bCs/>
                <w:color w:val="000000"/>
                <w:szCs w:val="24"/>
              </w:rPr>
              <w:t>Age in Years</w:t>
            </w:r>
          </w:p>
        </w:tc>
        <w:tc>
          <w:tcPr>
            <w:tcW w:w="1783" w:type="pct"/>
            <w:tcBorders>
              <w:top w:val="single" w:sz="4" w:space="0" w:color="auto"/>
              <w:bottom w:val="single" w:sz="4" w:space="0" w:color="auto"/>
            </w:tcBorders>
            <w:shd w:val="clear" w:color="auto" w:fill="FFFFFF"/>
          </w:tcPr>
          <w:p w14:paraId="492A6871"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Frequency</w:t>
            </w:r>
          </w:p>
        </w:tc>
        <w:tc>
          <w:tcPr>
            <w:tcW w:w="885" w:type="pct"/>
            <w:gridSpan w:val="3"/>
            <w:tcBorders>
              <w:top w:val="single" w:sz="4" w:space="0" w:color="auto"/>
              <w:bottom w:val="single" w:sz="4" w:space="0" w:color="auto"/>
            </w:tcBorders>
            <w:shd w:val="clear" w:color="auto" w:fill="FFFFFF"/>
          </w:tcPr>
          <w:p w14:paraId="7AF5A112"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Percent</w:t>
            </w:r>
          </w:p>
        </w:tc>
      </w:tr>
      <w:tr w:rsidR="009F33CD" w14:paraId="10C21E7C" w14:textId="77777777">
        <w:trPr>
          <w:gridAfter w:val="1"/>
          <w:wAfter w:w="15" w:type="pct"/>
          <w:cantSplit/>
          <w:trHeight w:val="45"/>
        </w:trPr>
        <w:tc>
          <w:tcPr>
            <w:tcW w:w="102" w:type="pct"/>
            <w:vMerge w:val="restart"/>
            <w:tcBorders>
              <w:top w:val="single" w:sz="4" w:space="0" w:color="auto"/>
            </w:tcBorders>
            <w:shd w:val="clear" w:color="auto" w:fill="FFFFFF"/>
            <w:vAlign w:val="center"/>
          </w:tcPr>
          <w:p w14:paraId="4620FC6C" w14:textId="77777777" w:rsidR="009F33CD" w:rsidRDefault="009F33CD">
            <w:pPr>
              <w:spacing w:before="0" w:beforeAutospacing="0" w:after="0" w:afterAutospacing="0" w:line="240" w:lineRule="auto"/>
              <w:ind w:left="60" w:right="60"/>
              <w:rPr>
                <w:rFonts w:cs="Times New Roman"/>
                <w:color w:val="000000"/>
                <w:szCs w:val="24"/>
              </w:rPr>
            </w:pPr>
          </w:p>
        </w:tc>
        <w:tc>
          <w:tcPr>
            <w:tcW w:w="2230" w:type="pct"/>
            <w:tcBorders>
              <w:top w:val="single" w:sz="4" w:space="0" w:color="auto"/>
            </w:tcBorders>
            <w:shd w:val="clear" w:color="auto" w:fill="FFFFFF"/>
            <w:vAlign w:val="center"/>
          </w:tcPr>
          <w:p w14:paraId="7A809B97"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21 – 30</w:t>
            </w:r>
          </w:p>
        </w:tc>
        <w:tc>
          <w:tcPr>
            <w:tcW w:w="1921" w:type="pct"/>
            <w:gridSpan w:val="2"/>
            <w:tcBorders>
              <w:top w:val="single" w:sz="4" w:space="0" w:color="auto"/>
            </w:tcBorders>
            <w:shd w:val="clear" w:color="auto" w:fill="FFFFFF"/>
            <w:vAlign w:val="center"/>
          </w:tcPr>
          <w:p w14:paraId="32DDE053"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31</w:t>
            </w:r>
          </w:p>
        </w:tc>
        <w:tc>
          <w:tcPr>
            <w:tcW w:w="732" w:type="pct"/>
            <w:tcBorders>
              <w:top w:val="single" w:sz="4" w:space="0" w:color="auto"/>
            </w:tcBorders>
            <w:shd w:val="clear" w:color="auto" w:fill="FFFFFF"/>
            <w:vAlign w:val="center"/>
          </w:tcPr>
          <w:p w14:paraId="04F39C5C"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26.3</w:t>
            </w:r>
          </w:p>
        </w:tc>
      </w:tr>
      <w:tr w:rsidR="009F33CD" w14:paraId="5D64DE3C" w14:textId="77777777">
        <w:trPr>
          <w:gridAfter w:val="1"/>
          <w:wAfter w:w="15" w:type="pct"/>
          <w:cantSplit/>
          <w:trHeight w:val="55"/>
        </w:trPr>
        <w:tc>
          <w:tcPr>
            <w:tcW w:w="102" w:type="pct"/>
            <w:vMerge/>
            <w:shd w:val="clear" w:color="auto" w:fill="FFFFFF"/>
            <w:vAlign w:val="center"/>
          </w:tcPr>
          <w:p w14:paraId="02184335" w14:textId="77777777" w:rsidR="009F33CD" w:rsidRDefault="009F33CD">
            <w:pPr>
              <w:spacing w:before="0" w:beforeAutospacing="0" w:after="0" w:afterAutospacing="0" w:line="240" w:lineRule="auto"/>
              <w:rPr>
                <w:rFonts w:cs="Times New Roman"/>
                <w:color w:val="000000"/>
                <w:szCs w:val="24"/>
              </w:rPr>
            </w:pPr>
          </w:p>
        </w:tc>
        <w:tc>
          <w:tcPr>
            <w:tcW w:w="2230" w:type="pct"/>
            <w:shd w:val="clear" w:color="auto" w:fill="FFFFFF"/>
            <w:vAlign w:val="center"/>
          </w:tcPr>
          <w:p w14:paraId="77D6F8A8"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31 – 40</w:t>
            </w:r>
          </w:p>
        </w:tc>
        <w:tc>
          <w:tcPr>
            <w:tcW w:w="1921" w:type="pct"/>
            <w:gridSpan w:val="2"/>
            <w:shd w:val="clear" w:color="auto" w:fill="FFFFFF"/>
            <w:vAlign w:val="center"/>
          </w:tcPr>
          <w:p w14:paraId="0D0E2BEA"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32</w:t>
            </w:r>
          </w:p>
        </w:tc>
        <w:tc>
          <w:tcPr>
            <w:tcW w:w="732" w:type="pct"/>
            <w:shd w:val="clear" w:color="auto" w:fill="FFFFFF"/>
            <w:vAlign w:val="center"/>
          </w:tcPr>
          <w:p w14:paraId="73B7632E"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27.1</w:t>
            </w:r>
          </w:p>
        </w:tc>
      </w:tr>
      <w:tr w:rsidR="009F33CD" w14:paraId="1D5DA5D9" w14:textId="77777777">
        <w:trPr>
          <w:gridAfter w:val="1"/>
          <w:wAfter w:w="15" w:type="pct"/>
          <w:cantSplit/>
          <w:trHeight w:val="55"/>
        </w:trPr>
        <w:tc>
          <w:tcPr>
            <w:tcW w:w="102" w:type="pct"/>
            <w:vMerge/>
            <w:shd w:val="clear" w:color="auto" w:fill="FFFFFF"/>
            <w:vAlign w:val="center"/>
          </w:tcPr>
          <w:p w14:paraId="01AE8DD3" w14:textId="77777777" w:rsidR="009F33CD" w:rsidRDefault="009F33CD">
            <w:pPr>
              <w:spacing w:before="0" w:beforeAutospacing="0" w:after="0" w:afterAutospacing="0" w:line="240" w:lineRule="auto"/>
              <w:rPr>
                <w:rFonts w:cs="Times New Roman"/>
                <w:color w:val="000000"/>
                <w:szCs w:val="24"/>
              </w:rPr>
            </w:pPr>
          </w:p>
        </w:tc>
        <w:tc>
          <w:tcPr>
            <w:tcW w:w="2230" w:type="pct"/>
            <w:shd w:val="clear" w:color="auto" w:fill="FFFFFF"/>
            <w:vAlign w:val="center"/>
          </w:tcPr>
          <w:p w14:paraId="20838BF4"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41 – 50</w:t>
            </w:r>
          </w:p>
        </w:tc>
        <w:tc>
          <w:tcPr>
            <w:tcW w:w="1921" w:type="pct"/>
            <w:gridSpan w:val="2"/>
            <w:shd w:val="clear" w:color="auto" w:fill="FFFFFF"/>
            <w:vAlign w:val="center"/>
          </w:tcPr>
          <w:p w14:paraId="719CE13D"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30</w:t>
            </w:r>
          </w:p>
        </w:tc>
        <w:tc>
          <w:tcPr>
            <w:tcW w:w="732" w:type="pct"/>
            <w:shd w:val="clear" w:color="auto" w:fill="FFFFFF"/>
            <w:vAlign w:val="center"/>
          </w:tcPr>
          <w:p w14:paraId="2A79CA96"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25.4</w:t>
            </w:r>
          </w:p>
        </w:tc>
      </w:tr>
      <w:tr w:rsidR="009F33CD" w14:paraId="29E8C549" w14:textId="77777777">
        <w:trPr>
          <w:gridAfter w:val="1"/>
          <w:wAfter w:w="15" w:type="pct"/>
          <w:cantSplit/>
          <w:trHeight w:val="55"/>
        </w:trPr>
        <w:tc>
          <w:tcPr>
            <w:tcW w:w="102" w:type="pct"/>
            <w:vMerge/>
            <w:shd w:val="clear" w:color="auto" w:fill="FFFFFF"/>
            <w:vAlign w:val="center"/>
          </w:tcPr>
          <w:p w14:paraId="2CB04901" w14:textId="77777777" w:rsidR="009F33CD" w:rsidRDefault="009F33CD">
            <w:pPr>
              <w:spacing w:before="0" w:beforeAutospacing="0" w:after="0" w:afterAutospacing="0" w:line="240" w:lineRule="auto"/>
              <w:rPr>
                <w:rFonts w:cs="Times New Roman"/>
                <w:color w:val="000000"/>
                <w:szCs w:val="24"/>
              </w:rPr>
            </w:pPr>
          </w:p>
        </w:tc>
        <w:tc>
          <w:tcPr>
            <w:tcW w:w="2230" w:type="pct"/>
            <w:shd w:val="clear" w:color="auto" w:fill="FFFFFF"/>
            <w:vAlign w:val="center"/>
          </w:tcPr>
          <w:p w14:paraId="01ED76AC"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51 – 60</w:t>
            </w:r>
          </w:p>
        </w:tc>
        <w:tc>
          <w:tcPr>
            <w:tcW w:w="1921" w:type="pct"/>
            <w:gridSpan w:val="2"/>
            <w:shd w:val="clear" w:color="auto" w:fill="FFFFFF"/>
            <w:vAlign w:val="center"/>
          </w:tcPr>
          <w:p w14:paraId="0DEE46A8"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24</w:t>
            </w:r>
          </w:p>
        </w:tc>
        <w:tc>
          <w:tcPr>
            <w:tcW w:w="732" w:type="pct"/>
            <w:shd w:val="clear" w:color="auto" w:fill="FFFFFF"/>
            <w:vAlign w:val="center"/>
          </w:tcPr>
          <w:p w14:paraId="091947EB"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20.3</w:t>
            </w:r>
          </w:p>
        </w:tc>
      </w:tr>
      <w:tr w:rsidR="009F33CD" w14:paraId="041F81A1" w14:textId="77777777" w:rsidTr="00E53B8A">
        <w:trPr>
          <w:gridAfter w:val="1"/>
          <w:wAfter w:w="15" w:type="pct"/>
          <w:cantSplit/>
          <w:trHeight w:val="55"/>
        </w:trPr>
        <w:tc>
          <w:tcPr>
            <w:tcW w:w="102" w:type="pct"/>
            <w:vMerge/>
            <w:shd w:val="clear" w:color="auto" w:fill="FFFFFF"/>
            <w:vAlign w:val="center"/>
          </w:tcPr>
          <w:p w14:paraId="61E53CDC" w14:textId="77777777" w:rsidR="009F33CD" w:rsidRDefault="009F33CD">
            <w:pPr>
              <w:spacing w:before="0" w:beforeAutospacing="0" w:after="0" w:afterAutospacing="0" w:line="240" w:lineRule="auto"/>
              <w:rPr>
                <w:rFonts w:cs="Times New Roman"/>
                <w:color w:val="000000"/>
                <w:szCs w:val="24"/>
              </w:rPr>
            </w:pPr>
          </w:p>
        </w:tc>
        <w:tc>
          <w:tcPr>
            <w:tcW w:w="2230" w:type="pct"/>
            <w:tcBorders>
              <w:bottom w:val="nil"/>
            </w:tcBorders>
            <w:shd w:val="clear" w:color="auto" w:fill="FFFFFF"/>
            <w:vAlign w:val="center"/>
          </w:tcPr>
          <w:p w14:paraId="325CBEBB"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Above 61 years</w:t>
            </w:r>
          </w:p>
        </w:tc>
        <w:tc>
          <w:tcPr>
            <w:tcW w:w="1921" w:type="pct"/>
            <w:gridSpan w:val="2"/>
            <w:tcBorders>
              <w:bottom w:val="nil"/>
            </w:tcBorders>
            <w:shd w:val="clear" w:color="auto" w:fill="FFFFFF"/>
            <w:vAlign w:val="center"/>
          </w:tcPr>
          <w:p w14:paraId="2B0DDA9C"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w:t>
            </w:r>
          </w:p>
        </w:tc>
        <w:tc>
          <w:tcPr>
            <w:tcW w:w="732" w:type="pct"/>
            <w:tcBorders>
              <w:bottom w:val="nil"/>
            </w:tcBorders>
            <w:shd w:val="clear" w:color="auto" w:fill="FFFFFF"/>
            <w:vAlign w:val="center"/>
          </w:tcPr>
          <w:p w14:paraId="4D8861DF"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.8</w:t>
            </w:r>
          </w:p>
        </w:tc>
      </w:tr>
      <w:tr w:rsidR="009F33CD" w14:paraId="14DC7B1C" w14:textId="77777777" w:rsidTr="00E53B8A">
        <w:trPr>
          <w:gridAfter w:val="1"/>
          <w:wAfter w:w="15" w:type="pct"/>
          <w:cantSplit/>
          <w:trHeight w:val="45"/>
        </w:trPr>
        <w:tc>
          <w:tcPr>
            <w:tcW w:w="102" w:type="pct"/>
            <w:vMerge/>
            <w:shd w:val="clear" w:color="auto" w:fill="FFFFFF"/>
            <w:vAlign w:val="center"/>
          </w:tcPr>
          <w:p w14:paraId="47BCBA41" w14:textId="77777777" w:rsidR="009F33CD" w:rsidRDefault="009F33CD">
            <w:pPr>
              <w:spacing w:before="0" w:beforeAutospacing="0" w:after="0" w:afterAutospacing="0" w:line="240" w:lineRule="auto"/>
              <w:rPr>
                <w:rFonts w:cs="Times New Roman"/>
                <w:color w:val="000000"/>
                <w:szCs w:val="24"/>
              </w:rPr>
            </w:pPr>
          </w:p>
        </w:tc>
        <w:tc>
          <w:tcPr>
            <w:tcW w:w="2230" w:type="pct"/>
            <w:tcBorders>
              <w:top w:val="nil"/>
              <w:bottom w:val="single" w:sz="4" w:space="0" w:color="auto"/>
            </w:tcBorders>
            <w:shd w:val="clear" w:color="auto" w:fill="FFFFFF"/>
            <w:vAlign w:val="center"/>
          </w:tcPr>
          <w:p w14:paraId="2E42355E" w14:textId="77777777" w:rsidR="009F33CD" w:rsidRDefault="00E40740">
            <w:pPr>
              <w:spacing w:before="0" w:beforeAutospacing="0" w:after="0" w:afterAutospacing="0" w:line="240" w:lineRule="auto"/>
              <w:ind w:left="60" w:right="60"/>
              <w:rPr>
                <w:rFonts w:cs="Times New Roman"/>
                <w:b/>
                <w:bCs/>
                <w:color w:val="000000"/>
                <w:szCs w:val="24"/>
              </w:rPr>
            </w:pPr>
            <w:r>
              <w:rPr>
                <w:rFonts w:cs="Times New Roman"/>
                <w:b/>
                <w:bCs/>
                <w:color w:val="000000"/>
                <w:szCs w:val="24"/>
              </w:rPr>
              <w:t>Total</w:t>
            </w:r>
          </w:p>
        </w:tc>
        <w:tc>
          <w:tcPr>
            <w:tcW w:w="1921" w:type="pct"/>
            <w:gridSpan w:val="2"/>
            <w:tcBorders>
              <w:top w:val="nil"/>
              <w:bottom w:val="single" w:sz="4" w:space="0" w:color="auto"/>
            </w:tcBorders>
            <w:shd w:val="clear" w:color="auto" w:fill="FFFFFF"/>
            <w:vAlign w:val="center"/>
          </w:tcPr>
          <w:p w14:paraId="3D062440"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118</w:t>
            </w:r>
          </w:p>
        </w:tc>
        <w:tc>
          <w:tcPr>
            <w:tcW w:w="732" w:type="pct"/>
            <w:tcBorders>
              <w:top w:val="nil"/>
              <w:bottom w:val="single" w:sz="4" w:space="0" w:color="auto"/>
            </w:tcBorders>
            <w:shd w:val="clear" w:color="auto" w:fill="FFFFFF"/>
            <w:vAlign w:val="center"/>
          </w:tcPr>
          <w:p w14:paraId="2FA98192"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100.0</w:t>
            </w:r>
          </w:p>
        </w:tc>
      </w:tr>
    </w:tbl>
    <w:p w14:paraId="696B9612" w14:textId="77777777" w:rsidR="009F33CD" w:rsidRDefault="00E40740">
      <w:pPr>
        <w:rPr>
          <w:rFonts w:eastAsia="Times New Roman" w:cs="Times New Roman"/>
          <w:bCs/>
          <w:szCs w:val="24"/>
        </w:rPr>
      </w:pPr>
      <w:r>
        <w:rPr>
          <w:rFonts w:eastAsia="Times New Roman" w:cs="Times New Roman"/>
          <w:bCs/>
          <w:szCs w:val="24"/>
        </w:rPr>
        <w:t>Th</w:t>
      </w:r>
      <w:r w:rsidR="003F4007">
        <w:rPr>
          <w:rFonts w:eastAsia="Times New Roman" w:cs="Times New Roman"/>
          <w:bCs/>
          <w:szCs w:val="24"/>
        </w:rPr>
        <w:t>e results presented in Table 4.7</w:t>
      </w:r>
      <w:r>
        <w:rPr>
          <w:rFonts w:eastAsia="Times New Roman" w:cs="Times New Roman"/>
          <w:bCs/>
          <w:szCs w:val="24"/>
        </w:rPr>
        <w:t xml:space="preserve"> reveal that the majority of the respondents were between the age of 31-40 years at 27.1%, indicating that the workforce is mainly composed of middle-aged respondents with high levels of energy for productivity.  This was followed by ages 21-30 years at 26.3%, suggesting a representation of young respondents who may bring fresh ideas and a willingness to innovate. Those in the age bracket of 41-50 years were 25.4%, representing individuals with a substantial amount of experience and expertise necessary for the stability and reliability of healthcare services. The respondents in the age bracket 51-60 years were 20.3%, indicating respondents nearing retirement, but still have valuable experience and knowledge that can be leveraged. The respondents with the age of 61 years and above were lowest at 0.8%, implying that Level Five Hospitals should vigorously engage in succession planning to replace retired employees and prepare for the succession of aging employees.  </w:t>
      </w:r>
    </w:p>
    <w:p w14:paraId="5F691385" w14:textId="77777777" w:rsidR="009F33CD" w:rsidRDefault="00E40740">
      <w:pPr>
        <w:rPr>
          <w:rFonts w:eastAsia="Times New Roman" w:cs="Times New Roman"/>
          <w:bCs/>
          <w:szCs w:val="24"/>
        </w:rPr>
      </w:pPr>
      <w:r>
        <w:rPr>
          <w:rFonts w:eastAsia="Times New Roman" w:cs="Times New Roman"/>
          <w:bCs/>
          <w:szCs w:val="24"/>
        </w:rPr>
        <w:t xml:space="preserve">Overall, the age distribution of respondents was well balanced implying the presence of a diverse workforce in age who could share knowledge and experience about green HRM practices on the performance of devolved healthcare services. Further, this finding implies that recruitment efforts might focus on maintaining this balance, ensuring a steady influx of young talent while retaining experienced staff to guide and mentor them. </w:t>
      </w:r>
      <w:r>
        <w:rPr>
          <w:rFonts w:cs="Times New Roman"/>
          <w:szCs w:val="24"/>
        </w:rPr>
        <w:t>The findings on the age of respondents were also presented in Figure 4.1 illustrating further the variations and frequencies of the various age groups of the respondents.</w:t>
      </w:r>
    </w:p>
    <w:p w14:paraId="5D1EAD22" w14:textId="77777777" w:rsidR="009F33CD" w:rsidRDefault="00E40740">
      <w:pPr>
        <w:rPr>
          <w:rFonts w:cs="Times New Roman"/>
          <w:szCs w:val="24"/>
        </w:rPr>
      </w:pPr>
      <w:r>
        <w:rPr>
          <w:rFonts w:cs="Times New Roman"/>
          <w:noProof/>
          <w:szCs w:val="24"/>
          <w:lang w:val="en-US"/>
        </w:rPr>
        <w:lastRenderedPageBreak/>
        <w:drawing>
          <wp:inline distT="0" distB="0" distL="0" distR="0" wp14:anchorId="30A0C8D9" wp14:editId="234606C0">
            <wp:extent cx="5270009" cy="326707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l="2070" t="2716" b="2701"/>
                    <a:stretch>
                      <a:fillRect/>
                    </a:stretch>
                  </pic:blipFill>
                  <pic:spPr>
                    <a:xfrm>
                      <a:off x="0" y="0"/>
                      <a:ext cx="5283380" cy="3275364"/>
                    </a:xfrm>
                    <a:prstGeom prst="rect">
                      <a:avLst/>
                    </a:prstGeom>
                    <a:noFill/>
                    <a:ln>
                      <a:noFill/>
                    </a:ln>
                  </pic:spPr>
                </pic:pic>
              </a:graphicData>
            </a:graphic>
          </wp:inline>
        </w:drawing>
      </w:r>
    </w:p>
    <w:p w14:paraId="7CE4C6B1" w14:textId="77777777" w:rsidR="009F33CD" w:rsidRDefault="00E40740">
      <w:pPr>
        <w:pStyle w:val="Heading5"/>
      </w:pPr>
      <w:bookmarkStart w:id="910" w:name="_Toc178942629"/>
      <w:bookmarkStart w:id="911" w:name="_Toc187080850"/>
      <w:bookmarkStart w:id="912" w:name="_Toc178940588"/>
      <w:bookmarkStart w:id="913" w:name="_Toc147946896"/>
      <w:bookmarkStart w:id="914" w:name="_Toc139987483"/>
      <w:bookmarkStart w:id="915" w:name="_Toc139986456"/>
      <w:bookmarkStart w:id="916" w:name="_Toc185614078"/>
      <w:bookmarkStart w:id="917" w:name="_Toc165626379"/>
      <w:bookmarkStart w:id="918" w:name="_Toc187996268"/>
      <w:bookmarkStart w:id="919" w:name="_Toc178944287"/>
      <w:bookmarkStart w:id="920" w:name="_Toc147950235"/>
      <w:bookmarkStart w:id="921" w:name="_Toc165623598"/>
      <w:bookmarkStart w:id="922" w:name="_Toc178945039"/>
      <w:r>
        <w:t>Figure 4.1: Findings for Age of Respondents</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6FA7703B" w14:textId="77777777" w:rsidR="009F33CD" w:rsidRDefault="00E40740">
      <w:pPr>
        <w:pStyle w:val="Heading3"/>
        <w:spacing w:before="100" w:after="240"/>
      </w:pPr>
      <w:bookmarkStart w:id="923" w:name="_Toc165623599"/>
      <w:bookmarkStart w:id="924" w:name="_Toc178942630"/>
      <w:bookmarkStart w:id="925" w:name="_Toc178945040"/>
      <w:bookmarkStart w:id="926" w:name="_Toc139981657"/>
      <w:bookmarkStart w:id="927" w:name="_Toc165626380"/>
      <w:bookmarkStart w:id="928" w:name="_Toc147950236"/>
      <w:bookmarkStart w:id="929" w:name="_Toc178944288"/>
      <w:bookmarkStart w:id="930" w:name="_Toc178940589"/>
      <w:bookmarkStart w:id="931" w:name="_Toc188443975"/>
      <w:bookmarkStart w:id="932" w:name="_Toc188130628"/>
      <w:bookmarkStart w:id="933" w:name="_Toc187080851"/>
      <w:bookmarkStart w:id="934" w:name="_Toc188442601"/>
      <w:bookmarkStart w:id="935" w:name="_Toc185614079"/>
      <w:bookmarkStart w:id="936" w:name="_Toc224160665"/>
      <w:bookmarkStart w:id="937" w:name="_Toc224237727"/>
      <w:bookmarkStart w:id="938" w:name="_Hlk139307405"/>
      <w:r>
        <w:t>4.4.5 Highest Level of Education</w:t>
      </w:r>
      <w:bookmarkEnd w:id="923"/>
      <w:bookmarkEnd w:id="924"/>
      <w:bookmarkEnd w:id="925"/>
      <w:bookmarkEnd w:id="926"/>
      <w:bookmarkEnd w:id="927"/>
      <w:bookmarkEnd w:id="928"/>
      <w:bookmarkEnd w:id="929"/>
      <w:bookmarkEnd w:id="930"/>
      <w:r>
        <w:t xml:space="preserve"> of Respondents</w:t>
      </w:r>
      <w:bookmarkEnd w:id="931"/>
      <w:bookmarkEnd w:id="932"/>
      <w:bookmarkEnd w:id="933"/>
      <w:bookmarkEnd w:id="934"/>
      <w:bookmarkEnd w:id="935"/>
      <w:bookmarkEnd w:id="936"/>
      <w:bookmarkEnd w:id="937"/>
    </w:p>
    <w:bookmarkEnd w:id="938"/>
    <w:p w14:paraId="0589720F" w14:textId="77777777" w:rsidR="009F33CD" w:rsidRDefault="00E40740">
      <w:pPr>
        <w:rPr>
          <w:rFonts w:cs="Times New Roman"/>
          <w:szCs w:val="24"/>
        </w:rPr>
      </w:pPr>
      <w:r>
        <w:rPr>
          <w:rFonts w:cs="Times New Roman"/>
          <w:szCs w:val="24"/>
        </w:rPr>
        <w:t>In order to obtain accurate and relevant responses, the respondents were asked to indicate their highest level of education. The level of education is important as it influences the level of management skills. The fin</w:t>
      </w:r>
      <w:r w:rsidR="003F4007">
        <w:rPr>
          <w:rFonts w:cs="Times New Roman"/>
          <w:szCs w:val="24"/>
        </w:rPr>
        <w:t>dings are presented in Table 4.8</w:t>
      </w:r>
      <w:r>
        <w:rPr>
          <w:rFonts w:cs="Times New Roman"/>
          <w:szCs w:val="24"/>
        </w:rPr>
        <w:t>.</w:t>
      </w:r>
    </w:p>
    <w:p w14:paraId="04E96F36" w14:textId="77777777" w:rsidR="009F33CD" w:rsidRDefault="000748E0" w:rsidP="00436612">
      <w:pPr>
        <w:pStyle w:val="Heading6"/>
      </w:pPr>
      <w:bookmarkStart w:id="939" w:name="_Toc139986458"/>
      <w:bookmarkStart w:id="940" w:name="_Toc178945041"/>
      <w:bookmarkStart w:id="941" w:name="_Toc178942631"/>
      <w:bookmarkStart w:id="942" w:name="_Toc178940590"/>
      <w:bookmarkStart w:id="943" w:name="_Toc147950237"/>
      <w:bookmarkStart w:id="944" w:name="_Toc147946898"/>
      <w:bookmarkStart w:id="945" w:name="_Toc139981658"/>
      <w:bookmarkStart w:id="946" w:name="_Toc178944289"/>
      <w:bookmarkStart w:id="947" w:name="_Toc165626381"/>
      <w:bookmarkStart w:id="948" w:name="_Toc139987485"/>
      <w:bookmarkStart w:id="949" w:name="_Toc165623600"/>
      <w:bookmarkStart w:id="950" w:name="_Toc187080852"/>
      <w:bookmarkStart w:id="951" w:name="_Toc185614080"/>
      <w:bookmarkStart w:id="952" w:name="_Toc224237437"/>
      <w:r>
        <w:t>Table 4.8</w:t>
      </w:r>
      <w:r w:rsidR="00E40740">
        <w:t>: Findings for Level of Education</w:t>
      </w:r>
      <w:bookmarkEnd w:id="939"/>
      <w:bookmarkEnd w:id="940"/>
      <w:bookmarkEnd w:id="941"/>
      <w:bookmarkEnd w:id="942"/>
      <w:bookmarkEnd w:id="943"/>
      <w:bookmarkEnd w:id="944"/>
      <w:bookmarkEnd w:id="945"/>
      <w:bookmarkEnd w:id="946"/>
      <w:bookmarkEnd w:id="947"/>
      <w:bookmarkEnd w:id="948"/>
      <w:bookmarkEnd w:id="949"/>
      <w:r w:rsidR="00E40740">
        <w:t xml:space="preserve"> of Respondents</w:t>
      </w:r>
      <w:bookmarkEnd w:id="950"/>
      <w:bookmarkEnd w:id="951"/>
      <w:bookmarkEnd w:id="952"/>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17"/>
        <w:gridCol w:w="3441"/>
        <w:gridCol w:w="2612"/>
        <w:gridCol w:w="2150"/>
      </w:tblGrid>
      <w:tr w:rsidR="009F33CD" w14:paraId="24A9CD39" w14:textId="77777777">
        <w:trPr>
          <w:cantSplit/>
          <w:trHeight w:val="233"/>
        </w:trPr>
        <w:tc>
          <w:tcPr>
            <w:tcW w:w="2103" w:type="pct"/>
            <w:gridSpan w:val="2"/>
            <w:tcBorders>
              <w:top w:val="single" w:sz="4" w:space="0" w:color="auto"/>
              <w:bottom w:val="single" w:sz="4" w:space="0" w:color="auto"/>
            </w:tcBorders>
            <w:shd w:val="clear" w:color="auto" w:fill="FFFFFF"/>
          </w:tcPr>
          <w:p w14:paraId="0A5C2238" w14:textId="77777777" w:rsidR="009F33CD" w:rsidRDefault="00E40740">
            <w:pPr>
              <w:spacing w:before="0" w:beforeAutospacing="0" w:after="0" w:afterAutospacing="0" w:line="240" w:lineRule="auto"/>
              <w:ind w:left="60" w:right="60"/>
              <w:rPr>
                <w:rFonts w:cs="Times New Roman"/>
                <w:b/>
                <w:bCs/>
                <w:color w:val="000000"/>
                <w:szCs w:val="24"/>
              </w:rPr>
            </w:pPr>
            <w:r>
              <w:rPr>
                <w:rFonts w:cs="Times New Roman"/>
                <w:b/>
                <w:bCs/>
                <w:color w:val="000000"/>
                <w:szCs w:val="24"/>
              </w:rPr>
              <w:t>Level of Education</w:t>
            </w:r>
          </w:p>
        </w:tc>
        <w:tc>
          <w:tcPr>
            <w:tcW w:w="1589" w:type="pct"/>
            <w:tcBorders>
              <w:top w:val="single" w:sz="4" w:space="0" w:color="auto"/>
              <w:bottom w:val="single" w:sz="4" w:space="0" w:color="auto"/>
            </w:tcBorders>
            <w:shd w:val="clear" w:color="auto" w:fill="FFFFFF"/>
          </w:tcPr>
          <w:p w14:paraId="0B996948"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Frequency</w:t>
            </w:r>
          </w:p>
        </w:tc>
        <w:tc>
          <w:tcPr>
            <w:tcW w:w="1308" w:type="pct"/>
            <w:tcBorders>
              <w:top w:val="single" w:sz="4" w:space="0" w:color="auto"/>
              <w:bottom w:val="single" w:sz="4" w:space="0" w:color="auto"/>
            </w:tcBorders>
            <w:shd w:val="clear" w:color="auto" w:fill="FFFFFF"/>
          </w:tcPr>
          <w:p w14:paraId="1768A5B5"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Percent</w:t>
            </w:r>
          </w:p>
        </w:tc>
      </w:tr>
      <w:tr w:rsidR="009F33CD" w14:paraId="45AB5066" w14:textId="77777777">
        <w:trPr>
          <w:cantSplit/>
          <w:trHeight w:val="292"/>
        </w:trPr>
        <w:tc>
          <w:tcPr>
            <w:tcW w:w="10" w:type="pct"/>
            <w:vMerge w:val="restart"/>
            <w:tcBorders>
              <w:top w:val="single" w:sz="4" w:space="0" w:color="auto"/>
            </w:tcBorders>
            <w:shd w:val="clear" w:color="auto" w:fill="FFFFFF"/>
            <w:vAlign w:val="center"/>
          </w:tcPr>
          <w:p w14:paraId="2132CD97" w14:textId="77777777" w:rsidR="009F33CD" w:rsidRDefault="009F33CD">
            <w:pPr>
              <w:spacing w:before="0" w:beforeAutospacing="0" w:after="0" w:afterAutospacing="0" w:line="240" w:lineRule="auto"/>
              <w:ind w:left="60" w:right="60"/>
              <w:rPr>
                <w:rFonts w:cs="Times New Roman"/>
                <w:color w:val="000000"/>
                <w:szCs w:val="24"/>
              </w:rPr>
            </w:pPr>
          </w:p>
        </w:tc>
        <w:tc>
          <w:tcPr>
            <w:tcW w:w="2092" w:type="pct"/>
            <w:tcBorders>
              <w:top w:val="single" w:sz="4" w:space="0" w:color="auto"/>
            </w:tcBorders>
            <w:shd w:val="clear" w:color="auto" w:fill="FFFFFF"/>
            <w:vAlign w:val="center"/>
          </w:tcPr>
          <w:p w14:paraId="3505D114"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Certificate</w:t>
            </w:r>
          </w:p>
        </w:tc>
        <w:tc>
          <w:tcPr>
            <w:tcW w:w="1589" w:type="pct"/>
            <w:tcBorders>
              <w:top w:val="single" w:sz="4" w:space="0" w:color="auto"/>
            </w:tcBorders>
            <w:shd w:val="clear" w:color="auto" w:fill="FFFFFF"/>
            <w:vAlign w:val="center"/>
          </w:tcPr>
          <w:p w14:paraId="3B32C116"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w:t>
            </w:r>
          </w:p>
        </w:tc>
        <w:tc>
          <w:tcPr>
            <w:tcW w:w="1308" w:type="pct"/>
            <w:tcBorders>
              <w:top w:val="single" w:sz="4" w:space="0" w:color="auto"/>
            </w:tcBorders>
            <w:shd w:val="clear" w:color="auto" w:fill="FFFFFF"/>
            <w:vAlign w:val="center"/>
          </w:tcPr>
          <w:p w14:paraId="25263426"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2.5</w:t>
            </w:r>
          </w:p>
        </w:tc>
      </w:tr>
      <w:tr w:rsidR="009F33CD" w14:paraId="1BA560A5" w14:textId="77777777">
        <w:trPr>
          <w:cantSplit/>
          <w:trHeight w:val="306"/>
        </w:trPr>
        <w:tc>
          <w:tcPr>
            <w:tcW w:w="10" w:type="pct"/>
            <w:vMerge/>
            <w:shd w:val="clear" w:color="auto" w:fill="FFFFFF"/>
            <w:vAlign w:val="center"/>
          </w:tcPr>
          <w:p w14:paraId="5838348A" w14:textId="77777777" w:rsidR="009F33CD" w:rsidRDefault="009F33CD">
            <w:pPr>
              <w:spacing w:before="0" w:beforeAutospacing="0" w:after="0" w:afterAutospacing="0" w:line="240" w:lineRule="auto"/>
              <w:rPr>
                <w:rFonts w:cs="Times New Roman"/>
                <w:color w:val="000000"/>
                <w:szCs w:val="24"/>
              </w:rPr>
            </w:pPr>
          </w:p>
        </w:tc>
        <w:tc>
          <w:tcPr>
            <w:tcW w:w="2092" w:type="pct"/>
            <w:shd w:val="clear" w:color="auto" w:fill="FFFFFF"/>
            <w:vAlign w:val="center"/>
          </w:tcPr>
          <w:p w14:paraId="7F448A04"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Diploma</w:t>
            </w:r>
          </w:p>
        </w:tc>
        <w:tc>
          <w:tcPr>
            <w:tcW w:w="1589" w:type="pct"/>
            <w:shd w:val="clear" w:color="auto" w:fill="FFFFFF"/>
            <w:vAlign w:val="center"/>
          </w:tcPr>
          <w:p w14:paraId="036FAD46"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66</w:t>
            </w:r>
          </w:p>
        </w:tc>
        <w:tc>
          <w:tcPr>
            <w:tcW w:w="1308" w:type="pct"/>
            <w:shd w:val="clear" w:color="auto" w:fill="FFFFFF"/>
            <w:vAlign w:val="center"/>
          </w:tcPr>
          <w:p w14:paraId="6E57069B"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55.9</w:t>
            </w:r>
          </w:p>
        </w:tc>
      </w:tr>
      <w:tr w:rsidR="009F33CD" w14:paraId="159B07B8" w14:textId="77777777">
        <w:trPr>
          <w:cantSplit/>
          <w:trHeight w:val="292"/>
        </w:trPr>
        <w:tc>
          <w:tcPr>
            <w:tcW w:w="10" w:type="pct"/>
            <w:vMerge/>
            <w:shd w:val="clear" w:color="auto" w:fill="FFFFFF"/>
            <w:vAlign w:val="center"/>
          </w:tcPr>
          <w:p w14:paraId="327968FE" w14:textId="77777777" w:rsidR="009F33CD" w:rsidRDefault="009F33CD">
            <w:pPr>
              <w:spacing w:before="0" w:beforeAutospacing="0" w:after="0" w:afterAutospacing="0" w:line="240" w:lineRule="auto"/>
              <w:rPr>
                <w:rFonts w:cs="Times New Roman"/>
                <w:color w:val="000000"/>
                <w:szCs w:val="24"/>
              </w:rPr>
            </w:pPr>
          </w:p>
        </w:tc>
        <w:tc>
          <w:tcPr>
            <w:tcW w:w="2092" w:type="pct"/>
            <w:shd w:val="clear" w:color="auto" w:fill="FFFFFF"/>
            <w:vAlign w:val="center"/>
          </w:tcPr>
          <w:p w14:paraId="76BDA3F3"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Degree</w:t>
            </w:r>
          </w:p>
        </w:tc>
        <w:tc>
          <w:tcPr>
            <w:tcW w:w="1589" w:type="pct"/>
            <w:shd w:val="clear" w:color="auto" w:fill="FFFFFF"/>
            <w:vAlign w:val="center"/>
          </w:tcPr>
          <w:p w14:paraId="64478CA6"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37</w:t>
            </w:r>
          </w:p>
        </w:tc>
        <w:tc>
          <w:tcPr>
            <w:tcW w:w="1308" w:type="pct"/>
            <w:shd w:val="clear" w:color="auto" w:fill="FFFFFF"/>
            <w:vAlign w:val="center"/>
          </w:tcPr>
          <w:p w14:paraId="27EBA162"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31.4</w:t>
            </w:r>
          </w:p>
        </w:tc>
      </w:tr>
      <w:tr w:rsidR="009F33CD" w14:paraId="73C12CCE" w14:textId="77777777" w:rsidTr="00E53B8A">
        <w:trPr>
          <w:cantSplit/>
          <w:trHeight w:val="292"/>
        </w:trPr>
        <w:tc>
          <w:tcPr>
            <w:tcW w:w="10" w:type="pct"/>
            <w:vMerge/>
            <w:shd w:val="clear" w:color="auto" w:fill="FFFFFF"/>
            <w:vAlign w:val="center"/>
          </w:tcPr>
          <w:p w14:paraId="7783CC85" w14:textId="77777777" w:rsidR="009F33CD" w:rsidRDefault="009F33CD">
            <w:pPr>
              <w:spacing w:before="0" w:beforeAutospacing="0" w:after="0" w:afterAutospacing="0" w:line="240" w:lineRule="auto"/>
              <w:rPr>
                <w:rFonts w:cs="Times New Roman"/>
                <w:color w:val="000000"/>
                <w:szCs w:val="24"/>
              </w:rPr>
            </w:pPr>
          </w:p>
        </w:tc>
        <w:tc>
          <w:tcPr>
            <w:tcW w:w="2092" w:type="pct"/>
            <w:tcBorders>
              <w:bottom w:val="nil"/>
            </w:tcBorders>
            <w:shd w:val="clear" w:color="auto" w:fill="FFFFFF"/>
            <w:vAlign w:val="center"/>
          </w:tcPr>
          <w:p w14:paraId="164A10BE"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Masters</w:t>
            </w:r>
          </w:p>
        </w:tc>
        <w:tc>
          <w:tcPr>
            <w:tcW w:w="1589" w:type="pct"/>
            <w:tcBorders>
              <w:bottom w:val="nil"/>
            </w:tcBorders>
            <w:shd w:val="clear" w:color="auto" w:fill="FFFFFF"/>
            <w:vAlign w:val="center"/>
          </w:tcPr>
          <w:p w14:paraId="3270F768"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12</w:t>
            </w:r>
          </w:p>
        </w:tc>
        <w:tc>
          <w:tcPr>
            <w:tcW w:w="1308" w:type="pct"/>
            <w:tcBorders>
              <w:bottom w:val="nil"/>
            </w:tcBorders>
            <w:shd w:val="clear" w:color="auto" w:fill="FFFFFF"/>
            <w:vAlign w:val="center"/>
          </w:tcPr>
          <w:p w14:paraId="32D014F8"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10.2</w:t>
            </w:r>
          </w:p>
        </w:tc>
      </w:tr>
      <w:tr w:rsidR="009F33CD" w14:paraId="2AF67536" w14:textId="77777777" w:rsidTr="00E53B8A">
        <w:trPr>
          <w:cantSplit/>
          <w:trHeight w:val="306"/>
        </w:trPr>
        <w:tc>
          <w:tcPr>
            <w:tcW w:w="10" w:type="pct"/>
            <w:vMerge/>
            <w:shd w:val="clear" w:color="auto" w:fill="FFFFFF"/>
            <w:vAlign w:val="center"/>
          </w:tcPr>
          <w:p w14:paraId="54E0DC50" w14:textId="77777777" w:rsidR="009F33CD" w:rsidRDefault="009F33CD">
            <w:pPr>
              <w:spacing w:before="0" w:beforeAutospacing="0" w:after="0" w:afterAutospacing="0" w:line="240" w:lineRule="auto"/>
              <w:rPr>
                <w:rFonts w:cs="Times New Roman"/>
                <w:color w:val="000000"/>
                <w:szCs w:val="24"/>
              </w:rPr>
            </w:pPr>
          </w:p>
        </w:tc>
        <w:tc>
          <w:tcPr>
            <w:tcW w:w="2092" w:type="pct"/>
            <w:tcBorders>
              <w:top w:val="nil"/>
              <w:bottom w:val="single" w:sz="4" w:space="0" w:color="auto"/>
            </w:tcBorders>
            <w:shd w:val="clear" w:color="auto" w:fill="FFFFFF"/>
            <w:vAlign w:val="center"/>
          </w:tcPr>
          <w:p w14:paraId="5170BE1B" w14:textId="77777777" w:rsidR="009F33CD" w:rsidRDefault="00E40740">
            <w:pPr>
              <w:spacing w:before="0" w:beforeAutospacing="0" w:after="0" w:afterAutospacing="0" w:line="240" w:lineRule="auto"/>
              <w:ind w:left="60" w:right="60"/>
              <w:rPr>
                <w:rFonts w:cs="Times New Roman"/>
                <w:b/>
                <w:bCs/>
                <w:color w:val="000000"/>
                <w:szCs w:val="24"/>
              </w:rPr>
            </w:pPr>
            <w:r>
              <w:rPr>
                <w:rFonts w:cs="Times New Roman"/>
                <w:b/>
                <w:bCs/>
                <w:color w:val="000000"/>
                <w:szCs w:val="24"/>
              </w:rPr>
              <w:t>Total</w:t>
            </w:r>
          </w:p>
        </w:tc>
        <w:tc>
          <w:tcPr>
            <w:tcW w:w="1589" w:type="pct"/>
            <w:tcBorders>
              <w:top w:val="nil"/>
              <w:bottom w:val="single" w:sz="4" w:space="0" w:color="auto"/>
            </w:tcBorders>
            <w:shd w:val="clear" w:color="auto" w:fill="FFFFFF"/>
            <w:vAlign w:val="center"/>
          </w:tcPr>
          <w:p w14:paraId="6D39F1DD"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118</w:t>
            </w:r>
          </w:p>
        </w:tc>
        <w:tc>
          <w:tcPr>
            <w:tcW w:w="1308" w:type="pct"/>
            <w:tcBorders>
              <w:top w:val="nil"/>
              <w:bottom w:val="single" w:sz="4" w:space="0" w:color="auto"/>
            </w:tcBorders>
            <w:shd w:val="clear" w:color="auto" w:fill="FFFFFF"/>
            <w:vAlign w:val="center"/>
          </w:tcPr>
          <w:p w14:paraId="6300A63E"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100.0</w:t>
            </w:r>
          </w:p>
        </w:tc>
      </w:tr>
    </w:tbl>
    <w:p w14:paraId="4BFB668B" w14:textId="77777777" w:rsidR="009F33CD" w:rsidRDefault="00E40740">
      <w:pPr>
        <w:spacing w:after="240"/>
        <w:rPr>
          <w:rFonts w:cs="Times New Roman"/>
          <w:szCs w:val="24"/>
        </w:rPr>
      </w:pPr>
      <w:r>
        <w:rPr>
          <w:rFonts w:cs="Times New Roman"/>
          <w:szCs w:val="24"/>
        </w:rPr>
        <w:t>Based on the</w:t>
      </w:r>
      <w:r w:rsidR="003F4007">
        <w:rPr>
          <w:rFonts w:cs="Times New Roman"/>
          <w:szCs w:val="24"/>
        </w:rPr>
        <w:t xml:space="preserve"> findings presented in Table 4.8</w:t>
      </w:r>
      <w:r>
        <w:rPr>
          <w:rFonts w:cs="Times New Roman"/>
          <w:szCs w:val="24"/>
        </w:rPr>
        <w:t xml:space="preserve">, it can be observed that the majority of the respondents, accounting for 55.9%, possessed Diplomas certificates. The results imply that devolved healthcare services rely more on diploma holders but there is an increasing absorption of employees with higher qualifications. This was followed by employees with Degree certificates, comprising 31.4% of the sample. This finding </w:t>
      </w:r>
      <w:r>
        <w:rPr>
          <w:rFonts w:cs="Times New Roman"/>
          <w:szCs w:val="24"/>
        </w:rPr>
        <w:lastRenderedPageBreak/>
        <w:t xml:space="preserve">implies that a substantial proportion of respondents have obtained higher education which could contribute to enhanced </w:t>
      </w:r>
      <w:bookmarkStart w:id="953" w:name="_Hlk186455746"/>
      <w:r>
        <w:rPr>
          <w:rFonts w:cs="Times New Roman"/>
          <w:szCs w:val="24"/>
        </w:rPr>
        <w:t xml:space="preserve">skills, knowledge, and competencies </w:t>
      </w:r>
      <w:bookmarkEnd w:id="953"/>
      <w:r>
        <w:rPr>
          <w:rFonts w:cs="Times New Roman"/>
          <w:szCs w:val="24"/>
        </w:rPr>
        <w:t>within the healthcare services. These skills, knowledge, and competencies are important because they influence employee performance and level of decision-making. This result is aligned with a study by Owino and Kwasira (2016), who noted that the level of education plays a significant role in the development of managerial skills.</w:t>
      </w:r>
    </w:p>
    <w:p w14:paraId="0699B8BE" w14:textId="77777777" w:rsidR="009F33CD" w:rsidRDefault="00E40740">
      <w:pPr>
        <w:spacing w:after="240"/>
        <w:rPr>
          <w:rFonts w:cs="Times New Roman"/>
          <w:szCs w:val="24"/>
        </w:rPr>
      </w:pPr>
      <w:r>
        <w:rPr>
          <w:rFonts w:cs="Times New Roman"/>
          <w:szCs w:val="24"/>
        </w:rPr>
        <w:t xml:space="preserve"> A smaller proportion of respondents held Masters Degrees, representing 10.2% of the participants.</w:t>
      </w:r>
      <w:r>
        <w:t xml:space="preserve"> These respondents comprising 10% can bring specialized knowledge and expertise to their roles, potentially driving innovation and improvements in the performance of healthcare services. These findings imply that Healthcare facilities may need to provide tailored training programs to cater to the varying education levels, ensuring all employees are equipped with the necessary skills and knowledge to perform effectively. This finding is </w:t>
      </w:r>
      <w:r>
        <w:rPr>
          <w:lang w:val="en-US"/>
        </w:rPr>
        <w:t>in-congruent</w:t>
      </w:r>
      <w:r>
        <w:t xml:space="preserve"> with Opatha (2015) who suggests that o</w:t>
      </w:r>
      <w:r>
        <w:rPr>
          <w:rFonts w:cs="Times New Roman"/>
          <w:szCs w:val="24"/>
        </w:rPr>
        <w:t xml:space="preserve">rganizations conduct intensive and systematic education, training, and development programs for their employees to enhance good organizational performance and environmental management. Lastly, employees with Certificates constituted the smallest portion, with only 2.5% of the respondents falling into this category.  </w:t>
      </w:r>
    </w:p>
    <w:p w14:paraId="5251071F" w14:textId="77777777" w:rsidR="009F33CD" w:rsidRDefault="00E40740">
      <w:pPr>
        <w:pStyle w:val="Heading3"/>
      </w:pPr>
      <w:bookmarkStart w:id="954" w:name="_Toc139981659"/>
      <w:bookmarkStart w:id="955" w:name="_Toc165626382"/>
      <w:bookmarkStart w:id="956" w:name="_Toc178940591"/>
      <w:bookmarkStart w:id="957" w:name="_Toc178944290"/>
      <w:bookmarkStart w:id="958" w:name="_Toc165623601"/>
      <w:bookmarkStart w:id="959" w:name="_Toc178942632"/>
      <w:bookmarkStart w:id="960" w:name="_Toc147950238"/>
      <w:bookmarkStart w:id="961" w:name="_Toc178945042"/>
      <w:bookmarkStart w:id="962" w:name="_Toc185614081"/>
      <w:bookmarkStart w:id="963" w:name="_Toc187080853"/>
      <w:bookmarkStart w:id="964" w:name="_Toc188130629"/>
      <w:bookmarkStart w:id="965" w:name="_Toc188443976"/>
      <w:bookmarkStart w:id="966" w:name="_Toc188442602"/>
      <w:bookmarkStart w:id="967" w:name="_Toc224160666"/>
      <w:bookmarkStart w:id="968" w:name="_Toc224237728"/>
      <w:r>
        <w:t>4.4.6 Length of Service</w:t>
      </w:r>
      <w:bookmarkEnd w:id="954"/>
      <w:bookmarkEnd w:id="955"/>
      <w:bookmarkEnd w:id="956"/>
      <w:bookmarkEnd w:id="957"/>
      <w:bookmarkEnd w:id="958"/>
      <w:bookmarkEnd w:id="959"/>
      <w:bookmarkEnd w:id="960"/>
      <w:bookmarkEnd w:id="961"/>
      <w:r>
        <w:t xml:space="preserve"> of Respondents</w:t>
      </w:r>
      <w:bookmarkEnd w:id="962"/>
      <w:bookmarkEnd w:id="963"/>
      <w:bookmarkEnd w:id="964"/>
      <w:bookmarkEnd w:id="965"/>
      <w:bookmarkEnd w:id="966"/>
      <w:bookmarkEnd w:id="967"/>
      <w:bookmarkEnd w:id="968"/>
    </w:p>
    <w:p w14:paraId="098B0FA6" w14:textId="77777777" w:rsidR="009F33CD" w:rsidRDefault="00E40740">
      <w:pPr>
        <w:spacing w:after="240"/>
        <w:rPr>
          <w:rFonts w:cs="Times New Roman"/>
          <w:szCs w:val="24"/>
        </w:rPr>
      </w:pPr>
      <w:r>
        <w:rPr>
          <w:rFonts w:cs="Times New Roman"/>
          <w:szCs w:val="24"/>
        </w:rPr>
        <w:t>The respondents were asked to indicate the length of service in their respective Level Five Hospitals. This was necessary to ascertain the number of years the respondents had worked to gain experience and the ability to navigate complex issues at work. The fin</w:t>
      </w:r>
      <w:r w:rsidR="003F4007">
        <w:rPr>
          <w:rFonts w:cs="Times New Roman"/>
          <w:szCs w:val="24"/>
        </w:rPr>
        <w:t>dings are presented in Table 4.9</w:t>
      </w:r>
      <w:r>
        <w:rPr>
          <w:rFonts w:cs="Times New Roman"/>
          <w:szCs w:val="24"/>
        </w:rPr>
        <w:t>.</w:t>
      </w:r>
    </w:p>
    <w:p w14:paraId="36E40F8C" w14:textId="77777777" w:rsidR="009F33CD" w:rsidRDefault="000748E0" w:rsidP="00E53B8A">
      <w:pPr>
        <w:pStyle w:val="Heading6"/>
      </w:pPr>
      <w:bookmarkStart w:id="969" w:name="_Toc165623602"/>
      <w:bookmarkStart w:id="970" w:name="_Toc165626383"/>
      <w:bookmarkStart w:id="971" w:name="_Toc147950239"/>
      <w:bookmarkStart w:id="972" w:name="_Toc147946900"/>
      <w:bookmarkStart w:id="973" w:name="_Toc139986460"/>
      <w:bookmarkStart w:id="974" w:name="_Toc139987487"/>
      <w:bookmarkStart w:id="975" w:name="_Toc139981660"/>
      <w:bookmarkStart w:id="976" w:name="_Toc178940592"/>
      <w:bookmarkStart w:id="977" w:name="_Toc178945043"/>
      <w:bookmarkStart w:id="978" w:name="_Toc178944291"/>
      <w:bookmarkStart w:id="979" w:name="_Toc178942633"/>
      <w:bookmarkStart w:id="980" w:name="_Toc185614082"/>
      <w:bookmarkStart w:id="981" w:name="_Toc187080854"/>
      <w:bookmarkStart w:id="982" w:name="_Toc224237438"/>
      <w:r>
        <w:t>Table 4.9</w:t>
      </w:r>
      <w:r w:rsidR="00E40740">
        <w:t>: Findings for Length of Service</w:t>
      </w:r>
      <w:bookmarkEnd w:id="969"/>
      <w:bookmarkEnd w:id="970"/>
      <w:bookmarkEnd w:id="971"/>
      <w:bookmarkEnd w:id="972"/>
      <w:bookmarkEnd w:id="973"/>
      <w:bookmarkEnd w:id="974"/>
      <w:bookmarkEnd w:id="975"/>
      <w:bookmarkEnd w:id="976"/>
      <w:bookmarkEnd w:id="977"/>
      <w:bookmarkEnd w:id="978"/>
      <w:bookmarkEnd w:id="979"/>
      <w:r w:rsidR="00E40740">
        <w:t xml:space="preserve"> of Respondents</w:t>
      </w:r>
      <w:bookmarkEnd w:id="980"/>
      <w:bookmarkEnd w:id="981"/>
      <w:bookmarkEnd w:id="982"/>
      <w:r w:rsidR="00E40740">
        <w:t xml:space="preserve"> </w:t>
      </w: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16"/>
        <w:gridCol w:w="3773"/>
        <w:gridCol w:w="3206"/>
        <w:gridCol w:w="1225"/>
      </w:tblGrid>
      <w:tr w:rsidR="009F33CD" w14:paraId="33BABE27" w14:textId="77777777">
        <w:trPr>
          <w:cantSplit/>
          <w:trHeight w:val="45"/>
        </w:trPr>
        <w:tc>
          <w:tcPr>
            <w:tcW w:w="2305" w:type="pct"/>
            <w:gridSpan w:val="2"/>
            <w:tcBorders>
              <w:top w:val="single" w:sz="4" w:space="0" w:color="auto"/>
              <w:bottom w:val="single" w:sz="4" w:space="0" w:color="auto"/>
            </w:tcBorders>
            <w:shd w:val="clear" w:color="auto" w:fill="FFFFFF"/>
          </w:tcPr>
          <w:p w14:paraId="66354932" w14:textId="77777777" w:rsidR="009F33CD" w:rsidRDefault="00E40740" w:rsidP="00513500">
            <w:pPr>
              <w:spacing w:before="0" w:beforeAutospacing="0" w:after="0" w:afterAutospacing="0" w:line="240" w:lineRule="auto"/>
              <w:ind w:left="60" w:right="60"/>
              <w:rPr>
                <w:rFonts w:cs="Times New Roman"/>
                <w:b/>
                <w:bCs/>
                <w:color w:val="000000"/>
                <w:szCs w:val="24"/>
              </w:rPr>
            </w:pPr>
            <w:r>
              <w:rPr>
                <w:rFonts w:cs="Times New Roman"/>
                <w:b/>
                <w:bCs/>
                <w:color w:val="000000"/>
                <w:szCs w:val="24"/>
              </w:rPr>
              <w:t>Length of service</w:t>
            </w:r>
          </w:p>
        </w:tc>
        <w:tc>
          <w:tcPr>
            <w:tcW w:w="1950" w:type="pct"/>
            <w:tcBorders>
              <w:top w:val="single" w:sz="4" w:space="0" w:color="auto"/>
              <w:bottom w:val="single" w:sz="4" w:space="0" w:color="auto"/>
            </w:tcBorders>
            <w:shd w:val="clear" w:color="auto" w:fill="FFFFFF"/>
          </w:tcPr>
          <w:p w14:paraId="2545ED1D" w14:textId="77777777" w:rsidR="009F33CD" w:rsidRDefault="00E40740" w:rsidP="0051350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Frequency</w:t>
            </w:r>
          </w:p>
        </w:tc>
        <w:tc>
          <w:tcPr>
            <w:tcW w:w="745" w:type="pct"/>
            <w:tcBorders>
              <w:top w:val="single" w:sz="4" w:space="0" w:color="auto"/>
              <w:bottom w:val="single" w:sz="4" w:space="0" w:color="auto"/>
            </w:tcBorders>
            <w:shd w:val="clear" w:color="auto" w:fill="FFFFFF"/>
          </w:tcPr>
          <w:p w14:paraId="06A6453C" w14:textId="77777777" w:rsidR="009F33CD" w:rsidRDefault="00E40740" w:rsidP="0051350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Percent</w:t>
            </w:r>
          </w:p>
        </w:tc>
      </w:tr>
      <w:tr w:rsidR="009F33CD" w14:paraId="2B8BB7E7" w14:textId="77777777">
        <w:trPr>
          <w:cantSplit/>
          <w:trHeight w:val="45"/>
        </w:trPr>
        <w:tc>
          <w:tcPr>
            <w:tcW w:w="10" w:type="pct"/>
            <w:vMerge w:val="restart"/>
            <w:tcBorders>
              <w:top w:val="single" w:sz="4" w:space="0" w:color="auto"/>
            </w:tcBorders>
            <w:shd w:val="clear" w:color="auto" w:fill="FFFFFF"/>
            <w:vAlign w:val="center"/>
          </w:tcPr>
          <w:p w14:paraId="1E1DB038" w14:textId="77777777" w:rsidR="009F33CD" w:rsidRDefault="009F33CD">
            <w:pPr>
              <w:spacing w:before="0" w:beforeAutospacing="0" w:after="0" w:afterAutospacing="0" w:line="240" w:lineRule="auto"/>
              <w:ind w:left="60" w:right="60"/>
              <w:rPr>
                <w:rFonts w:cs="Times New Roman"/>
                <w:color w:val="000000"/>
                <w:szCs w:val="24"/>
              </w:rPr>
            </w:pPr>
          </w:p>
        </w:tc>
        <w:tc>
          <w:tcPr>
            <w:tcW w:w="2295" w:type="pct"/>
            <w:tcBorders>
              <w:top w:val="single" w:sz="4" w:space="0" w:color="auto"/>
            </w:tcBorders>
            <w:shd w:val="clear" w:color="auto" w:fill="FFFFFF"/>
            <w:vAlign w:val="center"/>
          </w:tcPr>
          <w:p w14:paraId="73FE03D8"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0 -5 years</w:t>
            </w:r>
          </w:p>
        </w:tc>
        <w:tc>
          <w:tcPr>
            <w:tcW w:w="1950" w:type="pct"/>
            <w:tcBorders>
              <w:top w:val="single" w:sz="4" w:space="0" w:color="auto"/>
            </w:tcBorders>
            <w:shd w:val="clear" w:color="auto" w:fill="FFFFFF"/>
            <w:vAlign w:val="center"/>
          </w:tcPr>
          <w:p w14:paraId="72E67BD0"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35</w:t>
            </w:r>
          </w:p>
        </w:tc>
        <w:tc>
          <w:tcPr>
            <w:tcW w:w="745" w:type="pct"/>
            <w:tcBorders>
              <w:top w:val="single" w:sz="4" w:space="0" w:color="auto"/>
            </w:tcBorders>
            <w:shd w:val="clear" w:color="auto" w:fill="FFFFFF"/>
            <w:vAlign w:val="center"/>
          </w:tcPr>
          <w:p w14:paraId="0F28CEA1"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29.7</w:t>
            </w:r>
          </w:p>
        </w:tc>
      </w:tr>
      <w:tr w:rsidR="009F33CD" w14:paraId="15A84F46" w14:textId="77777777">
        <w:trPr>
          <w:cantSplit/>
          <w:trHeight w:val="146"/>
        </w:trPr>
        <w:tc>
          <w:tcPr>
            <w:tcW w:w="10" w:type="pct"/>
            <w:vMerge/>
            <w:shd w:val="clear" w:color="auto" w:fill="FFFFFF"/>
            <w:vAlign w:val="center"/>
          </w:tcPr>
          <w:p w14:paraId="2A1AE259" w14:textId="77777777" w:rsidR="009F33CD" w:rsidRDefault="009F33CD">
            <w:pPr>
              <w:spacing w:before="0" w:beforeAutospacing="0" w:after="0" w:afterAutospacing="0" w:line="240" w:lineRule="auto"/>
              <w:rPr>
                <w:rFonts w:cs="Times New Roman"/>
                <w:color w:val="000000"/>
                <w:szCs w:val="24"/>
              </w:rPr>
            </w:pPr>
          </w:p>
        </w:tc>
        <w:tc>
          <w:tcPr>
            <w:tcW w:w="2295" w:type="pct"/>
            <w:shd w:val="clear" w:color="auto" w:fill="FFFFFF"/>
            <w:vAlign w:val="center"/>
          </w:tcPr>
          <w:p w14:paraId="646A4A78"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6 – 10 years</w:t>
            </w:r>
          </w:p>
        </w:tc>
        <w:tc>
          <w:tcPr>
            <w:tcW w:w="1950" w:type="pct"/>
            <w:shd w:val="clear" w:color="auto" w:fill="FFFFFF"/>
            <w:vAlign w:val="center"/>
          </w:tcPr>
          <w:p w14:paraId="5CB7CB23"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21</w:t>
            </w:r>
          </w:p>
        </w:tc>
        <w:tc>
          <w:tcPr>
            <w:tcW w:w="745" w:type="pct"/>
            <w:shd w:val="clear" w:color="auto" w:fill="FFFFFF"/>
            <w:vAlign w:val="center"/>
          </w:tcPr>
          <w:p w14:paraId="11F8ECFD"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17.8</w:t>
            </w:r>
          </w:p>
        </w:tc>
      </w:tr>
      <w:tr w:rsidR="009F33CD" w14:paraId="1EC4F512" w14:textId="77777777">
        <w:trPr>
          <w:cantSplit/>
          <w:trHeight w:val="55"/>
        </w:trPr>
        <w:tc>
          <w:tcPr>
            <w:tcW w:w="10" w:type="pct"/>
            <w:vMerge/>
            <w:shd w:val="clear" w:color="auto" w:fill="FFFFFF"/>
            <w:vAlign w:val="center"/>
          </w:tcPr>
          <w:p w14:paraId="74F5EE18" w14:textId="77777777" w:rsidR="009F33CD" w:rsidRDefault="009F33CD">
            <w:pPr>
              <w:spacing w:before="0" w:beforeAutospacing="0" w:after="0" w:afterAutospacing="0" w:line="240" w:lineRule="auto"/>
              <w:rPr>
                <w:rFonts w:cs="Times New Roman"/>
                <w:color w:val="000000"/>
                <w:szCs w:val="24"/>
              </w:rPr>
            </w:pPr>
          </w:p>
        </w:tc>
        <w:tc>
          <w:tcPr>
            <w:tcW w:w="2295" w:type="pct"/>
            <w:shd w:val="clear" w:color="auto" w:fill="FFFFFF"/>
            <w:vAlign w:val="center"/>
          </w:tcPr>
          <w:p w14:paraId="19BBFB5E"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11 – 15 years</w:t>
            </w:r>
          </w:p>
        </w:tc>
        <w:tc>
          <w:tcPr>
            <w:tcW w:w="1950" w:type="pct"/>
            <w:shd w:val="clear" w:color="auto" w:fill="FFFFFF"/>
            <w:vAlign w:val="center"/>
          </w:tcPr>
          <w:p w14:paraId="5BA7074F"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18</w:t>
            </w:r>
          </w:p>
        </w:tc>
        <w:tc>
          <w:tcPr>
            <w:tcW w:w="745" w:type="pct"/>
            <w:shd w:val="clear" w:color="auto" w:fill="FFFFFF"/>
            <w:vAlign w:val="center"/>
          </w:tcPr>
          <w:p w14:paraId="31D04A73"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15.3</w:t>
            </w:r>
          </w:p>
        </w:tc>
      </w:tr>
      <w:tr w:rsidR="009F33CD" w14:paraId="4D5C5775" w14:textId="77777777">
        <w:trPr>
          <w:cantSplit/>
          <w:trHeight w:val="70"/>
        </w:trPr>
        <w:tc>
          <w:tcPr>
            <w:tcW w:w="10" w:type="pct"/>
            <w:vMerge/>
            <w:shd w:val="clear" w:color="auto" w:fill="FFFFFF"/>
            <w:vAlign w:val="center"/>
          </w:tcPr>
          <w:p w14:paraId="04FA7E79" w14:textId="77777777" w:rsidR="009F33CD" w:rsidRDefault="009F33CD">
            <w:pPr>
              <w:spacing w:before="0" w:beforeAutospacing="0" w:after="0" w:afterAutospacing="0" w:line="240" w:lineRule="auto"/>
              <w:rPr>
                <w:rFonts w:cs="Times New Roman"/>
                <w:color w:val="000000"/>
                <w:szCs w:val="24"/>
              </w:rPr>
            </w:pPr>
          </w:p>
        </w:tc>
        <w:tc>
          <w:tcPr>
            <w:tcW w:w="2295" w:type="pct"/>
            <w:shd w:val="clear" w:color="auto" w:fill="FFFFFF"/>
            <w:vAlign w:val="center"/>
          </w:tcPr>
          <w:p w14:paraId="18D28DA6"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16 – 20 years</w:t>
            </w:r>
          </w:p>
        </w:tc>
        <w:tc>
          <w:tcPr>
            <w:tcW w:w="1950" w:type="pct"/>
            <w:shd w:val="clear" w:color="auto" w:fill="FFFFFF"/>
            <w:vAlign w:val="center"/>
          </w:tcPr>
          <w:p w14:paraId="6090DACA"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8</w:t>
            </w:r>
          </w:p>
        </w:tc>
        <w:tc>
          <w:tcPr>
            <w:tcW w:w="745" w:type="pct"/>
            <w:shd w:val="clear" w:color="auto" w:fill="FFFFFF"/>
            <w:vAlign w:val="center"/>
          </w:tcPr>
          <w:p w14:paraId="30266E25"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6.8</w:t>
            </w:r>
          </w:p>
        </w:tc>
      </w:tr>
      <w:tr w:rsidR="009F33CD" w14:paraId="3576026F" w14:textId="77777777" w:rsidTr="00E53B8A">
        <w:trPr>
          <w:cantSplit/>
          <w:trHeight w:val="55"/>
        </w:trPr>
        <w:tc>
          <w:tcPr>
            <w:tcW w:w="10" w:type="pct"/>
            <w:vMerge/>
            <w:shd w:val="clear" w:color="auto" w:fill="FFFFFF"/>
            <w:vAlign w:val="center"/>
          </w:tcPr>
          <w:p w14:paraId="6A94116C" w14:textId="77777777" w:rsidR="009F33CD" w:rsidRDefault="009F33CD">
            <w:pPr>
              <w:spacing w:before="0" w:beforeAutospacing="0" w:after="0" w:afterAutospacing="0" w:line="240" w:lineRule="auto"/>
              <w:rPr>
                <w:rFonts w:cs="Times New Roman"/>
                <w:color w:val="000000"/>
                <w:szCs w:val="24"/>
              </w:rPr>
            </w:pPr>
          </w:p>
        </w:tc>
        <w:tc>
          <w:tcPr>
            <w:tcW w:w="2295" w:type="pct"/>
            <w:tcBorders>
              <w:bottom w:val="nil"/>
            </w:tcBorders>
            <w:shd w:val="clear" w:color="auto" w:fill="FFFFFF"/>
            <w:vAlign w:val="center"/>
          </w:tcPr>
          <w:p w14:paraId="4D6D47FB" w14:textId="77777777" w:rsidR="009F33CD" w:rsidRDefault="00E40740">
            <w:pPr>
              <w:spacing w:before="0" w:beforeAutospacing="0" w:after="0" w:afterAutospacing="0" w:line="240" w:lineRule="auto"/>
              <w:ind w:left="60" w:right="60"/>
              <w:rPr>
                <w:rFonts w:cs="Times New Roman"/>
                <w:color w:val="000000"/>
                <w:szCs w:val="24"/>
              </w:rPr>
            </w:pPr>
            <w:r>
              <w:rPr>
                <w:rFonts w:cs="Times New Roman"/>
                <w:color w:val="000000"/>
                <w:szCs w:val="24"/>
              </w:rPr>
              <w:t>Above 21 years</w:t>
            </w:r>
          </w:p>
        </w:tc>
        <w:tc>
          <w:tcPr>
            <w:tcW w:w="1950" w:type="pct"/>
            <w:tcBorders>
              <w:bottom w:val="nil"/>
            </w:tcBorders>
            <w:shd w:val="clear" w:color="auto" w:fill="FFFFFF"/>
            <w:vAlign w:val="center"/>
          </w:tcPr>
          <w:p w14:paraId="746F49AA"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36</w:t>
            </w:r>
          </w:p>
        </w:tc>
        <w:tc>
          <w:tcPr>
            <w:tcW w:w="745" w:type="pct"/>
            <w:tcBorders>
              <w:bottom w:val="nil"/>
            </w:tcBorders>
            <w:shd w:val="clear" w:color="auto" w:fill="FFFFFF"/>
            <w:vAlign w:val="center"/>
          </w:tcPr>
          <w:p w14:paraId="6C69E4A8" w14:textId="77777777" w:rsidR="009F33CD" w:rsidRDefault="00E40740">
            <w:pPr>
              <w:spacing w:before="0" w:beforeAutospacing="0" w:after="0" w:afterAutospacing="0" w:line="240" w:lineRule="auto"/>
              <w:ind w:left="60" w:right="60"/>
              <w:jc w:val="center"/>
              <w:rPr>
                <w:rFonts w:cs="Times New Roman"/>
                <w:color w:val="000000"/>
                <w:szCs w:val="24"/>
              </w:rPr>
            </w:pPr>
            <w:r>
              <w:rPr>
                <w:rFonts w:cs="Times New Roman"/>
                <w:color w:val="000000"/>
                <w:szCs w:val="24"/>
              </w:rPr>
              <w:t>30.5</w:t>
            </w:r>
          </w:p>
        </w:tc>
      </w:tr>
      <w:tr w:rsidR="009F33CD" w14:paraId="24502F6D" w14:textId="77777777" w:rsidTr="00E53B8A">
        <w:trPr>
          <w:cantSplit/>
          <w:trHeight w:val="45"/>
        </w:trPr>
        <w:tc>
          <w:tcPr>
            <w:tcW w:w="10" w:type="pct"/>
            <w:vMerge/>
            <w:shd w:val="clear" w:color="auto" w:fill="FFFFFF"/>
            <w:vAlign w:val="center"/>
          </w:tcPr>
          <w:p w14:paraId="0B482A7A" w14:textId="77777777" w:rsidR="009F33CD" w:rsidRDefault="009F33CD">
            <w:pPr>
              <w:spacing w:before="0" w:beforeAutospacing="0" w:after="0" w:afterAutospacing="0" w:line="240" w:lineRule="auto"/>
              <w:rPr>
                <w:rFonts w:cs="Times New Roman"/>
                <w:color w:val="000000"/>
                <w:szCs w:val="24"/>
              </w:rPr>
            </w:pPr>
          </w:p>
        </w:tc>
        <w:tc>
          <w:tcPr>
            <w:tcW w:w="2295" w:type="pct"/>
            <w:tcBorders>
              <w:top w:val="nil"/>
              <w:bottom w:val="single" w:sz="4" w:space="0" w:color="auto"/>
            </w:tcBorders>
            <w:shd w:val="clear" w:color="auto" w:fill="FFFFFF"/>
            <w:vAlign w:val="center"/>
          </w:tcPr>
          <w:p w14:paraId="6A924F1A" w14:textId="77777777" w:rsidR="009F33CD" w:rsidRDefault="00E40740">
            <w:pPr>
              <w:spacing w:before="0" w:beforeAutospacing="0" w:after="0" w:afterAutospacing="0" w:line="240" w:lineRule="auto"/>
              <w:ind w:left="60" w:right="60"/>
              <w:rPr>
                <w:rFonts w:cs="Times New Roman"/>
                <w:b/>
                <w:bCs/>
                <w:color w:val="000000"/>
                <w:szCs w:val="24"/>
              </w:rPr>
            </w:pPr>
            <w:r>
              <w:rPr>
                <w:rFonts w:cs="Times New Roman"/>
                <w:b/>
                <w:bCs/>
                <w:color w:val="000000"/>
                <w:szCs w:val="24"/>
              </w:rPr>
              <w:t>Total</w:t>
            </w:r>
          </w:p>
        </w:tc>
        <w:tc>
          <w:tcPr>
            <w:tcW w:w="1950" w:type="pct"/>
            <w:tcBorders>
              <w:top w:val="nil"/>
              <w:bottom w:val="single" w:sz="4" w:space="0" w:color="auto"/>
            </w:tcBorders>
            <w:shd w:val="clear" w:color="auto" w:fill="FFFFFF"/>
            <w:vAlign w:val="center"/>
          </w:tcPr>
          <w:p w14:paraId="09F18EE9"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118</w:t>
            </w:r>
          </w:p>
        </w:tc>
        <w:tc>
          <w:tcPr>
            <w:tcW w:w="745" w:type="pct"/>
            <w:tcBorders>
              <w:top w:val="nil"/>
              <w:bottom w:val="single" w:sz="4" w:space="0" w:color="auto"/>
            </w:tcBorders>
            <w:shd w:val="clear" w:color="auto" w:fill="FFFFFF"/>
            <w:vAlign w:val="center"/>
          </w:tcPr>
          <w:p w14:paraId="13043ACB" w14:textId="77777777" w:rsidR="009F33CD" w:rsidRDefault="00E40740">
            <w:pPr>
              <w:spacing w:before="0" w:beforeAutospacing="0" w:after="0" w:afterAutospacing="0" w:line="240" w:lineRule="auto"/>
              <w:ind w:left="60" w:right="60"/>
              <w:jc w:val="center"/>
              <w:rPr>
                <w:rFonts w:cs="Times New Roman"/>
                <w:b/>
                <w:bCs/>
                <w:color w:val="000000"/>
                <w:szCs w:val="24"/>
              </w:rPr>
            </w:pPr>
            <w:r>
              <w:rPr>
                <w:rFonts w:cs="Times New Roman"/>
                <w:b/>
                <w:bCs/>
                <w:color w:val="000000"/>
                <w:szCs w:val="24"/>
              </w:rPr>
              <w:t>100.0</w:t>
            </w:r>
          </w:p>
        </w:tc>
      </w:tr>
    </w:tbl>
    <w:p w14:paraId="33382C7C" w14:textId="77777777" w:rsidR="009F33CD" w:rsidRDefault="00E40740">
      <w:pPr>
        <w:rPr>
          <w:rFonts w:cs="Times New Roman"/>
          <w:szCs w:val="24"/>
        </w:rPr>
      </w:pPr>
      <w:r>
        <w:rPr>
          <w:rFonts w:cs="Times New Roman"/>
          <w:szCs w:val="24"/>
        </w:rPr>
        <w:lastRenderedPageBreak/>
        <w:t xml:space="preserve">Most of the respondents have served for above 21 years at 30.5%, followed closely by those who have served for 0-5 years at 29.7%, 6-10 years at 17.8%, 11-15 years at 15.3%, and lastly 16-20 years at 6.8%. </w:t>
      </w:r>
    </w:p>
    <w:p w14:paraId="0D0F5A41" w14:textId="77777777" w:rsidR="009F33CD" w:rsidRDefault="00E40740">
      <w:pPr>
        <w:rPr>
          <w:rFonts w:cs="Times New Roman"/>
          <w:szCs w:val="24"/>
        </w:rPr>
      </w:pPr>
      <w:r>
        <w:rPr>
          <w:rFonts w:cs="Times New Roman"/>
          <w:szCs w:val="24"/>
        </w:rPr>
        <w:t>The findings imply that the majority of the respondents had served in their respective Level Five Hospitals for more than 21 years indicating that the hospitals have a high level of employee retention. This finding implies that the employees have the necessary experience and skills to deliver healthcare services and embrace eco-friendly practices.</w:t>
      </w:r>
    </w:p>
    <w:p w14:paraId="210634D9" w14:textId="77777777" w:rsidR="009F33CD" w:rsidRDefault="003F4007">
      <w:pPr>
        <w:rPr>
          <w:rFonts w:cs="Times New Roman"/>
          <w:szCs w:val="24"/>
        </w:rPr>
      </w:pPr>
      <w:r>
        <w:rPr>
          <w:rFonts w:cs="Times New Roman"/>
          <w:szCs w:val="24"/>
        </w:rPr>
        <w:t>From the results in Table 4.9</w:t>
      </w:r>
      <w:r w:rsidR="00E40740">
        <w:rPr>
          <w:rFonts w:cs="Times New Roman"/>
          <w:szCs w:val="24"/>
        </w:rPr>
        <w:t>, the majority of the respondents, 70.3% had worked in their respective hospitals for over six years. This implies that respondents had a considerable amount of experience, valuable skills, and institutional knowledge about the healthcare system, and this could be beneficial for improving and maintaining quality eco-friendly healthcare services. The years of service distribution further suggest that the majority of the respondents were working in the health facilities before healthcare services were devolved in 2013, and were absorbed by the county governments when they took over the health sector functions. This transition of the employees indicates their adaptability and resilience which is a good sign of high employee retention within Level Five hospitals. This retention of the employees is also important in ensuring that the hospitals do not experience any major disruptions in the delivery of healthcare services during the transition period.  Further illustrations are explained in Figure 4.2.</w:t>
      </w:r>
    </w:p>
    <w:p w14:paraId="06263C62" w14:textId="77777777" w:rsidR="00513500" w:rsidRDefault="00E40740" w:rsidP="00513500">
      <w:r>
        <w:rPr>
          <w:rFonts w:cs="Times New Roman"/>
          <w:noProof/>
          <w:szCs w:val="24"/>
          <w:lang w:val="en-US"/>
        </w:rPr>
        <w:lastRenderedPageBreak/>
        <w:drawing>
          <wp:inline distT="0" distB="0" distL="0" distR="0" wp14:anchorId="507DA607" wp14:editId="7F572FCF">
            <wp:extent cx="5314950" cy="2642216"/>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l="2279" t="2814" b="2596"/>
                    <a:stretch>
                      <a:fillRect/>
                    </a:stretch>
                  </pic:blipFill>
                  <pic:spPr>
                    <a:xfrm>
                      <a:off x="0" y="0"/>
                      <a:ext cx="5364526" cy="2666862"/>
                    </a:xfrm>
                    <a:prstGeom prst="rect">
                      <a:avLst/>
                    </a:prstGeom>
                    <a:noFill/>
                    <a:ln>
                      <a:solidFill>
                        <a:schemeClr val="tx1"/>
                      </a:solidFill>
                    </a:ln>
                  </pic:spPr>
                </pic:pic>
              </a:graphicData>
            </a:graphic>
          </wp:inline>
        </w:drawing>
      </w:r>
      <w:bookmarkStart w:id="983" w:name="_Toc178942634"/>
      <w:bookmarkStart w:id="984" w:name="_Toc147946901"/>
      <w:bookmarkStart w:id="985" w:name="_Toc178945044"/>
      <w:bookmarkStart w:id="986" w:name="_Toc165626384"/>
      <w:bookmarkStart w:id="987" w:name="_Toc178944292"/>
      <w:bookmarkStart w:id="988" w:name="_Toc147950240"/>
      <w:bookmarkStart w:id="989" w:name="_Toc165623603"/>
      <w:bookmarkStart w:id="990" w:name="_Toc178940593"/>
      <w:bookmarkStart w:id="991" w:name="_Toc139986461"/>
      <w:bookmarkStart w:id="992" w:name="_Toc139987488"/>
      <w:bookmarkStart w:id="993" w:name="_Toc187080855"/>
      <w:bookmarkStart w:id="994" w:name="_Toc185614083"/>
      <w:bookmarkStart w:id="995" w:name="_Toc187996269"/>
    </w:p>
    <w:p w14:paraId="03E71D06" w14:textId="77777777" w:rsidR="009F33CD" w:rsidRPr="00513500" w:rsidRDefault="00E40740" w:rsidP="00E53B8A">
      <w:pPr>
        <w:pStyle w:val="Heading5"/>
        <w:rPr>
          <w:rFonts w:cs="Times New Roman"/>
          <w:szCs w:val="24"/>
        </w:rPr>
      </w:pPr>
      <w:r w:rsidRPr="00513500">
        <w:t>Figure 4.2: Findings for Length of Service</w:t>
      </w:r>
      <w:bookmarkEnd w:id="983"/>
      <w:bookmarkEnd w:id="984"/>
      <w:bookmarkEnd w:id="985"/>
      <w:bookmarkEnd w:id="986"/>
      <w:bookmarkEnd w:id="987"/>
      <w:bookmarkEnd w:id="988"/>
      <w:bookmarkEnd w:id="989"/>
      <w:bookmarkEnd w:id="990"/>
      <w:bookmarkEnd w:id="991"/>
      <w:bookmarkEnd w:id="992"/>
      <w:r w:rsidRPr="00513500">
        <w:t xml:space="preserve"> of Respondents</w:t>
      </w:r>
      <w:bookmarkEnd w:id="993"/>
      <w:bookmarkEnd w:id="994"/>
      <w:bookmarkEnd w:id="995"/>
    </w:p>
    <w:p w14:paraId="5451231B" w14:textId="77777777" w:rsidR="009F33CD" w:rsidRDefault="00E40740">
      <w:pPr>
        <w:pStyle w:val="Heading3"/>
      </w:pPr>
      <w:bookmarkStart w:id="996" w:name="_Toc185614084"/>
      <w:bookmarkStart w:id="997" w:name="_Toc187080856"/>
      <w:bookmarkStart w:id="998" w:name="_Toc188443977"/>
      <w:bookmarkStart w:id="999" w:name="_Toc178940594"/>
      <w:bookmarkStart w:id="1000" w:name="_Toc178945045"/>
      <w:bookmarkStart w:id="1001" w:name="_Toc188442603"/>
      <w:bookmarkStart w:id="1002" w:name="_Toc188130630"/>
      <w:bookmarkStart w:id="1003" w:name="_Toc178942635"/>
      <w:bookmarkStart w:id="1004" w:name="_Toc178944293"/>
      <w:bookmarkStart w:id="1005" w:name="_Toc224160667"/>
      <w:bookmarkStart w:id="1006" w:name="_Toc224237729"/>
      <w:r>
        <w:t>4.4.7 Respondent’s Department</w:t>
      </w:r>
      <w:bookmarkEnd w:id="996"/>
      <w:bookmarkEnd w:id="997"/>
      <w:bookmarkEnd w:id="998"/>
      <w:bookmarkEnd w:id="999"/>
      <w:bookmarkEnd w:id="1000"/>
      <w:bookmarkEnd w:id="1001"/>
      <w:bookmarkEnd w:id="1002"/>
      <w:bookmarkEnd w:id="1003"/>
      <w:bookmarkEnd w:id="1004"/>
      <w:bookmarkEnd w:id="1005"/>
      <w:bookmarkEnd w:id="1006"/>
    </w:p>
    <w:p w14:paraId="47BC97ED" w14:textId="77777777" w:rsidR="00513500" w:rsidRDefault="00E40740">
      <w:r>
        <w:t xml:space="preserve">The respondents were requested to indicate the department they were working. By indicating the departments, the study confirmed that the respondents were managers </w:t>
      </w:r>
      <w:r w:rsidR="00E3106E">
        <w:t xml:space="preserve">in charge of departments, </w:t>
      </w:r>
      <w:r>
        <w:t>section</w:t>
      </w:r>
      <w:r w:rsidR="00E3106E">
        <w:t>s</w:t>
      </w:r>
      <w:r>
        <w:t xml:space="preserve"> or unit</w:t>
      </w:r>
      <w:r w:rsidR="00E3106E">
        <w:t>s</w:t>
      </w:r>
      <w:r>
        <w:t xml:space="preserve"> in their hospitals. The data obtained was ana</w:t>
      </w:r>
      <w:r w:rsidR="003F4007">
        <w:t>lyzed and presented in Table 4.10</w:t>
      </w:r>
      <w:r w:rsidR="00513500">
        <w:t>.</w:t>
      </w:r>
    </w:p>
    <w:p w14:paraId="291D4620" w14:textId="77777777" w:rsidR="00E53B8A" w:rsidRDefault="00E53B8A">
      <w:pPr>
        <w:autoSpaceDE/>
        <w:autoSpaceDN/>
        <w:adjustRightInd/>
        <w:spacing w:before="0" w:beforeAutospacing="0" w:after="0" w:afterAutospacing="0" w:line="240" w:lineRule="auto"/>
        <w:jc w:val="left"/>
        <w:rPr>
          <w:rFonts w:eastAsiaTheme="majorEastAsia" w:cstheme="majorBidi"/>
          <w:b/>
        </w:rPr>
      </w:pPr>
      <w:bookmarkStart w:id="1007" w:name="_Toc187080857"/>
      <w:bookmarkStart w:id="1008" w:name="_Toc185614085"/>
      <w:bookmarkStart w:id="1009" w:name="_Toc178942636"/>
      <w:bookmarkStart w:id="1010" w:name="_Toc178944294"/>
      <w:bookmarkStart w:id="1011" w:name="_Toc178945046"/>
      <w:r>
        <w:br w:type="page"/>
      </w:r>
    </w:p>
    <w:p w14:paraId="63180A19" w14:textId="77777777" w:rsidR="009F33CD" w:rsidRDefault="00E40740">
      <w:pPr>
        <w:pStyle w:val="Heading6"/>
      </w:pPr>
      <w:bookmarkStart w:id="1012" w:name="_Toc224237439"/>
      <w:r>
        <w:lastRenderedPageBreak/>
        <w:t>Table 4.</w:t>
      </w:r>
      <w:r w:rsidR="000748E0">
        <w:t>10</w:t>
      </w:r>
      <w:r>
        <w:t>: Findings for Respondent’s Department</w:t>
      </w:r>
      <w:bookmarkEnd w:id="1007"/>
      <w:bookmarkEnd w:id="1008"/>
      <w:bookmarkEnd w:id="1009"/>
      <w:bookmarkEnd w:id="1010"/>
      <w:bookmarkEnd w:id="1011"/>
      <w:bookmarkEnd w:id="10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2505"/>
        <w:gridCol w:w="1993"/>
      </w:tblGrid>
      <w:tr w:rsidR="009F33CD" w14:paraId="4CA7EABA" w14:textId="77777777">
        <w:trPr>
          <w:trHeight w:val="425"/>
        </w:trPr>
        <w:tc>
          <w:tcPr>
            <w:tcW w:w="2264" w:type="pct"/>
            <w:tcBorders>
              <w:top w:val="single" w:sz="4" w:space="0" w:color="auto"/>
              <w:bottom w:val="single" w:sz="4" w:space="0" w:color="auto"/>
            </w:tcBorders>
          </w:tcPr>
          <w:p w14:paraId="2C483E12" w14:textId="77777777" w:rsidR="009F33CD" w:rsidRDefault="00E40740">
            <w:pPr>
              <w:spacing w:line="240" w:lineRule="auto"/>
              <w:rPr>
                <w:b/>
                <w:bCs/>
                <w:szCs w:val="24"/>
              </w:rPr>
            </w:pPr>
            <w:bookmarkStart w:id="1013" w:name="_Hlk174272821"/>
            <w:r>
              <w:rPr>
                <w:b/>
                <w:bCs/>
                <w:szCs w:val="24"/>
              </w:rPr>
              <w:t>Department</w:t>
            </w:r>
          </w:p>
        </w:tc>
        <w:tc>
          <w:tcPr>
            <w:tcW w:w="1524" w:type="pct"/>
            <w:tcBorders>
              <w:top w:val="single" w:sz="4" w:space="0" w:color="auto"/>
              <w:bottom w:val="single" w:sz="4" w:space="0" w:color="auto"/>
            </w:tcBorders>
          </w:tcPr>
          <w:p w14:paraId="6A81FBF9" w14:textId="77777777" w:rsidR="009F33CD" w:rsidRDefault="00E40740">
            <w:pPr>
              <w:spacing w:line="240" w:lineRule="auto"/>
              <w:jc w:val="center"/>
              <w:rPr>
                <w:b/>
                <w:bCs/>
                <w:szCs w:val="24"/>
              </w:rPr>
            </w:pPr>
            <w:r>
              <w:rPr>
                <w:b/>
                <w:bCs/>
                <w:szCs w:val="24"/>
              </w:rPr>
              <w:t>Respondents per Department</w:t>
            </w:r>
          </w:p>
        </w:tc>
        <w:tc>
          <w:tcPr>
            <w:tcW w:w="1212" w:type="pct"/>
            <w:tcBorders>
              <w:top w:val="single" w:sz="4" w:space="0" w:color="auto"/>
              <w:bottom w:val="single" w:sz="4" w:space="0" w:color="auto"/>
            </w:tcBorders>
          </w:tcPr>
          <w:p w14:paraId="17AC6B95" w14:textId="77777777" w:rsidR="009F33CD" w:rsidRDefault="00E40740">
            <w:pPr>
              <w:spacing w:line="240" w:lineRule="auto"/>
              <w:jc w:val="center"/>
              <w:rPr>
                <w:b/>
                <w:bCs/>
                <w:sz w:val="20"/>
                <w:szCs w:val="24"/>
              </w:rPr>
            </w:pPr>
            <w:r w:rsidRPr="00300636">
              <w:rPr>
                <w:b/>
                <w:bCs/>
                <w:szCs w:val="24"/>
              </w:rPr>
              <w:t>Percent</w:t>
            </w:r>
            <w:r>
              <w:rPr>
                <w:b/>
                <w:bCs/>
                <w:sz w:val="20"/>
                <w:szCs w:val="24"/>
              </w:rPr>
              <w:t xml:space="preserve"> (%)</w:t>
            </w:r>
          </w:p>
        </w:tc>
      </w:tr>
      <w:tr w:rsidR="009F33CD" w14:paraId="589E3589" w14:textId="77777777">
        <w:trPr>
          <w:trHeight w:val="150"/>
        </w:trPr>
        <w:tc>
          <w:tcPr>
            <w:tcW w:w="2264" w:type="pct"/>
            <w:tcBorders>
              <w:top w:val="single" w:sz="4" w:space="0" w:color="auto"/>
            </w:tcBorders>
          </w:tcPr>
          <w:p w14:paraId="60E4B2DE" w14:textId="77777777" w:rsidR="009F33CD" w:rsidRDefault="00E40740">
            <w:pPr>
              <w:spacing w:line="240" w:lineRule="auto"/>
              <w:rPr>
                <w:szCs w:val="24"/>
              </w:rPr>
            </w:pPr>
            <w:r>
              <w:rPr>
                <w:szCs w:val="24"/>
              </w:rPr>
              <w:t>Public Health</w:t>
            </w:r>
          </w:p>
        </w:tc>
        <w:tc>
          <w:tcPr>
            <w:tcW w:w="1524" w:type="pct"/>
            <w:tcBorders>
              <w:top w:val="single" w:sz="4" w:space="0" w:color="auto"/>
            </w:tcBorders>
          </w:tcPr>
          <w:p w14:paraId="40AECB8F" w14:textId="77777777" w:rsidR="009F33CD" w:rsidRDefault="00E40740">
            <w:pPr>
              <w:spacing w:line="240" w:lineRule="auto"/>
              <w:jc w:val="center"/>
              <w:rPr>
                <w:szCs w:val="24"/>
              </w:rPr>
            </w:pPr>
            <w:r>
              <w:rPr>
                <w:szCs w:val="24"/>
              </w:rPr>
              <w:t>7</w:t>
            </w:r>
          </w:p>
        </w:tc>
        <w:tc>
          <w:tcPr>
            <w:tcW w:w="1212" w:type="pct"/>
            <w:tcBorders>
              <w:top w:val="single" w:sz="4" w:space="0" w:color="auto"/>
            </w:tcBorders>
          </w:tcPr>
          <w:p w14:paraId="0CC40FC8" w14:textId="77777777" w:rsidR="009F33CD" w:rsidRPr="00300636" w:rsidRDefault="00E40740">
            <w:pPr>
              <w:spacing w:line="240" w:lineRule="auto"/>
              <w:jc w:val="center"/>
              <w:rPr>
                <w:szCs w:val="24"/>
              </w:rPr>
            </w:pPr>
            <w:r w:rsidRPr="00300636">
              <w:rPr>
                <w:szCs w:val="24"/>
              </w:rPr>
              <w:t>5.9</w:t>
            </w:r>
          </w:p>
        </w:tc>
      </w:tr>
      <w:tr w:rsidR="009F33CD" w14:paraId="7B0DF2C8" w14:textId="77777777">
        <w:trPr>
          <w:trHeight w:val="165"/>
        </w:trPr>
        <w:tc>
          <w:tcPr>
            <w:tcW w:w="2264" w:type="pct"/>
          </w:tcPr>
          <w:p w14:paraId="4878A65B" w14:textId="77777777" w:rsidR="009F33CD" w:rsidRDefault="00E40740">
            <w:pPr>
              <w:spacing w:line="240" w:lineRule="auto"/>
              <w:rPr>
                <w:szCs w:val="24"/>
              </w:rPr>
            </w:pPr>
            <w:r>
              <w:rPr>
                <w:szCs w:val="24"/>
              </w:rPr>
              <w:t>Information Technology</w:t>
            </w:r>
          </w:p>
        </w:tc>
        <w:tc>
          <w:tcPr>
            <w:tcW w:w="1524" w:type="pct"/>
          </w:tcPr>
          <w:p w14:paraId="5792C5E0" w14:textId="77777777" w:rsidR="009F33CD" w:rsidRDefault="00E40740">
            <w:pPr>
              <w:spacing w:line="240" w:lineRule="auto"/>
              <w:jc w:val="center"/>
              <w:rPr>
                <w:szCs w:val="24"/>
              </w:rPr>
            </w:pPr>
            <w:r>
              <w:rPr>
                <w:szCs w:val="24"/>
              </w:rPr>
              <w:t>3</w:t>
            </w:r>
          </w:p>
        </w:tc>
        <w:tc>
          <w:tcPr>
            <w:tcW w:w="1212" w:type="pct"/>
          </w:tcPr>
          <w:p w14:paraId="34BE13E4" w14:textId="77777777" w:rsidR="009F33CD" w:rsidRPr="00300636" w:rsidRDefault="00E40740">
            <w:pPr>
              <w:spacing w:line="240" w:lineRule="auto"/>
              <w:jc w:val="center"/>
              <w:rPr>
                <w:szCs w:val="24"/>
              </w:rPr>
            </w:pPr>
            <w:r w:rsidRPr="00300636">
              <w:rPr>
                <w:szCs w:val="24"/>
              </w:rPr>
              <w:t>2.5</w:t>
            </w:r>
          </w:p>
        </w:tc>
      </w:tr>
      <w:tr w:rsidR="009F33CD" w14:paraId="6759D83F" w14:textId="77777777">
        <w:trPr>
          <w:trHeight w:val="55"/>
        </w:trPr>
        <w:tc>
          <w:tcPr>
            <w:tcW w:w="2264" w:type="pct"/>
          </w:tcPr>
          <w:p w14:paraId="6127E481" w14:textId="77777777" w:rsidR="009F33CD" w:rsidRDefault="00E40740">
            <w:pPr>
              <w:spacing w:line="240" w:lineRule="auto"/>
              <w:rPr>
                <w:szCs w:val="24"/>
              </w:rPr>
            </w:pPr>
            <w:r>
              <w:rPr>
                <w:szCs w:val="24"/>
              </w:rPr>
              <w:t>Health Information (Medical Records)</w:t>
            </w:r>
          </w:p>
        </w:tc>
        <w:tc>
          <w:tcPr>
            <w:tcW w:w="1524" w:type="pct"/>
          </w:tcPr>
          <w:p w14:paraId="527620D3" w14:textId="77777777" w:rsidR="009F33CD" w:rsidRDefault="00E40740">
            <w:pPr>
              <w:spacing w:line="240" w:lineRule="auto"/>
              <w:jc w:val="center"/>
              <w:rPr>
                <w:szCs w:val="24"/>
              </w:rPr>
            </w:pPr>
            <w:r>
              <w:rPr>
                <w:szCs w:val="24"/>
              </w:rPr>
              <w:t>11</w:t>
            </w:r>
          </w:p>
        </w:tc>
        <w:tc>
          <w:tcPr>
            <w:tcW w:w="1212" w:type="pct"/>
          </w:tcPr>
          <w:p w14:paraId="18D61114" w14:textId="77777777" w:rsidR="009F33CD" w:rsidRPr="00300636" w:rsidRDefault="00E40740">
            <w:pPr>
              <w:spacing w:line="240" w:lineRule="auto"/>
              <w:jc w:val="center"/>
              <w:rPr>
                <w:szCs w:val="24"/>
              </w:rPr>
            </w:pPr>
            <w:r w:rsidRPr="00300636">
              <w:rPr>
                <w:szCs w:val="24"/>
              </w:rPr>
              <w:t>9.3</w:t>
            </w:r>
          </w:p>
        </w:tc>
      </w:tr>
      <w:tr w:rsidR="009F33CD" w14:paraId="39A829C9" w14:textId="77777777">
        <w:trPr>
          <w:trHeight w:val="55"/>
        </w:trPr>
        <w:tc>
          <w:tcPr>
            <w:tcW w:w="2264" w:type="pct"/>
          </w:tcPr>
          <w:p w14:paraId="7CC9DAA0" w14:textId="77777777" w:rsidR="009F33CD" w:rsidRDefault="00E40740">
            <w:pPr>
              <w:spacing w:line="240" w:lineRule="auto"/>
              <w:rPr>
                <w:szCs w:val="24"/>
              </w:rPr>
            </w:pPr>
            <w:r>
              <w:rPr>
                <w:szCs w:val="24"/>
              </w:rPr>
              <w:t>Physiotherapy</w:t>
            </w:r>
          </w:p>
        </w:tc>
        <w:tc>
          <w:tcPr>
            <w:tcW w:w="1524" w:type="pct"/>
          </w:tcPr>
          <w:p w14:paraId="66D521FC" w14:textId="77777777" w:rsidR="009F33CD" w:rsidRDefault="00E40740">
            <w:pPr>
              <w:spacing w:line="240" w:lineRule="auto"/>
              <w:jc w:val="center"/>
              <w:rPr>
                <w:szCs w:val="24"/>
              </w:rPr>
            </w:pPr>
            <w:r>
              <w:rPr>
                <w:szCs w:val="24"/>
              </w:rPr>
              <w:t>5</w:t>
            </w:r>
          </w:p>
        </w:tc>
        <w:tc>
          <w:tcPr>
            <w:tcW w:w="1212" w:type="pct"/>
          </w:tcPr>
          <w:p w14:paraId="1985B61D" w14:textId="77777777" w:rsidR="009F33CD" w:rsidRPr="00300636" w:rsidRDefault="00E40740">
            <w:pPr>
              <w:spacing w:line="240" w:lineRule="auto"/>
              <w:jc w:val="center"/>
              <w:rPr>
                <w:szCs w:val="24"/>
              </w:rPr>
            </w:pPr>
            <w:r w:rsidRPr="00300636">
              <w:rPr>
                <w:szCs w:val="24"/>
              </w:rPr>
              <w:t>4.2</w:t>
            </w:r>
          </w:p>
        </w:tc>
      </w:tr>
      <w:tr w:rsidR="009F33CD" w14:paraId="51834A0A" w14:textId="77777777">
        <w:trPr>
          <w:trHeight w:val="55"/>
        </w:trPr>
        <w:tc>
          <w:tcPr>
            <w:tcW w:w="2264" w:type="pct"/>
          </w:tcPr>
          <w:p w14:paraId="0357E727" w14:textId="77777777" w:rsidR="009F33CD" w:rsidRDefault="00E40740">
            <w:pPr>
              <w:spacing w:line="240" w:lineRule="auto"/>
              <w:rPr>
                <w:szCs w:val="24"/>
              </w:rPr>
            </w:pPr>
            <w:r>
              <w:rPr>
                <w:szCs w:val="24"/>
              </w:rPr>
              <w:t>Orthopaedic</w:t>
            </w:r>
          </w:p>
        </w:tc>
        <w:tc>
          <w:tcPr>
            <w:tcW w:w="1524" w:type="pct"/>
          </w:tcPr>
          <w:p w14:paraId="5E4B828E" w14:textId="77777777" w:rsidR="009F33CD" w:rsidRDefault="00E40740">
            <w:pPr>
              <w:spacing w:line="240" w:lineRule="auto"/>
              <w:jc w:val="center"/>
              <w:rPr>
                <w:szCs w:val="24"/>
              </w:rPr>
            </w:pPr>
            <w:r>
              <w:rPr>
                <w:szCs w:val="24"/>
              </w:rPr>
              <w:t>7</w:t>
            </w:r>
          </w:p>
        </w:tc>
        <w:tc>
          <w:tcPr>
            <w:tcW w:w="1212" w:type="pct"/>
          </w:tcPr>
          <w:p w14:paraId="11DC750E" w14:textId="77777777" w:rsidR="009F33CD" w:rsidRPr="00300636" w:rsidRDefault="00E40740">
            <w:pPr>
              <w:spacing w:line="240" w:lineRule="auto"/>
              <w:jc w:val="center"/>
              <w:rPr>
                <w:szCs w:val="24"/>
              </w:rPr>
            </w:pPr>
            <w:r w:rsidRPr="00300636">
              <w:rPr>
                <w:szCs w:val="24"/>
              </w:rPr>
              <w:t>5.9</w:t>
            </w:r>
          </w:p>
        </w:tc>
      </w:tr>
      <w:tr w:rsidR="009F33CD" w14:paraId="433406EB" w14:textId="77777777">
        <w:trPr>
          <w:trHeight w:val="55"/>
        </w:trPr>
        <w:tc>
          <w:tcPr>
            <w:tcW w:w="2264" w:type="pct"/>
          </w:tcPr>
          <w:p w14:paraId="34BC4510" w14:textId="77777777" w:rsidR="009F33CD" w:rsidRDefault="00E40740">
            <w:pPr>
              <w:spacing w:line="240" w:lineRule="auto"/>
              <w:rPr>
                <w:szCs w:val="24"/>
              </w:rPr>
            </w:pPr>
            <w:r>
              <w:rPr>
                <w:szCs w:val="24"/>
              </w:rPr>
              <w:t>Bio-medical Engineering</w:t>
            </w:r>
          </w:p>
        </w:tc>
        <w:tc>
          <w:tcPr>
            <w:tcW w:w="1524" w:type="pct"/>
          </w:tcPr>
          <w:p w14:paraId="35B25213" w14:textId="77777777" w:rsidR="009F33CD" w:rsidRDefault="00E40740">
            <w:pPr>
              <w:spacing w:line="240" w:lineRule="auto"/>
              <w:jc w:val="center"/>
              <w:rPr>
                <w:szCs w:val="24"/>
              </w:rPr>
            </w:pPr>
            <w:r>
              <w:rPr>
                <w:szCs w:val="24"/>
              </w:rPr>
              <w:t>7</w:t>
            </w:r>
          </w:p>
        </w:tc>
        <w:tc>
          <w:tcPr>
            <w:tcW w:w="1212" w:type="pct"/>
          </w:tcPr>
          <w:p w14:paraId="150385E3" w14:textId="77777777" w:rsidR="009F33CD" w:rsidRPr="00300636" w:rsidRDefault="00E40740">
            <w:pPr>
              <w:spacing w:line="240" w:lineRule="auto"/>
              <w:jc w:val="center"/>
              <w:rPr>
                <w:szCs w:val="24"/>
              </w:rPr>
            </w:pPr>
            <w:r w:rsidRPr="00300636">
              <w:rPr>
                <w:szCs w:val="24"/>
              </w:rPr>
              <w:t>5.9</w:t>
            </w:r>
          </w:p>
        </w:tc>
      </w:tr>
      <w:tr w:rsidR="009F33CD" w14:paraId="6911DB7D" w14:textId="77777777">
        <w:trPr>
          <w:trHeight w:val="55"/>
        </w:trPr>
        <w:tc>
          <w:tcPr>
            <w:tcW w:w="2264" w:type="pct"/>
          </w:tcPr>
          <w:p w14:paraId="3DFA3AB7" w14:textId="77777777" w:rsidR="009F33CD" w:rsidRDefault="00E40740">
            <w:pPr>
              <w:spacing w:line="240" w:lineRule="auto"/>
              <w:rPr>
                <w:szCs w:val="24"/>
              </w:rPr>
            </w:pPr>
            <w:r>
              <w:rPr>
                <w:szCs w:val="24"/>
              </w:rPr>
              <w:t>Laboratory</w:t>
            </w:r>
          </w:p>
        </w:tc>
        <w:tc>
          <w:tcPr>
            <w:tcW w:w="1524" w:type="pct"/>
          </w:tcPr>
          <w:p w14:paraId="43AB540C" w14:textId="77777777" w:rsidR="009F33CD" w:rsidRDefault="00E40740">
            <w:pPr>
              <w:spacing w:line="240" w:lineRule="auto"/>
              <w:jc w:val="center"/>
              <w:rPr>
                <w:szCs w:val="24"/>
              </w:rPr>
            </w:pPr>
            <w:r>
              <w:rPr>
                <w:szCs w:val="24"/>
              </w:rPr>
              <w:t>13</w:t>
            </w:r>
          </w:p>
        </w:tc>
        <w:tc>
          <w:tcPr>
            <w:tcW w:w="1212" w:type="pct"/>
          </w:tcPr>
          <w:p w14:paraId="1EC43AD6" w14:textId="77777777" w:rsidR="009F33CD" w:rsidRPr="00300636" w:rsidRDefault="00E40740">
            <w:pPr>
              <w:spacing w:line="240" w:lineRule="auto"/>
              <w:jc w:val="center"/>
              <w:rPr>
                <w:szCs w:val="24"/>
              </w:rPr>
            </w:pPr>
            <w:r w:rsidRPr="00300636">
              <w:rPr>
                <w:szCs w:val="24"/>
              </w:rPr>
              <w:t>11.0</w:t>
            </w:r>
          </w:p>
        </w:tc>
      </w:tr>
      <w:tr w:rsidR="009F33CD" w14:paraId="52523F31" w14:textId="77777777">
        <w:trPr>
          <w:trHeight w:val="60"/>
        </w:trPr>
        <w:tc>
          <w:tcPr>
            <w:tcW w:w="2264" w:type="pct"/>
          </w:tcPr>
          <w:p w14:paraId="6D1E29A4" w14:textId="77777777" w:rsidR="009F33CD" w:rsidRDefault="00E40740">
            <w:pPr>
              <w:spacing w:line="240" w:lineRule="auto"/>
              <w:rPr>
                <w:szCs w:val="24"/>
              </w:rPr>
            </w:pPr>
            <w:r>
              <w:rPr>
                <w:szCs w:val="24"/>
              </w:rPr>
              <w:t>Pharmacy</w:t>
            </w:r>
          </w:p>
        </w:tc>
        <w:tc>
          <w:tcPr>
            <w:tcW w:w="1524" w:type="pct"/>
          </w:tcPr>
          <w:p w14:paraId="3930739C" w14:textId="77777777" w:rsidR="009F33CD" w:rsidRDefault="00E40740">
            <w:pPr>
              <w:spacing w:line="240" w:lineRule="auto"/>
              <w:jc w:val="center"/>
              <w:rPr>
                <w:szCs w:val="24"/>
              </w:rPr>
            </w:pPr>
            <w:r>
              <w:rPr>
                <w:szCs w:val="24"/>
              </w:rPr>
              <w:t>4</w:t>
            </w:r>
          </w:p>
        </w:tc>
        <w:tc>
          <w:tcPr>
            <w:tcW w:w="1212" w:type="pct"/>
          </w:tcPr>
          <w:p w14:paraId="12D00B68" w14:textId="77777777" w:rsidR="009F33CD" w:rsidRPr="00300636" w:rsidRDefault="00E40740">
            <w:pPr>
              <w:spacing w:line="240" w:lineRule="auto"/>
              <w:jc w:val="center"/>
              <w:rPr>
                <w:szCs w:val="24"/>
              </w:rPr>
            </w:pPr>
            <w:r w:rsidRPr="00300636">
              <w:rPr>
                <w:szCs w:val="24"/>
              </w:rPr>
              <w:t>3.4</w:t>
            </w:r>
          </w:p>
        </w:tc>
      </w:tr>
      <w:tr w:rsidR="009F33CD" w14:paraId="27CE0EEF" w14:textId="77777777">
        <w:trPr>
          <w:trHeight w:val="55"/>
        </w:trPr>
        <w:tc>
          <w:tcPr>
            <w:tcW w:w="2264" w:type="pct"/>
          </w:tcPr>
          <w:p w14:paraId="384F0D4C" w14:textId="77777777" w:rsidR="009F33CD" w:rsidRDefault="00E40740">
            <w:pPr>
              <w:spacing w:line="240" w:lineRule="auto"/>
              <w:rPr>
                <w:szCs w:val="24"/>
              </w:rPr>
            </w:pPr>
            <w:r>
              <w:rPr>
                <w:szCs w:val="24"/>
              </w:rPr>
              <w:t>X-Ray (Medical Imaging)</w:t>
            </w:r>
          </w:p>
        </w:tc>
        <w:tc>
          <w:tcPr>
            <w:tcW w:w="1524" w:type="pct"/>
          </w:tcPr>
          <w:p w14:paraId="4BBDF5EC" w14:textId="77777777" w:rsidR="009F33CD" w:rsidRDefault="00E40740">
            <w:pPr>
              <w:spacing w:line="240" w:lineRule="auto"/>
              <w:jc w:val="center"/>
              <w:rPr>
                <w:szCs w:val="24"/>
              </w:rPr>
            </w:pPr>
            <w:r>
              <w:rPr>
                <w:szCs w:val="24"/>
              </w:rPr>
              <w:t>6</w:t>
            </w:r>
          </w:p>
        </w:tc>
        <w:tc>
          <w:tcPr>
            <w:tcW w:w="1212" w:type="pct"/>
          </w:tcPr>
          <w:p w14:paraId="51904C5B" w14:textId="77777777" w:rsidR="009F33CD" w:rsidRPr="00300636" w:rsidRDefault="00E40740">
            <w:pPr>
              <w:spacing w:line="240" w:lineRule="auto"/>
              <w:jc w:val="center"/>
              <w:rPr>
                <w:szCs w:val="24"/>
              </w:rPr>
            </w:pPr>
            <w:r w:rsidRPr="00300636">
              <w:rPr>
                <w:szCs w:val="24"/>
              </w:rPr>
              <w:t>5.1</w:t>
            </w:r>
          </w:p>
        </w:tc>
      </w:tr>
      <w:tr w:rsidR="009F33CD" w14:paraId="39CB4865" w14:textId="77777777">
        <w:trPr>
          <w:trHeight w:val="55"/>
        </w:trPr>
        <w:tc>
          <w:tcPr>
            <w:tcW w:w="2264" w:type="pct"/>
          </w:tcPr>
          <w:p w14:paraId="271FB26E" w14:textId="77777777" w:rsidR="009F33CD" w:rsidRDefault="00E40740">
            <w:pPr>
              <w:spacing w:line="240" w:lineRule="auto"/>
              <w:rPr>
                <w:szCs w:val="24"/>
              </w:rPr>
            </w:pPr>
            <w:r>
              <w:rPr>
                <w:szCs w:val="24"/>
              </w:rPr>
              <w:t>Dental</w:t>
            </w:r>
          </w:p>
        </w:tc>
        <w:tc>
          <w:tcPr>
            <w:tcW w:w="1524" w:type="pct"/>
          </w:tcPr>
          <w:p w14:paraId="060CE401" w14:textId="77777777" w:rsidR="009F33CD" w:rsidRDefault="00E40740">
            <w:pPr>
              <w:spacing w:line="240" w:lineRule="auto"/>
              <w:jc w:val="center"/>
              <w:rPr>
                <w:szCs w:val="24"/>
              </w:rPr>
            </w:pPr>
            <w:r>
              <w:rPr>
                <w:szCs w:val="24"/>
              </w:rPr>
              <w:t>3</w:t>
            </w:r>
          </w:p>
        </w:tc>
        <w:tc>
          <w:tcPr>
            <w:tcW w:w="1212" w:type="pct"/>
          </w:tcPr>
          <w:p w14:paraId="3793BD20" w14:textId="77777777" w:rsidR="009F33CD" w:rsidRPr="00300636" w:rsidRDefault="00E40740">
            <w:pPr>
              <w:spacing w:line="240" w:lineRule="auto"/>
              <w:jc w:val="center"/>
              <w:rPr>
                <w:szCs w:val="24"/>
              </w:rPr>
            </w:pPr>
            <w:r w:rsidRPr="00300636">
              <w:rPr>
                <w:szCs w:val="24"/>
              </w:rPr>
              <w:t>2.5</w:t>
            </w:r>
          </w:p>
        </w:tc>
      </w:tr>
      <w:tr w:rsidR="009F33CD" w14:paraId="355D19F6" w14:textId="77777777">
        <w:trPr>
          <w:trHeight w:val="55"/>
        </w:trPr>
        <w:tc>
          <w:tcPr>
            <w:tcW w:w="2264" w:type="pct"/>
          </w:tcPr>
          <w:p w14:paraId="46A52761" w14:textId="77777777" w:rsidR="009F33CD" w:rsidRDefault="00E40740">
            <w:pPr>
              <w:spacing w:line="240" w:lineRule="auto"/>
              <w:rPr>
                <w:szCs w:val="24"/>
              </w:rPr>
            </w:pPr>
            <w:r>
              <w:rPr>
                <w:szCs w:val="24"/>
              </w:rPr>
              <w:t>Social Work</w:t>
            </w:r>
          </w:p>
        </w:tc>
        <w:tc>
          <w:tcPr>
            <w:tcW w:w="1524" w:type="pct"/>
          </w:tcPr>
          <w:p w14:paraId="48E4822A" w14:textId="77777777" w:rsidR="009F33CD" w:rsidRDefault="00E40740">
            <w:pPr>
              <w:spacing w:line="240" w:lineRule="auto"/>
              <w:jc w:val="center"/>
              <w:rPr>
                <w:szCs w:val="24"/>
              </w:rPr>
            </w:pPr>
            <w:r>
              <w:rPr>
                <w:szCs w:val="24"/>
              </w:rPr>
              <w:t>2</w:t>
            </w:r>
          </w:p>
        </w:tc>
        <w:tc>
          <w:tcPr>
            <w:tcW w:w="1212" w:type="pct"/>
          </w:tcPr>
          <w:p w14:paraId="01625B81" w14:textId="77777777" w:rsidR="009F33CD" w:rsidRPr="00300636" w:rsidRDefault="00E40740">
            <w:pPr>
              <w:spacing w:line="240" w:lineRule="auto"/>
              <w:jc w:val="center"/>
              <w:rPr>
                <w:szCs w:val="24"/>
              </w:rPr>
            </w:pPr>
            <w:r w:rsidRPr="00300636">
              <w:rPr>
                <w:szCs w:val="24"/>
              </w:rPr>
              <w:t>1.7</w:t>
            </w:r>
          </w:p>
        </w:tc>
      </w:tr>
      <w:tr w:rsidR="009F33CD" w14:paraId="6B4CDDEB" w14:textId="77777777">
        <w:trPr>
          <w:trHeight w:val="90"/>
        </w:trPr>
        <w:tc>
          <w:tcPr>
            <w:tcW w:w="2264" w:type="pct"/>
          </w:tcPr>
          <w:p w14:paraId="4FB9D1C0" w14:textId="77777777" w:rsidR="009F33CD" w:rsidRDefault="00E40740">
            <w:pPr>
              <w:spacing w:line="240" w:lineRule="auto"/>
              <w:rPr>
                <w:szCs w:val="24"/>
              </w:rPr>
            </w:pPr>
            <w:r>
              <w:rPr>
                <w:szCs w:val="24"/>
              </w:rPr>
              <w:t>Occupational Therapy</w:t>
            </w:r>
          </w:p>
        </w:tc>
        <w:tc>
          <w:tcPr>
            <w:tcW w:w="1524" w:type="pct"/>
          </w:tcPr>
          <w:p w14:paraId="26B0A0DC" w14:textId="77777777" w:rsidR="009F33CD" w:rsidRDefault="00E40740">
            <w:pPr>
              <w:spacing w:line="240" w:lineRule="auto"/>
              <w:jc w:val="center"/>
              <w:rPr>
                <w:szCs w:val="24"/>
              </w:rPr>
            </w:pPr>
            <w:r>
              <w:rPr>
                <w:szCs w:val="24"/>
              </w:rPr>
              <w:t>1</w:t>
            </w:r>
          </w:p>
        </w:tc>
        <w:tc>
          <w:tcPr>
            <w:tcW w:w="1212" w:type="pct"/>
          </w:tcPr>
          <w:p w14:paraId="6117DB81" w14:textId="77777777" w:rsidR="009F33CD" w:rsidRPr="00300636" w:rsidRDefault="00E40740">
            <w:pPr>
              <w:spacing w:line="240" w:lineRule="auto"/>
              <w:jc w:val="center"/>
              <w:rPr>
                <w:szCs w:val="24"/>
              </w:rPr>
            </w:pPr>
            <w:r w:rsidRPr="00300636">
              <w:rPr>
                <w:szCs w:val="24"/>
              </w:rPr>
              <w:t>.85</w:t>
            </w:r>
          </w:p>
        </w:tc>
      </w:tr>
      <w:tr w:rsidR="009F33CD" w14:paraId="2CFB3B31" w14:textId="77777777">
        <w:trPr>
          <w:trHeight w:val="93"/>
        </w:trPr>
        <w:tc>
          <w:tcPr>
            <w:tcW w:w="2264" w:type="pct"/>
          </w:tcPr>
          <w:p w14:paraId="7EEA7C73" w14:textId="77777777" w:rsidR="009F33CD" w:rsidRDefault="00E40740">
            <w:pPr>
              <w:spacing w:line="240" w:lineRule="auto"/>
              <w:rPr>
                <w:szCs w:val="24"/>
              </w:rPr>
            </w:pPr>
            <w:r>
              <w:rPr>
                <w:szCs w:val="24"/>
              </w:rPr>
              <w:t xml:space="preserve">Nursing </w:t>
            </w:r>
          </w:p>
        </w:tc>
        <w:tc>
          <w:tcPr>
            <w:tcW w:w="1524" w:type="pct"/>
          </w:tcPr>
          <w:p w14:paraId="04B54031" w14:textId="77777777" w:rsidR="009F33CD" w:rsidRDefault="00E40740">
            <w:pPr>
              <w:spacing w:line="240" w:lineRule="auto"/>
              <w:jc w:val="center"/>
              <w:rPr>
                <w:szCs w:val="24"/>
              </w:rPr>
            </w:pPr>
            <w:r>
              <w:rPr>
                <w:szCs w:val="24"/>
              </w:rPr>
              <w:t>27</w:t>
            </w:r>
          </w:p>
        </w:tc>
        <w:tc>
          <w:tcPr>
            <w:tcW w:w="1212" w:type="pct"/>
          </w:tcPr>
          <w:p w14:paraId="386C4762" w14:textId="77777777" w:rsidR="009F33CD" w:rsidRPr="00300636" w:rsidRDefault="00E40740">
            <w:pPr>
              <w:spacing w:line="240" w:lineRule="auto"/>
              <w:jc w:val="center"/>
              <w:rPr>
                <w:szCs w:val="24"/>
              </w:rPr>
            </w:pPr>
            <w:r w:rsidRPr="00300636">
              <w:rPr>
                <w:szCs w:val="24"/>
              </w:rPr>
              <w:t>22.9</w:t>
            </w:r>
          </w:p>
        </w:tc>
      </w:tr>
      <w:tr w:rsidR="009F33CD" w14:paraId="1D62329A" w14:textId="77777777">
        <w:trPr>
          <w:trHeight w:val="55"/>
        </w:trPr>
        <w:tc>
          <w:tcPr>
            <w:tcW w:w="2264" w:type="pct"/>
          </w:tcPr>
          <w:p w14:paraId="3D1A904E" w14:textId="77777777" w:rsidR="009F33CD" w:rsidRDefault="00E40740">
            <w:pPr>
              <w:spacing w:line="240" w:lineRule="auto"/>
              <w:rPr>
                <w:szCs w:val="24"/>
              </w:rPr>
            </w:pPr>
            <w:r>
              <w:rPr>
                <w:szCs w:val="24"/>
              </w:rPr>
              <w:t>Infection Control</w:t>
            </w:r>
          </w:p>
        </w:tc>
        <w:tc>
          <w:tcPr>
            <w:tcW w:w="1524" w:type="pct"/>
          </w:tcPr>
          <w:p w14:paraId="3F1EE172" w14:textId="77777777" w:rsidR="009F33CD" w:rsidRDefault="00E40740">
            <w:pPr>
              <w:spacing w:line="240" w:lineRule="auto"/>
              <w:jc w:val="center"/>
              <w:rPr>
                <w:szCs w:val="24"/>
              </w:rPr>
            </w:pPr>
            <w:r>
              <w:rPr>
                <w:szCs w:val="24"/>
              </w:rPr>
              <w:t>3</w:t>
            </w:r>
          </w:p>
        </w:tc>
        <w:tc>
          <w:tcPr>
            <w:tcW w:w="1212" w:type="pct"/>
          </w:tcPr>
          <w:p w14:paraId="1EBB957A" w14:textId="77777777" w:rsidR="009F33CD" w:rsidRPr="00300636" w:rsidRDefault="00E40740">
            <w:pPr>
              <w:spacing w:line="240" w:lineRule="auto"/>
              <w:jc w:val="center"/>
              <w:rPr>
                <w:szCs w:val="24"/>
              </w:rPr>
            </w:pPr>
            <w:r w:rsidRPr="00300636">
              <w:rPr>
                <w:szCs w:val="24"/>
              </w:rPr>
              <w:t>2.5</w:t>
            </w:r>
          </w:p>
        </w:tc>
      </w:tr>
      <w:tr w:rsidR="009F33CD" w14:paraId="3F58B59F" w14:textId="77777777">
        <w:trPr>
          <w:trHeight w:val="257"/>
        </w:trPr>
        <w:tc>
          <w:tcPr>
            <w:tcW w:w="2264" w:type="pct"/>
          </w:tcPr>
          <w:p w14:paraId="5B3C0A25" w14:textId="77777777" w:rsidR="009F33CD" w:rsidRDefault="00E40740">
            <w:pPr>
              <w:spacing w:line="240" w:lineRule="auto"/>
              <w:rPr>
                <w:szCs w:val="24"/>
              </w:rPr>
            </w:pPr>
            <w:r>
              <w:rPr>
                <w:szCs w:val="24"/>
              </w:rPr>
              <w:t>Finance/Accounts</w:t>
            </w:r>
          </w:p>
        </w:tc>
        <w:tc>
          <w:tcPr>
            <w:tcW w:w="1524" w:type="pct"/>
          </w:tcPr>
          <w:p w14:paraId="295E233B" w14:textId="77777777" w:rsidR="009F33CD" w:rsidRDefault="00E40740">
            <w:pPr>
              <w:spacing w:line="240" w:lineRule="auto"/>
              <w:jc w:val="center"/>
              <w:rPr>
                <w:szCs w:val="24"/>
              </w:rPr>
            </w:pPr>
            <w:r>
              <w:rPr>
                <w:szCs w:val="24"/>
              </w:rPr>
              <w:t>2</w:t>
            </w:r>
          </w:p>
        </w:tc>
        <w:tc>
          <w:tcPr>
            <w:tcW w:w="1212" w:type="pct"/>
          </w:tcPr>
          <w:p w14:paraId="1B7A5698" w14:textId="77777777" w:rsidR="009F33CD" w:rsidRPr="00300636" w:rsidRDefault="00E40740">
            <w:pPr>
              <w:spacing w:line="240" w:lineRule="auto"/>
              <w:jc w:val="center"/>
              <w:rPr>
                <w:szCs w:val="24"/>
              </w:rPr>
            </w:pPr>
            <w:r w:rsidRPr="00300636">
              <w:rPr>
                <w:szCs w:val="24"/>
              </w:rPr>
              <w:t>1.7</w:t>
            </w:r>
          </w:p>
        </w:tc>
      </w:tr>
      <w:tr w:rsidR="009F33CD" w14:paraId="199037E4" w14:textId="77777777">
        <w:trPr>
          <w:trHeight w:val="55"/>
        </w:trPr>
        <w:tc>
          <w:tcPr>
            <w:tcW w:w="2264" w:type="pct"/>
          </w:tcPr>
          <w:p w14:paraId="493C7BA3" w14:textId="77777777" w:rsidR="009F33CD" w:rsidRDefault="00E40740">
            <w:pPr>
              <w:spacing w:line="240" w:lineRule="auto"/>
              <w:rPr>
                <w:szCs w:val="24"/>
              </w:rPr>
            </w:pPr>
            <w:r>
              <w:rPr>
                <w:szCs w:val="24"/>
              </w:rPr>
              <w:t>Procurement</w:t>
            </w:r>
          </w:p>
        </w:tc>
        <w:tc>
          <w:tcPr>
            <w:tcW w:w="1524" w:type="pct"/>
          </w:tcPr>
          <w:p w14:paraId="3060051E" w14:textId="77777777" w:rsidR="009F33CD" w:rsidRDefault="00E40740">
            <w:pPr>
              <w:spacing w:line="240" w:lineRule="auto"/>
              <w:jc w:val="center"/>
              <w:rPr>
                <w:szCs w:val="24"/>
              </w:rPr>
            </w:pPr>
            <w:r>
              <w:rPr>
                <w:szCs w:val="24"/>
              </w:rPr>
              <w:t>4</w:t>
            </w:r>
          </w:p>
        </w:tc>
        <w:tc>
          <w:tcPr>
            <w:tcW w:w="1212" w:type="pct"/>
          </w:tcPr>
          <w:p w14:paraId="6EB10EC3" w14:textId="77777777" w:rsidR="009F33CD" w:rsidRPr="00300636" w:rsidRDefault="00E40740">
            <w:pPr>
              <w:spacing w:line="240" w:lineRule="auto"/>
              <w:jc w:val="center"/>
              <w:rPr>
                <w:szCs w:val="24"/>
              </w:rPr>
            </w:pPr>
            <w:r w:rsidRPr="00300636">
              <w:rPr>
                <w:szCs w:val="24"/>
              </w:rPr>
              <w:t>3.4</w:t>
            </w:r>
          </w:p>
        </w:tc>
      </w:tr>
      <w:tr w:rsidR="009F33CD" w14:paraId="0446EF11" w14:textId="77777777">
        <w:trPr>
          <w:trHeight w:val="137"/>
        </w:trPr>
        <w:tc>
          <w:tcPr>
            <w:tcW w:w="2264" w:type="pct"/>
          </w:tcPr>
          <w:p w14:paraId="4CBCF2C7" w14:textId="77777777" w:rsidR="009F33CD" w:rsidRDefault="00E40740">
            <w:pPr>
              <w:spacing w:line="240" w:lineRule="auto"/>
              <w:rPr>
                <w:szCs w:val="24"/>
              </w:rPr>
            </w:pPr>
            <w:r>
              <w:rPr>
                <w:szCs w:val="24"/>
              </w:rPr>
              <w:t>NHIF</w:t>
            </w:r>
          </w:p>
        </w:tc>
        <w:tc>
          <w:tcPr>
            <w:tcW w:w="1524" w:type="pct"/>
          </w:tcPr>
          <w:p w14:paraId="07BAAB0A" w14:textId="77777777" w:rsidR="009F33CD" w:rsidRDefault="00E40740">
            <w:pPr>
              <w:spacing w:line="240" w:lineRule="auto"/>
              <w:jc w:val="center"/>
              <w:rPr>
                <w:szCs w:val="24"/>
              </w:rPr>
            </w:pPr>
            <w:r>
              <w:rPr>
                <w:szCs w:val="24"/>
              </w:rPr>
              <w:t>1</w:t>
            </w:r>
          </w:p>
        </w:tc>
        <w:tc>
          <w:tcPr>
            <w:tcW w:w="1212" w:type="pct"/>
          </w:tcPr>
          <w:p w14:paraId="1F4063F2" w14:textId="77777777" w:rsidR="009F33CD" w:rsidRPr="00300636" w:rsidRDefault="00E40740">
            <w:pPr>
              <w:spacing w:line="240" w:lineRule="auto"/>
              <w:jc w:val="center"/>
              <w:rPr>
                <w:szCs w:val="24"/>
              </w:rPr>
            </w:pPr>
            <w:r w:rsidRPr="00300636">
              <w:rPr>
                <w:szCs w:val="24"/>
              </w:rPr>
              <w:t>.85</w:t>
            </w:r>
          </w:p>
        </w:tc>
      </w:tr>
      <w:tr w:rsidR="009F33CD" w14:paraId="424EBCA9" w14:textId="77777777">
        <w:trPr>
          <w:trHeight w:val="55"/>
        </w:trPr>
        <w:tc>
          <w:tcPr>
            <w:tcW w:w="2264" w:type="pct"/>
          </w:tcPr>
          <w:p w14:paraId="304E22D6" w14:textId="77777777" w:rsidR="009F33CD" w:rsidRDefault="00E40740">
            <w:pPr>
              <w:spacing w:line="240" w:lineRule="auto"/>
              <w:rPr>
                <w:szCs w:val="24"/>
              </w:rPr>
            </w:pPr>
            <w:bookmarkStart w:id="1014" w:name="_Hlk174281359"/>
            <w:r>
              <w:rPr>
                <w:szCs w:val="24"/>
              </w:rPr>
              <w:t>Palliative (Cancer)</w:t>
            </w:r>
          </w:p>
        </w:tc>
        <w:tc>
          <w:tcPr>
            <w:tcW w:w="1524" w:type="pct"/>
          </w:tcPr>
          <w:p w14:paraId="409B4668" w14:textId="77777777" w:rsidR="009F33CD" w:rsidRDefault="00E40740">
            <w:pPr>
              <w:spacing w:line="240" w:lineRule="auto"/>
              <w:jc w:val="center"/>
              <w:rPr>
                <w:szCs w:val="24"/>
              </w:rPr>
            </w:pPr>
            <w:r>
              <w:rPr>
                <w:szCs w:val="24"/>
              </w:rPr>
              <w:t>1</w:t>
            </w:r>
          </w:p>
        </w:tc>
        <w:tc>
          <w:tcPr>
            <w:tcW w:w="1212" w:type="pct"/>
          </w:tcPr>
          <w:p w14:paraId="1FE8D561" w14:textId="77777777" w:rsidR="009F33CD" w:rsidRPr="00300636" w:rsidRDefault="00E40740">
            <w:pPr>
              <w:spacing w:line="240" w:lineRule="auto"/>
              <w:jc w:val="center"/>
              <w:rPr>
                <w:szCs w:val="24"/>
              </w:rPr>
            </w:pPr>
            <w:r w:rsidRPr="00300636">
              <w:rPr>
                <w:szCs w:val="24"/>
              </w:rPr>
              <w:t>.85</w:t>
            </w:r>
          </w:p>
        </w:tc>
      </w:tr>
      <w:tr w:rsidR="009F33CD" w14:paraId="4FD3257F" w14:textId="77777777">
        <w:trPr>
          <w:trHeight w:val="55"/>
        </w:trPr>
        <w:tc>
          <w:tcPr>
            <w:tcW w:w="2264" w:type="pct"/>
          </w:tcPr>
          <w:p w14:paraId="61A871BD" w14:textId="77777777" w:rsidR="009F33CD" w:rsidRDefault="00E40740">
            <w:pPr>
              <w:spacing w:line="240" w:lineRule="auto"/>
              <w:rPr>
                <w:szCs w:val="24"/>
              </w:rPr>
            </w:pPr>
            <w:r>
              <w:rPr>
                <w:szCs w:val="24"/>
              </w:rPr>
              <w:t>Human Resource Management</w:t>
            </w:r>
          </w:p>
        </w:tc>
        <w:tc>
          <w:tcPr>
            <w:tcW w:w="1524" w:type="pct"/>
          </w:tcPr>
          <w:p w14:paraId="16205167" w14:textId="77777777" w:rsidR="009F33CD" w:rsidRDefault="00E40740">
            <w:pPr>
              <w:spacing w:line="240" w:lineRule="auto"/>
              <w:jc w:val="center"/>
              <w:rPr>
                <w:szCs w:val="24"/>
              </w:rPr>
            </w:pPr>
            <w:r>
              <w:rPr>
                <w:szCs w:val="24"/>
              </w:rPr>
              <w:t>1</w:t>
            </w:r>
          </w:p>
        </w:tc>
        <w:tc>
          <w:tcPr>
            <w:tcW w:w="1212" w:type="pct"/>
          </w:tcPr>
          <w:p w14:paraId="70DFABEA" w14:textId="77777777" w:rsidR="009F33CD" w:rsidRPr="00300636" w:rsidRDefault="00E40740">
            <w:pPr>
              <w:spacing w:line="240" w:lineRule="auto"/>
              <w:jc w:val="center"/>
              <w:rPr>
                <w:szCs w:val="24"/>
              </w:rPr>
            </w:pPr>
            <w:r w:rsidRPr="00300636">
              <w:rPr>
                <w:szCs w:val="24"/>
              </w:rPr>
              <w:t>.85</w:t>
            </w:r>
          </w:p>
        </w:tc>
      </w:tr>
      <w:tr w:rsidR="009F33CD" w14:paraId="4211D6C2" w14:textId="77777777">
        <w:trPr>
          <w:trHeight w:val="55"/>
        </w:trPr>
        <w:tc>
          <w:tcPr>
            <w:tcW w:w="2264" w:type="pct"/>
          </w:tcPr>
          <w:p w14:paraId="72524BC8" w14:textId="77777777" w:rsidR="009F33CD" w:rsidRDefault="00E40740">
            <w:pPr>
              <w:spacing w:line="240" w:lineRule="auto"/>
              <w:rPr>
                <w:szCs w:val="24"/>
              </w:rPr>
            </w:pPr>
            <w:r>
              <w:rPr>
                <w:szCs w:val="24"/>
              </w:rPr>
              <w:t xml:space="preserve">Clinical </w:t>
            </w:r>
          </w:p>
        </w:tc>
        <w:tc>
          <w:tcPr>
            <w:tcW w:w="1524" w:type="pct"/>
          </w:tcPr>
          <w:p w14:paraId="5A321EE8" w14:textId="77777777" w:rsidR="009F33CD" w:rsidRDefault="00E40740">
            <w:pPr>
              <w:spacing w:line="240" w:lineRule="auto"/>
              <w:jc w:val="center"/>
              <w:rPr>
                <w:szCs w:val="24"/>
              </w:rPr>
            </w:pPr>
            <w:r>
              <w:rPr>
                <w:szCs w:val="24"/>
              </w:rPr>
              <w:t>7</w:t>
            </w:r>
          </w:p>
        </w:tc>
        <w:tc>
          <w:tcPr>
            <w:tcW w:w="1212" w:type="pct"/>
          </w:tcPr>
          <w:p w14:paraId="4FD88FCF" w14:textId="77777777" w:rsidR="009F33CD" w:rsidRPr="00300636" w:rsidRDefault="00E40740">
            <w:pPr>
              <w:spacing w:line="240" w:lineRule="auto"/>
              <w:jc w:val="center"/>
              <w:rPr>
                <w:szCs w:val="24"/>
              </w:rPr>
            </w:pPr>
            <w:r w:rsidRPr="00300636">
              <w:rPr>
                <w:szCs w:val="24"/>
              </w:rPr>
              <w:t>5.9</w:t>
            </w:r>
          </w:p>
        </w:tc>
      </w:tr>
      <w:tr w:rsidR="009F33CD" w14:paraId="1437CF1D" w14:textId="77777777">
        <w:trPr>
          <w:trHeight w:val="55"/>
        </w:trPr>
        <w:tc>
          <w:tcPr>
            <w:tcW w:w="2264" w:type="pct"/>
          </w:tcPr>
          <w:p w14:paraId="4168B328" w14:textId="77777777" w:rsidR="009F33CD" w:rsidRDefault="00E40740">
            <w:pPr>
              <w:spacing w:line="240" w:lineRule="auto"/>
              <w:rPr>
                <w:szCs w:val="24"/>
              </w:rPr>
            </w:pPr>
            <w:r>
              <w:rPr>
                <w:szCs w:val="24"/>
              </w:rPr>
              <w:t xml:space="preserve">Laundry </w:t>
            </w:r>
          </w:p>
        </w:tc>
        <w:tc>
          <w:tcPr>
            <w:tcW w:w="1524" w:type="pct"/>
          </w:tcPr>
          <w:p w14:paraId="68ADE7D6" w14:textId="77777777" w:rsidR="009F33CD" w:rsidRDefault="00E40740">
            <w:pPr>
              <w:spacing w:line="240" w:lineRule="auto"/>
              <w:jc w:val="center"/>
              <w:rPr>
                <w:szCs w:val="24"/>
              </w:rPr>
            </w:pPr>
            <w:r>
              <w:rPr>
                <w:szCs w:val="24"/>
              </w:rPr>
              <w:t>1</w:t>
            </w:r>
          </w:p>
        </w:tc>
        <w:tc>
          <w:tcPr>
            <w:tcW w:w="1212" w:type="pct"/>
          </w:tcPr>
          <w:p w14:paraId="72A3E291" w14:textId="77777777" w:rsidR="009F33CD" w:rsidRPr="00300636" w:rsidRDefault="00E40740">
            <w:pPr>
              <w:spacing w:line="240" w:lineRule="auto"/>
              <w:jc w:val="center"/>
              <w:rPr>
                <w:szCs w:val="24"/>
              </w:rPr>
            </w:pPr>
            <w:r w:rsidRPr="00300636">
              <w:rPr>
                <w:szCs w:val="24"/>
              </w:rPr>
              <w:t>.85</w:t>
            </w:r>
          </w:p>
        </w:tc>
      </w:tr>
      <w:tr w:rsidR="009F33CD" w14:paraId="45677A75" w14:textId="77777777">
        <w:trPr>
          <w:trHeight w:val="55"/>
        </w:trPr>
        <w:tc>
          <w:tcPr>
            <w:tcW w:w="2264" w:type="pct"/>
          </w:tcPr>
          <w:p w14:paraId="3C113785" w14:textId="77777777" w:rsidR="009F33CD" w:rsidRDefault="00E40740">
            <w:pPr>
              <w:spacing w:line="240" w:lineRule="auto"/>
              <w:rPr>
                <w:szCs w:val="24"/>
              </w:rPr>
            </w:pPr>
            <w:r>
              <w:rPr>
                <w:szCs w:val="24"/>
              </w:rPr>
              <w:t>Nutrition</w:t>
            </w:r>
          </w:p>
        </w:tc>
        <w:tc>
          <w:tcPr>
            <w:tcW w:w="1524" w:type="pct"/>
          </w:tcPr>
          <w:p w14:paraId="7B8BB4B1" w14:textId="77777777" w:rsidR="009F33CD" w:rsidRDefault="00E40740">
            <w:pPr>
              <w:spacing w:line="240" w:lineRule="auto"/>
              <w:jc w:val="center"/>
              <w:rPr>
                <w:szCs w:val="24"/>
              </w:rPr>
            </w:pPr>
            <w:r>
              <w:rPr>
                <w:szCs w:val="24"/>
              </w:rPr>
              <w:t>1</w:t>
            </w:r>
          </w:p>
        </w:tc>
        <w:tc>
          <w:tcPr>
            <w:tcW w:w="1212" w:type="pct"/>
          </w:tcPr>
          <w:p w14:paraId="399FE02A" w14:textId="77777777" w:rsidR="009F33CD" w:rsidRPr="00300636" w:rsidRDefault="00E40740">
            <w:pPr>
              <w:spacing w:line="240" w:lineRule="auto"/>
              <w:jc w:val="center"/>
              <w:rPr>
                <w:szCs w:val="24"/>
              </w:rPr>
            </w:pPr>
            <w:r w:rsidRPr="00300636">
              <w:rPr>
                <w:szCs w:val="24"/>
              </w:rPr>
              <w:t>.85</w:t>
            </w:r>
          </w:p>
        </w:tc>
      </w:tr>
      <w:tr w:rsidR="009F33CD" w14:paraId="4ACD90B6" w14:textId="77777777" w:rsidTr="00E53B8A">
        <w:trPr>
          <w:trHeight w:val="55"/>
        </w:trPr>
        <w:tc>
          <w:tcPr>
            <w:tcW w:w="2264" w:type="pct"/>
            <w:tcBorders>
              <w:bottom w:val="nil"/>
            </w:tcBorders>
          </w:tcPr>
          <w:p w14:paraId="2DD1B41F" w14:textId="77777777" w:rsidR="009F33CD" w:rsidRDefault="00E40740">
            <w:pPr>
              <w:spacing w:line="240" w:lineRule="auto"/>
              <w:rPr>
                <w:szCs w:val="24"/>
              </w:rPr>
            </w:pPr>
            <w:r>
              <w:rPr>
                <w:szCs w:val="24"/>
              </w:rPr>
              <w:t>Catering</w:t>
            </w:r>
          </w:p>
        </w:tc>
        <w:tc>
          <w:tcPr>
            <w:tcW w:w="1524" w:type="pct"/>
            <w:tcBorders>
              <w:bottom w:val="nil"/>
            </w:tcBorders>
          </w:tcPr>
          <w:p w14:paraId="60F7C607" w14:textId="77777777" w:rsidR="009F33CD" w:rsidRDefault="00E40740">
            <w:pPr>
              <w:spacing w:line="240" w:lineRule="auto"/>
              <w:jc w:val="center"/>
              <w:rPr>
                <w:szCs w:val="24"/>
              </w:rPr>
            </w:pPr>
            <w:r>
              <w:rPr>
                <w:szCs w:val="24"/>
              </w:rPr>
              <w:t>1</w:t>
            </w:r>
          </w:p>
        </w:tc>
        <w:tc>
          <w:tcPr>
            <w:tcW w:w="1212" w:type="pct"/>
            <w:tcBorders>
              <w:bottom w:val="nil"/>
            </w:tcBorders>
          </w:tcPr>
          <w:p w14:paraId="1C74E04C" w14:textId="77777777" w:rsidR="009F33CD" w:rsidRPr="00300636" w:rsidRDefault="00E40740">
            <w:pPr>
              <w:spacing w:line="240" w:lineRule="auto"/>
              <w:jc w:val="center"/>
              <w:rPr>
                <w:szCs w:val="24"/>
              </w:rPr>
            </w:pPr>
            <w:r w:rsidRPr="00300636">
              <w:rPr>
                <w:szCs w:val="24"/>
              </w:rPr>
              <w:t>.85</w:t>
            </w:r>
          </w:p>
        </w:tc>
      </w:tr>
      <w:bookmarkEnd w:id="1014"/>
      <w:tr w:rsidR="009F33CD" w14:paraId="359C19DB" w14:textId="77777777" w:rsidTr="00E53B8A">
        <w:trPr>
          <w:trHeight w:val="145"/>
        </w:trPr>
        <w:tc>
          <w:tcPr>
            <w:tcW w:w="2264" w:type="pct"/>
            <w:tcBorders>
              <w:top w:val="nil"/>
              <w:bottom w:val="single" w:sz="4" w:space="0" w:color="auto"/>
            </w:tcBorders>
          </w:tcPr>
          <w:p w14:paraId="4B356C6F" w14:textId="77777777" w:rsidR="009F33CD" w:rsidRDefault="00E40740">
            <w:pPr>
              <w:spacing w:line="240" w:lineRule="auto"/>
              <w:rPr>
                <w:b/>
                <w:bCs/>
                <w:szCs w:val="24"/>
              </w:rPr>
            </w:pPr>
            <w:r>
              <w:rPr>
                <w:b/>
                <w:bCs/>
                <w:szCs w:val="24"/>
              </w:rPr>
              <w:t>Total Respondents</w:t>
            </w:r>
          </w:p>
        </w:tc>
        <w:tc>
          <w:tcPr>
            <w:tcW w:w="1524" w:type="pct"/>
            <w:tcBorders>
              <w:top w:val="nil"/>
              <w:bottom w:val="single" w:sz="4" w:space="0" w:color="auto"/>
            </w:tcBorders>
          </w:tcPr>
          <w:p w14:paraId="5B8DC1C1" w14:textId="77777777" w:rsidR="009F33CD" w:rsidRDefault="00E40740">
            <w:pPr>
              <w:spacing w:line="240" w:lineRule="auto"/>
              <w:jc w:val="center"/>
              <w:rPr>
                <w:b/>
                <w:bCs/>
                <w:szCs w:val="24"/>
              </w:rPr>
            </w:pPr>
            <w:r>
              <w:rPr>
                <w:b/>
                <w:bCs/>
                <w:szCs w:val="24"/>
              </w:rPr>
              <w:t>118</w:t>
            </w:r>
          </w:p>
        </w:tc>
        <w:tc>
          <w:tcPr>
            <w:tcW w:w="1212" w:type="pct"/>
            <w:tcBorders>
              <w:top w:val="nil"/>
              <w:bottom w:val="single" w:sz="4" w:space="0" w:color="auto"/>
            </w:tcBorders>
          </w:tcPr>
          <w:p w14:paraId="684EE460" w14:textId="77777777" w:rsidR="009F33CD" w:rsidRPr="00300636" w:rsidRDefault="00E40740">
            <w:pPr>
              <w:spacing w:line="240" w:lineRule="auto"/>
              <w:jc w:val="center"/>
              <w:rPr>
                <w:b/>
                <w:bCs/>
                <w:szCs w:val="24"/>
              </w:rPr>
            </w:pPr>
            <w:r w:rsidRPr="00300636">
              <w:rPr>
                <w:b/>
                <w:bCs/>
                <w:szCs w:val="24"/>
              </w:rPr>
              <w:t>100</w:t>
            </w:r>
          </w:p>
        </w:tc>
      </w:tr>
    </w:tbl>
    <w:bookmarkEnd w:id="1013"/>
    <w:p w14:paraId="4098BE60" w14:textId="77777777" w:rsidR="009F33CD" w:rsidRDefault="003F4007">
      <w:pPr>
        <w:spacing w:before="240"/>
      </w:pPr>
      <w:r>
        <w:t>The results in Table 4.10</w:t>
      </w:r>
      <w:r w:rsidR="00E40740">
        <w:t xml:space="preserve"> reveal that the majority of the respondents, 22.9% were from the nursing department. The finding implies that Level Five hospitals have more nurse employees most of whom are managers of departments, sections, or units. This result suggests the important role nurses play in clinical leadership and performance of devolved healthcare services. Further, given the managerial roles the majority of the nurses carry out, there may be a need for continuous leadership training and professional development programs to equip them with the skills necessary for</w:t>
      </w:r>
      <w:r>
        <w:t xml:space="preserve"> effective management. Table 4.10</w:t>
      </w:r>
      <w:r w:rsidR="00E40740">
        <w:t xml:space="preserve"> shows that 11.0% of the respondents were from the laboratory department. The respondents working in the laboratory provided important data regarding the management and disposal of hazardous substances or waste. The laboratory is usually known to contribute a bigger percentage of solid and liquid effluent to the environment, especially wastewater pollutants that infect human health </w:t>
      </w:r>
      <w:r w:rsidR="00E40740">
        <w:lastRenderedPageBreak/>
        <w:t xml:space="preserve">and the environment. This finding agrees with Bouzid et al. (2021) who noted that hospitals produce high rates of different wastewater pollution. Departments and sections with the lowest number of participants in the study representing 0.85% were occupational therapy, National Hospital Insurance Fund, Palliative (Cancer), Human Resource Management, Clinical, Laundry, Nutrition, and Catering. The findings imply that the sections had very few employees. </w:t>
      </w:r>
    </w:p>
    <w:p w14:paraId="3ECC3E38" w14:textId="77777777" w:rsidR="009F33CD" w:rsidRDefault="00E40740">
      <w:pPr>
        <w:pStyle w:val="Heading2"/>
        <w:spacing w:before="240"/>
        <w:rPr>
          <w:lang w:val="en-GB"/>
        </w:rPr>
      </w:pPr>
      <w:bookmarkStart w:id="1015" w:name="_Toc224237730"/>
      <w:bookmarkStart w:id="1016" w:name="_Toc137074603"/>
      <w:r>
        <w:rPr>
          <w:lang w:val="en-GB"/>
        </w:rPr>
        <w:t>4.5 Findings for Diagnostic Tests</w:t>
      </w:r>
      <w:bookmarkEnd w:id="1015"/>
    </w:p>
    <w:p w14:paraId="3C7BBFEA" w14:textId="77777777" w:rsidR="009F33CD" w:rsidRDefault="00E40740">
      <w:pPr>
        <w:spacing w:after="240"/>
        <w:rPr>
          <w:rFonts w:cs="Times New Roman"/>
          <w:bCs/>
        </w:rPr>
      </w:pPr>
      <w:r>
        <w:rPr>
          <w:rFonts w:cs="Times New Roman"/>
          <w:bCs/>
        </w:rPr>
        <w:t>According to the principles outlined by Mugenda and Mugenda (201</w:t>
      </w:r>
      <w:r w:rsidR="0002198B">
        <w:rPr>
          <w:rFonts w:cs="Times New Roman"/>
          <w:bCs/>
        </w:rPr>
        <w:t>2</w:t>
      </w:r>
      <w:r>
        <w:rPr>
          <w:rFonts w:cs="Times New Roman"/>
          <w:bCs/>
        </w:rPr>
        <w:t xml:space="preserve">), these tests ensure that the model accurately represents the data and can be generalized to the larger population it aims to reflect. The diagnostic procedures may include checking for normality, heteroscedasticity, homoscedasticity, and multi-collinearity. The test findings are presented in the following sub-sections. </w:t>
      </w:r>
    </w:p>
    <w:p w14:paraId="727E381D" w14:textId="77777777" w:rsidR="009F33CD" w:rsidRDefault="00E40740">
      <w:pPr>
        <w:pStyle w:val="Heading3"/>
      </w:pPr>
      <w:bookmarkStart w:id="1017" w:name="_Toc188442605"/>
      <w:bookmarkStart w:id="1018" w:name="_Toc187080859"/>
      <w:bookmarkStart w:id="1019" w:name="_Toc178945048"/>
      <w:bookmarkStart w:id="1020" w:name="_Toc178940596"/>
      <w:bookmarkStart w:id="1021" w:name="_Toc178944296"/>
      <w:bookmarkStart w:id="1022" w:name="_Toc178942638"/>
      <w:bookmarkStart w:id="1023" w:name="_Toc188130632"/>
      <w:bookmarkStart w:id="1024" w:name="_Toc165626386"/>
      <w:bookmarkStart w:id="1025" w:name="_Toc147950265"/>
      <w:bookmarkStart w:id="1026" w:name="_Toc165623605"/>
      <w:bookmarkStart w:id="1027" w:name="_Toc188443979"/>
      <w:bookmarkStart w:id="1028" w:name="_Toc185614087"/>
      <w:bookmarkStart w:id="1029" w:name="_Toc224160669"/>
      <w:bookmarkStart w:id="1030" w:name="_Toc224237731"/>
      <w:r>
        <w:t>4.5.1 Test of Sampling Adequacy</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6F3BB501" w14:textId="77777777" w:rsidR="009F33CD" w:rsidRDefault="00E40740">
      <w:pPr>
        <w:spacing w:after="240"/>
      </w:pPr>
      <w:r>
        <w:rPr>
          <w:rFonts w:cs="Times New Roman"/>
        </w:rPr>
        <w:t>A Kaiser-Meyer-Olkin (KMO) measure, which ranges from 0 to 1, was used to determine if the sample was appropriate for data analysis (Field, 201</w:t>
      </w:r>
      <w:r w:rsidR="00437E7A">
        <w:rPr>
          <w:rFonts w:cs="Times New Roman"/>
        </w:rPr>
        <w:t>8</w:t>
      </w:r>
      <w:r>
        <w:rPr>
          <w:rFonts w:cs="Times New Roman"/>
        </w:rPr>
        <w:t xml:space="preserve">). The KMO statistic ranges from 0 to 1, where higher values indicate that the correlations between items are sufficiently strong for factor analysis to be effective (Kothari, 2014). Pallant (2011) explains that a KMO value of 0.6 is commonly considered the minimum acceptable level of sampling adequacy, with higher values indicating increasingly better sampling adequacy for conducting factor analysis. The </w:t>
      </w:r>
      <w:r w:rsidR="003F4007">
        <w:rPr>
          <w:rFonts w:cs="Times New Roman"/>
        </w:rPr>
        <w:t>findings are shown in Table 4.11</w:t>
      </w:r>
      <w:r>
        <w:rPr>
          <w:rFonts w:cs="Times New Roman"/>
        </w:rPr>
        <w:t>.</w:t>
      </w:r>
      <w:bookmarkStart w:id="1031" w:name="_Toc178945049"/>
      <w:bookmarkStart w:id="1032" w:name="_Toc165626387"/>
      <w:bookmarkStart w:id="1033" w:name="_Toc147950267"/>
      <w:bookmarkStart w:id="1034" w:name="_Toc178942639"/>
      <w:bookmarkStart w:id="1035" w:name="_Toc103174409"/>
      <w:bookmarkStart w:id="1036" w:name="_Toc147946928"/>
      <w:bookmarkStart w:id="1037" w:name="_Toc178944297"/>
      <w:bookmarkStart w:id="1038" w:name="_Toc178940597"/>
      <w:bookmarkStart w:id="1039" w:name="_Toc165623606"/>
    </w:p>
    <w:p w14:paraId="609BECF5" w14:textId="77777777" w:rsidR="009F33CD" w:rsidRDefault="000748E0" w:rsidP="00011D43">
      <w:pPr>
        <w:pStyle w:val="Heading6"/>
      </w:pPr>
      <w:bookmarkStart w:id="1040" w:name="_Toc187080860"/>
      <w:bookmarkStart w:id="1041" w:name="_Toc185614088"/>
      <w:bookmarkStart w:id="1042" w:name="_Toc224237440"/>
      <w:r>
        <w:t>Table 4.11</w:t>
      </w:r>
      <w:r w:rsidR="00E40740">
        <w:t>: Findings for Kaiser-Meyer-Olkin (KMO) Test</w:t>
      </w:r>
      <w:bookmarkEnd w:id="1031"/>
      <w:bookmarkEnd w:id="1032"/>
      <w:bookmarkEnd w:id="1033"/>
      <w:bookmarkEnd w:id="1034"/>
      <w:bookmarkEnd w:id="1035"/>
      <w:bookmarkEnd w:id="1036"/>
      <w:bookmarkEnd w:id="1037"/>
      <w:bookmarkEnd w:id="1038"/>
      <w:bookmarkEnd w:id="1039"/>
      <w:bookmarkEnd w:id="1040"/>
      <w:bookmarkEnd w:id="1041"/>
      <w:bookmarkEnd w:id="1042"/>
    </w:p>
    <w:tbl>
      <w:tblPr>
        <w:tblW w:w="5000" w:type="pct"/>
        <w:tblBorders>
          <w:top w:val="single" w:sz="4" w:space="0" w:color="auto"/>
          <w:bottom w:val="single" w:sz="4" w:space="0" w:color="auto"/>
        </w:tblBorders>
        <w:tblLook w:val="04A0" w:firstRow="1" w:lastRow="0" w:firstColumn="1" w:lastColumn="0" w:noHBand="0" w:noVBand="1"/>
      </w:tblPr>
      <w:tblGrid>
        <w:gridCol w:w="4320"/>
        <w:gridCol w:w="1884"/>
        <w:gridCol w:w="2016"/>
      </w:tblGrid>
      <w:tr w:rsidR="009F33CD" w14:paraId="6CF095D8" w14:textId="77777777" w:rsidTr="00300636">
        <w:trPr>
          <w:trHeight w:val="45"/>
        </w:trPr>
        <w:tc>
          <w:tcPr>
            <w:tcW w:w="2651" w:type="pct"/>
            <w:tcBorders>
              <w:top w:val="single" w:sz="4" w:space="0" w:color="auto"/>
              <w:bottom w:val="single" w:sz="4" w:space="0" w:color="auto"/>
            </w:tcBorders>
          </w:tcPr>
          <w:p w14:paraId="58DE6E1C" w14:textId="77777777" w:rsidR="009F33CD" w:rsidRDefault="00E40740" w:rsidP="00513500">
            <w:pPr>
              <w:spacing w:after="0" w:afterAutospacing="0" w:line="240" w:lineRule="auto"/>
              <w:rPr>
                <w:rFonts w:cs="Times New Roman"/>
                <w:b/>
                <w:bCs/>
              </w:rPr>
            </w:pPr>
            <w:r>
              <w:rPr>
                <w:rFonts w:cs="Times New Roman"/>
                <w:b/>
                <w:bCs/>
              </w:rPr>
              <w:t>Variables</w:t>
            </w:r>
          </w:p>
        </w:tc>
        <w:tc>
          <w:tcPr>
            <w:tcW w:w="1170" w:type="pct"/>
            <w:tcBorders>
              <w:top w:val="single" w:sz="4" w:space="0" w:color="auto"/>
              <w:bottom w:val="single" w:sz="4" w:space="0" w:color="auto"/>
            </w:tcBorders>
          </w:tcPr>
          <w:p w14:paraId="683312B8" w14:textId="77777777" w:rsidR="009F33CD" w:rsidRDefault="00E40740" w:rsidP="00300636">
            <w:pPr>
              <w:spacing w:after="0" w:afterAutospacing="0" w:line="240" w:lineRule="auto"/>
              <w:jc w:val="center"/>
              <w:rPr>
                <w:rFonts w:cs="Times New Roman"/>
                <w:b/>
                <w:bCs/>
              </w:rPr>
            </w:pPr>
            <w:r>
              <w:rPr>
                <w:rFonts w:cs="Times New Roman"/>
                <w:b/>
                <w:bCs/>
              </w:rPr>
              <w:t>KMO Tests Statistics</w:t>
            </w:r>
          </w:p>
        </w:tc>
        <w:tc>
          <w:tcPr>
            <w:tcW w:w="1178" w:type="pct"/>
            <w:tcBorders>
              <w:top w:val="single" w:sz="4" w:space="0" w:color="auto"/>
              <w:bottom w:val="single" w:sz="4" w:space="0" w:color="auto"/>
            </w:tcBorders>
          </w:tcPr>
          <w:p w14:paraId="0A6201ED" w14:textId="77777777" w:rsidR="009F33CD" w:rsidRDefault="00E40740" w:rsidP="00300636">
            <w:pPr>
              <w:spacing w:after="0" w:afterAutospacing="0" w:line="240" w:lineRule="auto"/>
              <w:jc w:val="center"/>
              <w:rPr>
                <w:rFonts w:cs="Times New Roman"/>
                <w:b/>
                <w:bCs/>
              </w:rPr>
            </w:pPr>
            <w:r>
              <w:rPr>
                <w:rFonts w:cs="Times New Roman"/>
                <w:b/>
                <w:bCs/>
              </w:rPr>
              <w:t>Recommendation</w:t>
            </w:r>
          </w:p>
        </w:tc>
      </w:tr>
      <w:tr w:rsidR="009F33CD" w14:paraId="5F5976DF" w14:textId="77777777" w:rsidTr="00300636">
        <w:trPr>
          <w:trHeight w:val="288"/>
        </w:trPr>
        <w:tc>
          <w:tcPr>
            <w:tcW w:w="2651" w:type="pct"/>
            <w:tcBorders>
              <w:top w:val="single" w:sz="4" w:space="0" w:color="auto"/>
            </w:tcBorders>
          </w:tcPr>
          <w:p w14:paraId="64B17AE0" w14:textId="77777777" w:rsidR="009F33CD" w:rsidRDefault="00E40740">
            <w:pPr>
              <w:spacing w:after="240" w:line="240" w:lineRule="auto"/>
              <w:rPr>
                <w:rFonts w:cs="Times New Roman"/>
                <w:bCs/>
              </w:rPr>
            </w:pPr>
            <w:r>
              <w:rPr>
                <w:rFonts w:cs="Times New Roman"/>
                <w:bCs/>
              </w:rPr>
              <w:t>Green Employee resourcing</w:t>
            </w:r>
          </w:p>
        </w:tc>
        <w:tc>
          <w:tcPr>
            <w:tcW w:w="1170" w:type="pct"/>
            <w:tcBorders>
              <w:top w:val="single" w:sz="4" w:space="0" w:color="auto"/>
            </w:tcBorders>
          </w:tcPr>
          <w:p w14:paraId="07C3C383" w14:textId="77777777" w:rsidR="009F33CD" w:rsidRDefault="00E40740" w:rsidP="00300636">
            <w:pPr>
              <w:spacing w:after="240" w:line="240" w:lineRule="auto"/>
              <w:jc w:val="center"/>
              <w:rPr>
                <w:rFonts w:cs="Times New Roman"/>
                <w:bCs/>
              </w:rPr>
            </w:pPr>
            <w:r>
              <w:rPr>
                <w:rFonts w:cs="Times New Roman"/>
                <w:bCs/>
              </w:rPr>
              <w:t>.882</w:t>
            </w:r>
          </w:p>
        </w:tc>
        <w:tc>
          <w:tcPr>
            <w:tcW w:w="1178" w:type="pct"/>
            <w:tcBorders>
              <w:top w:val="single" w:sz="4" w:space="0" w:color="auto"/>
            </w:tcBorders>
          </w:tcPr>
          <w:p w14:paraId="7C302DC9" w14:textId="77777777" w:rsidR="009F33CD" w:rsidRDefault="00E40740" w:rsidP="00300636">
            <w:pPr>
              <w:spacing w:after="240" w:line="240" w:lineRule="auto"/>
              <w:jc w:val="center"/>
              <w:rPr>
                <w:rFonts w:cs="Times New Roman"/>
                <w:bCs/>
              </w:rPr>
            </w:pPr>
            <w:r>
              <w:rPr>
                <w:rFonts w:cs="Times New Roman"/>
                <w:bCs/>
              </w:rPr>
              <w:t>Accepted</w:t>
            </w:r>
          </w:p>
        </w:tc>
      </w:tr>
      <w:tr w:rsidR="009F33CD" w14:paraId="7F5B8FCA" w14:textId="77777777" w:rsidTr="00300636">
        <w:trPr>
          <w:trHeight w:val="55"/>
        </w:trPr>
        <w:tc>
          <w:tcPr>
            <w:tcW w:w="2651" w:type="pct"/>
          </w:tcPr>
          <w:p w14:paraId="063236C9" w14:textId="77777777" w:rsidR="009F33CD" w:rsidRDefault="00E40740">
            <w:pPr>
              <w:spacing w:after="240" w:line="240" w:lineRule="auto"/>
              <w:rPr>
                <w:rFonts w:cs="Times New Roman"/>
                <w:bCs/>
              </w:rPr>
            </w:pPr>
            <w:r>
              <w:rPr>
                <w:rFonts w:cs="Times New Roman"/>
                <w:bCs/>
              </w:rPr>
              <w:t>Green Training</w:t>
            </w:r>
          </w:p>
        </w:tc>
        <w:tc>
          <w:tcPr>
            <w:tcW w:w="1170" w:type="pct"/>
          </w:tcPr>
          <w:p w14:paraId="4F6C7477" w14:textId="77777777" w:rsidR="009F33CD" w:rsidRDefault="00E40740" w:rsidP="00300636">
            <w:pPr>
              <w:spacing w:after="240" w:line="240" w:lineRule="auto"/>
              <w:jc w:val="center"/>
              <w:rPr>
                <w:rFonts w:cs="Times New Roman"/>
              </w:rPr>
            </w:pPr>
            <w:r>
              <w:rPr>
                <w:rFonts w:cs="Times New Roman"/>
                <w:bCs/>
              </w:rPr>
              <w:t>.832</w:t>
            </w:r>
          </w:p>
        </w:tc>
        <w:tc>
          <w:tcPr>
            <w:tcW w:w="1178" w:type="pct"/>
          </w:tcPr>
          <w:p w14:paraId="0EBCE2F5" w14:textId="77777777" w:rsidR="009F33CD" w:rsidRDefault="00E40740" w:rsidP="00300636">
            <w:pPr>
              <w:spacing w:after="240" w:line="240" w:lineRule="auto"/>
              <w:jc w:val="center"/>
              <w:rPr>
                <w:rFonts w:cs="Times New Roman"/>
              </w:rPr>
            </w:pPr>
            <w:r>
              <w:rPr>
                <w:rFonts w:cs="Times New Roman"/>
                <w:bCs/>
              </w:rPr>
              <w:t>Accepted</w:t>
            </w:r>
          </w:p>
        </w:tc>
      </w:tr>
      <w:tr w:rsidR="009F33CD" w14:paraId="18614699" w14:textId="77777777" w:rsidTr="00300636">
        <w:trPr>
          <w:trHeight w:val="70"/>
        </w:trPr>
        <w:tc>
          <w:tcPr>
            <w:tcW w:w="2651" w:type="pct"/>
          </w:tcPr>
          <w:p w14:paraId="76A840D3" w14:textId="77777777" w:rsidR="009F33CD" w:rsidRDefault="00E40740">
            <w:pPr>
              <w:spacing w:after="240" w:line="240" w:lineRule="auto"/>
              <w:rPr>
                <w:rFonts w:cs="Times New Roman"/>
                <w:bCs/>
              </w:rPr>
            </w:pPr>
            <w:r>
              <w:rPr>
                <w:rFonts w:cs="Times New Roman"/>
                <w:bCs/>
              </w:rPr>
              <w:t>Green Occupational safety and Health</w:t>
            </w:r>
          </w:p>
        </w:tc>
        <w:tc>
          <w:tcPr>
            <w:tcW w:w="1170" w:type="pct"/>
          </w:tcPr>
          <w:p w14:paraId="2FCBD604" w14:textId="77777777" w:rsidR="009F33CD" w:rsidRDefault="00E40740" w:rsidP="00300636">
            <w:pPr>
              <w:spacing w:after="240" w:line="240" w:lineRule="auto"/>
              <w:jc w:val="center"/>
              <w:rPr>
                <w:rFonts w:cs="Times New Roman"/>
              </w:rPr>
            </w:pPr>
            <w:r>
              <w:rPr>
                <w:rFonts w:cs="Times New Roman"/>
                <w:bCs/>
              </w:rPr>
              <w:t>.921</w:t>
            </w:r>
          </w:p>
        </w:tc>
        <w:tc>
          <w:tcPr>
            <w:tcW w:w="1178" w:type="pct"/>
          </w:tcPr>
          <w:p w14:paraId="39DE1891" w14:textId="77777777" w:rsidR="009F33CD" w:rsidRDefault="00E40740" w:rsidP="00300636">
            <w:pPr>
              <w:spacing w:after="240" w:line="240" w:lineRule="auto"/>
              <w:jc w:val="center"/>
              <w:rPr>
                <w:rFonts w:cs="Times New Roman"/>
              </w:rPr>
            </w:pPr>
            <w:r>
              <w:rPr>
                <w:rFonts w:cs="Times New Roman"/>
                <w:bCs/>
              </w:rPr>
              <w:t>Accepted</w:t>
            </w:r>
          </w:p>
        </w:tc>
      </w:tr>
      <w:tr w:rsidR="009F33CD" w14:paraId="546A6C63" w14:textId="77777777" w:rsidTr="00300636">
        <w:trPr>
          <w:trHeight w:val="55"/>
        </w:trPr>
        <w:tc>
          <w:tcPr>
            <w:tcW w:w="2651" w:type="pct"/>
          </w:tcPr>
          <w:p w14:paraId="66DE1FD7" w14:textId="77777777" w:rsidR="009F33CD" w:rsidRDefault="00E40740">
            <w:pPr>
              <w:spacing w:after="240" w:line="240" w:lineRule="auto"/>
              <w:rPr>
                <w:rFonts w:cs="Times New Roman"/>
                <w:bCs/>
              </w:rPr>
            </w:pPr>
            <w:r>
              <w:rPr>
                <w:rFonts w:cs="Times New Roman"/>
                <w:bCs/>
              </w:rPr>
              <w:t>Green Performance Evaluation</w:t>
            </w:r>
          </w:p>
        </w:tc>
        <w:tc>
          <w:tcPr>
            <w:tcW w:w="1170" w:type="pct"/>
          </w:tcPr>
          <w:p w14:paraId="72786726" w14:textId="77777777" w:rsidR="009F33CD" w:rsidRDefault="00E40740" w:rsidP="00300636">
            <w:pPr>
              <w:spacing w:after="240" w:line="240" w:lineRule="auto"/>
              <w:jc w:val="center"/>
              <w:rPr>
                <w:rFonts w:cs="Times New Roman"/>
              </w:rPr>
            </w:pPr>
            <w:r>
              <w:rPr>
                <w:rFonts w:cs="Times New Roman"/>
                <w:bCs/>
              </w:rPr>
              <w:t>.908</w:t>
            </w:r>
          </w:p>
        </w:tc>
        <w:tc>
          <w:tcPr>
            <w:tcW w:w="1178" w:type="pct"/>
          </w:tcPr>
          <w:p w14:paraId="101A1A2A" w14:textId="77777777" w:rsidR="009F33CD" w:rsidRDefault="00E40740" w:rsidP="00300636">
            <w:pPr>
              <w:spacing w:after="240" w:line="240" w:lineRule="auto"/>
              <w:jc w:val="center"/>
              <w:rPr>
                <w:rFonts w:cs="Times New Roman"/>
              </w:rPr>
            </w:pPr>
            <w:r>
              <w:rPr>
                <w:rFonts w:cs="Times New Roman"/>
                <w:bCs/>
              </w:rPr>
              <w:t>Accepted</w:t>
            </w:r>
          </w:p>
        </w:tc>
      </w:tr>
      <w:tr w:rsidR="009F33CD" w14:paraId="73A530ED" w14:textId="77777777" w:rsidTr="00300636">
        <w:trPr>
          <w:trHeight w:val="80"/>
        </w:trPr>
        <w:tc>
          <w:tcPr>
            <w:tcW w:w="2651" w:type="pct"/>
          </w:tcPr>
          <w:p w14:paraId="11CCF579" w14:textId="77777777" w:rsidR="009F33CD" w:rsidRDefault="00E40740">
            <w:pPr>
              <w:spacing w:after="240" w:line="240" w:lineRule="auto"/>
              <w:rPr>
                <w:rFonts w:cs="Times New Roman"/>
                <w:bCs/>
              </w:rPr>
            </w:pPr>
            <w:r>
              <w:rPr>
                <w:rFonts w:cs="Times New Roman"/>
                <w:bCs/>
              </w:rPr>
              <w:t>Management Style</w:t>
            </w:r>
          </w:p>
        </w:tc>
        <w:tc>
          <w:tcPr>
            <w:tcW w:w="1170" w:type="pct"/>
          </w:tcPr>
          <w:p w14:paraId="7EF1DED2" w14:textId="77777777" w:rsidR="009F33CD" w:rsidRDefault="00E40740" w:rsidP="00300636">
            <w:pPr>
              <w:spacing w:after="240" w:line="240" w:lineRule="auto"/>
              <w:jc w:val="center"/>
              <w:rPr>
                <w:rFonts w:cs="Times New Roman"/>
              </w:rPr>
            </w:pPr>
            <w:r>
              <w:rPr>
                <w:rFonts w:cs="Times New Roman"/>
                <w:bCs/>
              </w:rPr>
              <w:t>.972</w:t>
            </w:r>
          </w:p>
        </w:tc>
        <w:tc>
          <w:tcPr>
            <w:tcW w:w="1178" w:type="pct"/>
          </w:tcPr>
          <w:p w14:paraId="1FFE2384" w14:textId="77777777" w:rsidR="009F33CD" w:rsidRDefault="00E40740" w:rsidP="00300636">
            <w:pPr>
              <w:spacing w:after="240" w:line="240" w:lineRule="auto"/>
              <w:jc w:val="center"/>
              <w:rPr>
                <w:rFonts w:cs="Times New Roman"/>
              </w:rPr>
            </w:pPr>
            <w:r>
              <w:rPr>
                <w:rFonts w:cs="Times New Roman"/>
                <w:bCs/>
              </w:rPr>
              <w:t>Accepted</w:t>
            </w:r>
          </w:p>
        </w:tc>
      </w:tr>
      <w:tr w:rsidR="009F33CD" w14:paraId="2E38BCE8" w14:textId="77777777" w:rsidTr="00300636">
        <w:trPr>
          <w:trHeight w:val="175"/>
        </w:trPr>
        <w:tc>
          <w:tcPr>
            <w:tcW w:w="2651" w:type="pct"/>
          </w:tcPr>
          <w:p w14:paraId="2352FA39" w14:textId="77777777" w:rsidR="009F33CD" w:rsidRDefault="00E40740">
            <w:pPr>
              <w:spacing w:after="240" w:line="240" w:lineRule="auto"/>
              <w:rPr>
                <w:rFonts w:cs="Times New Roman"/>
                <w:bCs/>
              </w:rPr>
            </w:pPr>
            <w:r>
              <w:rPr>
                <w:rFonts w:cs="Times New Roman"/>
                <w:bCs/>
                <w:lang w:bidi="en-US"/>
              </w:rPr>
              <w:t>Performance of devolved healthcare services</w:t>
            </w:r>
          </w:p>
        </w:tc>
        <w:tc>
          <w:tcPr>
            <w:tcW w:w="1170" w:type="pct"/>
          </w:tcPr>
          <w:p w14:paraId="41561594" w14:textId="77777777" w:rsidR="009F33CD" w:rsidRDefault="00E40740" w:rsidP="00300636">
            <w:pPr>
              <w:spacing w:after="240" w:line="240" w:lineRule="auto"/>
              <w:jc w:val="center"/>
              <w:rPr>
                <w:rFonts w:cs="Times New Roman"/>
              </w:rPr>
            </w:pPr>
            <w:r>
              <w:rPr>
                <w:rFonts w:cs="Times New Roman"/>
                <w:bCs/>
              </w:rPr>
              <w:t>.892</w:t>
            </w:r>
          </w:p>
        </w:tc>
        <w:tc>
          <w:tcPr>
            <w:tcW w:w="1178" w:type="pct"/>
          </w:tcPr>
          <w:p w14:paraId="1E86A370" w14:textId="77777777" w:rsidR="009F33CD" w:rsidRDefault="00E40740" w:rsidP="00300636">
            <w:pPr>
              <w:spacing w:after="240" w:line="240" w:lineRule="auto"/>
              <w:jc w:val="center"/>
              <w:rPr>
                <w:rFonts w:cs="Times New Roman"/>
              </w:rPr>
            </w:pPr>
            <w:r>
              <w:rPr>
                <w:rFonts w:cs="Times New Roman"/>
                <w:bCs/>
              </w:rPr>
              <w:t>Accepted</w:t>
            </w:r>
          </w:p>
        </w:tc>
      </w:tr>
    </w:tbl>
    <w:p w14:paraId="51B3D31E" w14:textId="77777777" w:rsidR="009F33CD" w:rsidRDefault="003F4007">
      <w:pPr>
        <w:spacing w:after="240"/>
        <w:rPr>
          <w:rFonts w:cs="Times New Roman"/>
        </w:rPr>
      </w:pPr>
      <w:r>
        <w:rPr>
          <w:rFonts w:cs="Times New Roman"/>
        </w:rPr>
        <w:lastRenderedPageBreak/>
        <w:t>According to Table 4.11</w:t>
      </w:r>
      <w:r w:rsidR="00E40740">
        <w:rPr>
          <w:rFonts w:cs="Times New Roman"/>
        </w:rPr>
        <w:t xml:space="preserve">, all KMO test statistics exceeded the threshold value of 0.6. Gujarati (2012) explains that the Kaiser-Meyer-Olkin (KMO) statistic ranges from 0 to 1, with a value above 0.6 considered acceptable. Therefore, the sample used in the study was sufficient and indicative of the broader study population. </w:t>
      </w:r>
    </w:p>
    <w:p w14:paraId="7AB700A2" w14:textId="77777777" w:rsidR="009F33CD" w:rsidRDefault="00E40740">
      <w:pPr>
        <w:pStyle w:val="Heading3"/>
      </w:pPr>
      <w:bookmarkStart w:id="1043" w:name="_Toc178944298"/>
      <w:bookmarkStart w:id="1044" w:name="_Toc165623607"/>
      <w:bookmarkStart w:id="1045" w:name="_Toc178940598"/>
      <w:bookmarkStart w:id="1046" w:name="_Toc178942640"/>
      <w:bookmarkStart w:id="1047" w:name="_Toc147950266"/>
      <w:bookmarkStart w:id="1048" w:name="_Toc178945050"/>
      <w:bookmarkStart w:id="1049" w:name="_Toc165626388"/>
      <w:bookmarkStart w:id="1050" w:name="_Toc187080861"/>
      <w:bookmarkStart w:id="1051" w:name="_Toc185614089"/>
      <w:bookmarkStart w:id="1052" w:name="_Toc188443980"/>
      <w:bookmarkStart w:id="1053" w:name="_Toc188130633"/>
      <w:bookmarkStart w:id="1054" w:name="_Toc188442606"/>
      <w:bookmarkStart w:id="1055" w:name="_Toc224160670"/>
      <w:bookmarkStart w:id="1056" w:name="_Toc224237732"/>
      <w:r>
        <w:t>4.5.2 Normality Test</w:t>
      </w:r>
      <w:bookmarkEnd w:id="1043"/>
      <w:bookmarkEnd w:id="1044"/>
      <w:bookmarkEnd w:id="1045"/>
      <w:bookmarkEnd w:id="1046"/>
      <w:bookmarkEnd w:id="1047"/>
      <w:bookmarkEnd w:id="1048"/>
      <w:bookmarkEnd w:id="1049"/>
      <w:r>
        <w:t xml:space="preserve"> Findings</w:t>
      </w:r>
      <w:bookmarkEnd w:id="1050"/>
      <w:bookmarkEnd w:id="1051"/>
      <w:bookmarkEnd w:id="1052"/>
      <w:bookmarkEnd w:id="1053"/>
      <w:bookmarkEnd w:id="1054"/>
      <w:bookmarkEnd w:id="1055"/>
      <w:bookmarkEnd w:id="1056"/>
    </w:p>
    <w:p w14:paraId="59A045C7" w14:textId="77777777" w:rsidR="009F33CD" w:rsidRDefault="00E40740">
      <w:pPr>
        <w:spacing w:after="240"/>
        <w:rPr>
          <w:rFonts w:cs="Times New Roman"/>
        </w:rPr>
      </w:pPr>
      <w:r>
        <w:rPr>
          <w:rFonts w:cs="Times New Roman"/>
          <w:bCs/>
        </w:rPr>
        <w:t xml:space="preserve">A normality test is usually used to establish the normal distribution of sampled data to make accurate and reliable conclusions about the phenomenon. Normality is the assumption that the scores on a continuous variable are normally distributed about the mean, (Kothari et al., 2017). </w:t>
      </w:r>
      <w:r>
        <w:rPr>
          <w:rFonts w:cs="Times New Roman"/>
        </w:rPr>
        <w:t xml:space="preserve">To test the normal distribution of the data set, analytical and graphical tests were necessary. Analytical tests used were the Kolmogorov- Smirnov Test and the Shapiro-Wilk Test. </w:t>
      </w:r>
    </w:p>
    <w:p w14:paraId="74A1D81A" w14:textId="77777777" w:rsidR="009F33CD" w:rsidRDefault="00E40740">
      <w:pPr>
        <w:rPr>
          <w:rFonts w:cs="Times New Roman"/>
          <w:bCs/>
        </w:rPr>
      </w:pPr>
      <w:r>
        <w:rPr>
          <w:rFonts w:cs="Times New Roman"/>
          <w:bCs/>
        </w:rPr>
        <w:t>When the p-values of one sample Shapiro-Wilk Statistic scores are significant with p-values&gt;0.05 at a confidence interval of 95%, the variables are said to be normally distributed (Field, 201</w:t>
      </w:r>
      <w:r w:rsidR="00437E7A">
        <w:rPr>
          <w:rFonts w:cs="Times New Roman"/>
          <w:bCs/>
        </w:rPr>
        <w:t>8</w:t>
      </w:r>
      <w:r>
        <w:rPr>
          <w:rFonts w:cs="Times New Roman"/>
          <w:bCs/>
        </w:rPr>
        <w:t xml:space="preserve">). The results of the analysed </w:t>
      </w:r>
      <w:r w:rsidR="003F4007">
        <w:rPr>
          <w:rFonts w:cs="Times New Roman"/>
          <w:bCs/>
        </w:rPr>
        <w:t>data are displayed in Table 4.12</w:t>
      </w:r>
      <w:r>
        <w:rPr>
          <w:rFonts w:cs="Times New Roman"/>
          <w:bCs/>
        </w:rPr>
        <w:t>.</w:t>
      </w:r>
      <w:bookmarkStart w:id="1057" w:name="_Toc147950268"/>
      <w:bookmarkStart w:id="1058" w:name="_Toc165623608"/>
      <w:bookmarkStart w:id="1059" w:name="_Toc103174414"/>
      <w:bookmarkStart w:id="1060" w:name="_Toc178945051"/>
      <w:bookmarkStart w:id="1061" w:name="_Toc187080862"/>
      <w:bookmarkStart w:id="1062" w:name="_Toc5359625"/>
      <w:bookmarkStart w:id="1063" w:name="_Toc147946929"/>
      <w:bookmarkStart w:id="1064" w:name="_Toc178940599"/>
      <w:bookmarkStart w:id="1065" w:name="_Toc185614090"/>
      <w:bookmarkStart w:id="1066" w:name="_Toc178942641"/>
      <w:bookmarkStart w:id="1067" w:name="_Toc165626389"/>
      <w:bookmarkStart w:id="1068" w:name="_Toc178944299"/>
      <w:bookmarkStart w:id="1069" w:name="_Hlk145515587"/>
    </w:p>
    <w:p w14:paraId="7FEC6476" w14:textId="77777777" w:rsidR="009F33CD" w:rsidRDefault="000748E0" w:rsidP="00011D43">
      <w:pPr>
        <w:pStyle w:val="Heading6"/>
      </w:pPr>
      <w:bookmarkStart w:id="1070" w:name="_Toc224237441"/>
      <w:r>
        <w:t>Table 4.12</w:t>
      </w:r>
      <w:r w:rsidR="00E40740">
        <w:t>: Findings for Normality Test</w:t>
      </w:r>
      <w:bookmarkEnd w:id="1057"/>
      <w:bookmarkEnd w:id="1058"/>
      <w:bookmarkEnd w:id="1059"/>
      <w:bookmarkEnd w:id="1060"/>
      <w:bookmarkEnd w:id="1061"/>
      <w:bookmarkEnd w:id="1062"/>
      <w:bookmarkEnd w:id="1063"/>
      <w:bookmarkEnd w:id="1064"/>
      <w:bookmarkEnd w:id="1065"/>
      <w:bookmarkEnd w:id="1066"/>
      <w:bookmarkEnd w:id="1067"/>
      <w:bookmarkEnd w:id="1068"/>
      <w:bookmarkEnd w:id="1070"/>
    </w:p>
    <w:tbl>
      <w:tblPr>
        <w:tblW w:w="5000" w:type="pct"/>
        <w:tblBorders>
          <w:top w:val="single" w:sz="4" w:space="0" w:color="auto"/>
          <w:bottom w:val="single" w:sz="4" w:space="0" w:color="auto"/>
        </w:tblBorders>
        <w:tblLook w:val="04A0" w:firstRow="1" w:lastRow="0" w:firstColumn="1" w:lastColumn="0" w:noHBand="0" w:noVBand="1"/>
      </w:tblPr>
      <w:tblGrid>
        <w:gridCol w:w="3287"/>
        <w:gridCol w:w="1069"/>
        <w:gridCol w:w="592"/>
        <w:gridCol w:w="839"/>
        <w:gridCol w:w="1043"/>
        <w:gridCol w:w="576"/>
        <w:gridCol w:w="814"/>
      </w:tblGrid>
      <w:tr w:rsidR="009F33CD" w14:paraId="11C62619" w14:textId="77777777" w:rsidTr="00300636">
        <w:trPr>
          <w:trHeight w:val="142"/>
        </w:trPr>
        <w:tc>
          <w:tcPr>
            <w:tcW w:w="2010" w:type="pct"/>
            <w:vMerge w:val="restart"/>
          </w:tcPr>
          <w:p w14:paraId="2AD70F5C" w14:textId="77777777" w:rsidR="009F33CD" w:rsidRDefault="00E40740">
            <w:pPr>
              <w:spacing w:before="0" w:beforeAutospacing="0" w:after="0" w:afterAutospacing="0" w:line="240" w:lineRule="auto"/>
              <w:rPr>
                <w:rFonts w:cs="Times New Roman"/>
                <w:b/>
                <w:bCs/>
              </w:rPr>
            </w:pPr>
            <w:bookmarkStart w:id="1071" w:name="_Hlk147317482"/>
            <w:r>
              <w:rPr>
                <w:rFonts w:cs="Times New Roman"/>
                <w:b/>
                <w:bCs/>
              </w:rPr>
              <w:t>Variable</w:t>
            </w:r>
          </w:p>
        </w:tc>
        <w:tc>
          <w:tcPr>
            <w:tcW w:w="1550" w:type="pct"/>
            <w:gridSpan w:val="3"/>
            <w:tcBorders>
              <w:bottom w:val="single" w:sz="4" w:space="0" w:color="auto"/>
            </w:tcBorders>
          </w:tcPr>
          <w:p w14:paraId="17750614" w14:textId="77777777" w:rsidR="009F33CD" w:rsidRDefault="00E40740" w:rsidP="00300636">
            <w:pPr>
              <w:spacing w:before="0" w:beforeAutospacing="0" w:after="0" w:afterAutospacing="0" w:line="240" w:lineRule="auto"/>
              <w:jc w:val="center"/>
              <w:rPr>
                <w:rFonts w:cs="Times New Roman"/>
                <w:b/>
                <w:bCs/>
              </w:rPr>
            </w:pPr>
            <w:r>
              <w:rPr>
                <w:rFonts w:cs="Times New Roman"/>
                <w:b/>
                <w:bCs/>
              </w:rPr>
              <w:t>Kolmogorov-Smirnov</w:t>
            </w:r>
            <w:r>
              <w:rPr>
                <w:rFonts w:cs="Times New Roman"/>
                <w:b/>
                <w:bCs/>
                <w:vertAlign w:val="superscript"/>
              </w:rPr>
              <w:t>a</w:t>
            </w:r>
          </w:p>
        </w:tc>
        <w:tc>
          <w:tcPr>
            <w:tcW w:w="1439" w:type="pct"/>
            <w:gridSpan w:val="3"/>
            <w:tcBorders>
              <w:bottom w:val="single" w:sz="4" w:space="0" w:color="auto"/>
            </w:tcBorders>
          </w:tcPr>
          <w:p w14:paraId="7F76F5F1" w14:textId="77777777" w:rsidR="009F33CD" w:rsidRDefault="00E40740" w:rsidP="00300636">
            <w:pPr>
              <w:spacing w:before="0" w:beforeAutospacing="0" w:after="0" w:afterAutospacing="0" w:line="240" w:lineRule="auto"/>
              <w:jc w:val="center"/>
              <w:rPr>
                <w:rFonts w:cs="Times New Roman"/>
                <w:b/>
                <w:bCs/>
              </w:rPr>
            </w:pPr>
            <w:r>
              <w:rPr>
                <w:rFonts w:cs="Times New Roman"/>
                <w:b/>
                <w:bCs/>
              </w:rPr>
              <w:t>Shapiro-Wilk</w:t>
            </w:r>
          </w:p>
        </w:tc>
      </w:tr>
      <w:tr w:rsidR="009F33CD" w14:paraId="7AF3503A" w14:textId="77777777" w:rsidTr="00300636">
        <w:trPr>
          <w:trHeight w:val="258"/>
        </w:trPr>
        <w:tc>
          <w:tcPr>
            <w:tcW w:w="2010" w:type="pct"/>
            <w:vMerge/>
            <w:tcBorders>
              <w:bottom w:val="single" w:sz="4" w:space="0" w:color="auto"/>
            </w:tcBorders>
          </w:tcPr>
          <w:p w14:paraId="79B0572F" w14:textId="77777777" w:rsidR="009F33CD" w:rsidRDefault="009F33CD">
            <w:pPr>
              <w:spacing w:before="0" w:beforeAutospacing="0" w:after="0" w:afterAutospacing="0" w:line="240" w:lineRule="auto"/>
              <w:rPr>
                <w:rFonts w:cs="Times New Roman"/>
              </w:rPr>
            </w:pPr>
          </w:p>
        </w:tc>
        <w:tc>
          <w:tcPr>
            <w:tcW w:w="660" w:type="pct"/>
            <w:tcBorders>
              <w:top w:val="single" w:sz="4" w:space="0" w:color="auto"/>
              <w:bottom w:val="single" w:sz="4" w:space="0" w:color="auto"/>
            </w:tcBorders>
          </w:tcPr>
          <w:p w14:paraId="7D0D9890" w14:textId="77777777" w:rsidR="009F33CD" w:rsidRDefault="00E40740" w:rsidP="00300636">
            <w:pPr>
              <w:spacing w:before="0" w:beforeAutospacing="0" w:after="0" w:afterAutospacing="0" w:line="240" w:lineRule="auto"/>
              <w:jc w:val="center"/>
              <w:rPr>
                <w:rFonts w:cs="Times New Roman"/>
                <w:b/>
                <w:bCs/>
              </w:rPr>
            </w:pPr>
            <w:r>
              <w:rPr>
                <w:rFonts w:cs="Times New Roman"/>
                <w:b/>
                <w:bCs/>
              </w:rPr>
              <w:t>Statistic</w:t>
            </w:r>
          </w:p>
        </w:tc>
        <w:tc>
          <w:tcPr>
            <w:tcW w:w="370" w:type="pct"/>
            <w:tcBorders>
              <w:top w:val="single" w:sz="4" w:space="0" w:color="auto"/>
              <w:bottom w:val="single" w:sz="4" w:space="0" w:color="auto"/>
            </w:tcBorders>
          </w:tcPr>
          <w:p w14:paraId="0DA2BB23" w14:textId="77777777" w:rsidR="009F33CD" w:rsidRDefault="00E40740" w:rsidP="00300636">
            <w:pPr>
              <w:spacing w:before="0" w:beforeAutospacing="0" w:after="0" w:afterAutospacing="0" w:line="240" w:lineRule="auto"/>
              <w:jc w:val="center"/>
              <w:rPr>
                <w:rFonts w:cs="Times New Roman"/>
                <w:b/>
                <w:bCs/>
              </w:rPr>
            </w:pPr>
            <w:r>
              <w:rPr>
                <w:rFonts w:cs="Times New Roman"/>
                <w:b/>
                <w:bCs/>
              </w:rPr>
              <w:t>Df</w:t>
            </w:r>
          </w:p>
        </w:tc>
        <w:tc>
          <w:tcPr>
            <w:tcW w:w="520" w:type="pct"/>
            <w:tcBorders>
              <w:top w:val="single" w:sz="4" w:space="0" w:color="auto"/>
              <w:bottom w:val="single" w:sz="4" w:space="0" w:color="auto"/>
            </w:tcBorders>
          </w:tcPr>
          <w:p w14:paraId="36F1D3B4" w14:textId="77777777" w:rsidR="009F33CD" w:rsidRDefault="00E40740" w:rsidP="00300636">
            <w:pPr>
              <w:spacing w:before="0" w:beforeAutospacing="0" w:after="0" w:afterAutospacing="0" w:line="240" w:lineRule="auto"/>
              <w:jc w:val="center"/>
              <w:rPr>
                <w:rFonts w:cs="Times New Roman"/>
                <w:b/>
                <w:bCs/>
              </w:rPr>
            </w:pPr>
            <w:r>
              <w:rPr>
                <w:rFonts w:cs="Times New Roman"/>
                <w:b/>
                <w:bCs/>
              </w:rPr>
              <w:t>Sig.</w:t>
            </w:r>
          </w:p>
        </w:tc>
        <w:tc>
          <w:tcPr>
            <w:tcW w:w="614" w:type="pct"/>
            <w:tcBorders>
              <w:top w:val="single" w:sz="4" w:space="0" w:color="auto"/>
              <w:bottom w:val="single" w:sz="4" w:space="0" w:color="auto"/>
            </w:tcBorders>
          </w:tcPr>
          <w:p w14:paraId="76537DC0" w14:textId="77777777" w:rsidR="009F33CD" w:rsidRDefault="00E40740" w:rsidP="00300636">
            <w:pPr>
              <w:spacing w:before="0" w:beforeAutospacing="0" w:after="0" w:afterAutospacing="0" w:line="240" w:lineRule="auto"/>
              <w:jc w:val="center"/>
              <w:rPr>
                <w:rFonts w:cs="Times New Roman"/>
                <w:b/>
                <w:bCs/>
              </w:rPr>
            </w:pPr>
            <w:r>
              <w:rPr>
                <w:rFonts w:cs="Times New Roman"/>
                <w:b/>
                <w:bCs/>
              </w:rPr>
              <w:t>Statistic</w:t>
            </w:r>
          </w:p>
        </w:tc>
        <w:tc>
          <w:tcPr>
            <w:tcW w:w="320" w:type="pct"/>
            <w:tcBorders>
              <w:top w:val="single" w:sz="4" w:space="0" w:color="auto"/>
              <w:bottom w:val="single" w:sz="4" w:space="0" w:color="auto"/>
            </w:tcBorders>
          </w:tcPr>
          <w:p w14:paraId="7C0C1506" w14:textId="77777777" w:rsidR="009F33CD" w:rsidRDefault="00E40740" w:rsidP="00300636">
            <w:pPr>
              <w:spacing w:before="0" w:beforeAutospacing="0" w:after="0" w:afterAutospacing="0" w:line="240" w:lineRule="auto"/>
              <w:jc w:val="center"/>
              <w:rPr>
                <w:rFonts w:cs="Times New Roman"/>
                <w:b/>
                <w:bCs/>
              </w:rPr>
            </w:pPr>
            <w:r>
              <w:rPr>
                <w:rFonts w:cs="Times New Roman"/>
                <w:b/>
                <w:bCs/>
              </w:rPr>
              <w:t>Df</w:t>
            </w:r>
          </w:p>
        </w:tc>
        <w:tc>
          <w:tcPr>
            <w:tcW w:w="504" w:type="pct"/>
            <w:tcBorders>
              <w:top w:val="single" w:sz="4" w:space="0" w:color="auto"/>
              <w:bottom w:val="single" w:sz="4" w:space="0" w:color="auto"/>
            </w:tcBorders>
          </w:tcPr>
          <w:p w14:paraId="768F8522" w14:textId="77777777" w:rsidR="009F33CD" w:rsidRDefault="00E40740" w:rsidP="00300636">
            <w:pPr>
              <w:spacing w:before="0" w:beforeAutospacing="0" w:after="0" w:afterAutospacing="0" w:line="240" w:lineRule="auto"/>
              <w:jc w:val="center"/>
              <w:rPr>
                <w:rFonts w:cs="Times New Roman"/>
                <w:b/>
                <w:bCs/>
              </w:rPr>
            </w:pPr>
            <w:r>
              <w:rPr>
                <w:rFonts w:cs="Times New Roman"/>
                <w:b/>
                <w:bCs/>
              </w:rPr>
              <w:t>Sig.</w:t>
            </w:r>
          </w:p>
        </w:tc>
      </w:tr>
      <w:bookmarkEnd w:id="1071"/>
      <w:tr w:rsidR="009F33CD" w14:paraId="168F2A65" w14:textId="77777777" w:rsidTr="00300636">
        <w:trPr>
          <w:trHeight w:hRule="exact" w:val="313"/>
        </w:trPr>
        <w:tc>
          <w:tcPr>
            <w:tcW w:w="2010" w:type="pct"/>
            <w:tcBorders>
              <w:top w:val="single" w:sz="4" w:space="0" w:color="auto"/>
              <w:bottom w:val="nil"/>
            </w:tcBorders>
          </w:tcPr>
          <w:p w14:paraId="6359AA0B" w14:textId="77777777" w:rsidR="009F33CD" w:rsidRDefault="00E40740">
            <w:pPr>
              <w:spacing w:before="0" w:beforeAutospacing="0" w:after="0" w:afterAutospacing="0" w:line="240" w:lineRule="auto"/>
              <w:rPr>
                <w:rFonts w:cs="Times New Roman"/>
                <w:bCs/>
              </w:rPr>
            </w:pPr>
            <w:r>
              <w:rPr>
                <w:rFonts w:cs="Times New Roman"/>
              </w:rPr>
              <w:t>Green Employee resourcing</w:t>
            </w:r>
          </w:p>
        </w:tc>
        <w:tc>
          <w:tcPr>
            <w:tcW w:w="660" w:type="pct"/>
            <w:tcBorders>
              <w:top w:val="single" w:sz="4" w:space="0" w:color="auto"/>
              <w:bottom w:val="nil"/>
            </w:tcBorders>
          </w:tcPr>
          <w:p w14:paraId="01DD5446" w14:textId="77777777" w:rsidR="009F33CD" w:rsidRDefault="00E40740" w:rsidP="00300636">
            <w:pPr>
              <w:spacing w:before="0" w:beforeAutospacing="0" w:after="0" w:afterAutospacing="0" w:line="240" w:lineRule="auto"/>
              <w:jc w:val="center"/>
              <w:rPr>
                <w:rFonts w:cs="Times New Roman"/>
              </w:rPr>
            </w:pPr>
            <w:r>
              <w:rPr>
                <w:rFonts w:cs="Times New Roman"/>
              </w:rPr>
              <w:t>0.583</w:t>
            </w:r>
          </w:p>
        </w:tc>
        <w:tc>
          <w:tcPr>
            <w:tcW w:w="370" w:type="pct"/>
            <w:tcBorders>
              <w:top w:val="single" w:sz="4" w:space="0" w:color="auto"/>
              <w:bottom w:val="nil"/>
            </w:tcBorders>
          </w:tcPr>
          <w:p w14:paraId="22F6A09A"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Borders>
              <w:top w:val="single" w:sz="4" w:space="0" w:color="auto"/>
              <w:bottom w:val="nil"/>
            </w:tcBorders>
          </w:tcPr>
          <w:p w14:paraId="6A7BFD00" w14:textId="77777777" w:rsidR="009F33CD" w:rsidRDefault="00E40740" w:rsidP="00300636">
            <w:pPr>
              <w:spacing w:before="0" w:beforeAutospacing="0" w:after="0" w:afterAutospacing="0" w:line="240" w:lineRule="auto"/>
              <w:jc w:val="center"/>
              <w:rPr>
                <w:rFonts w:cs="Times New Roman"/>
              </w:rPr>
            </w:pPr>
            <w:r>
              <w:rPr>
                <w:rFonts w:cs="Times New Roman"/>
              </w:rPr>
              <w:t>0.231</w:t>
            </w:r>
          </w:p>
        </w:tc>
        <w:tc>
          <w:tcPr>
            <w:tcW w:w="614" w:type="pct"/>
            <w:tcBorders>
              <w:top w:val="single" w:sz="4" w:space="0" w:color="auto"/>
              <w:bottom w:val="nil"/>
            </w:tcBorders>
          </w:tcPr>
          <w:p w14:paraId="31A5DDAA" w14:textId="77777777" w:rsidR="009F33CD" w:rsidRDefault="00E40740" w:rsidP="00300636">
            <w:pPr>
              <w:spacing w:before="0" w:beforeAutospacing="0" w:after="0" w:afterAutospacing="0" w:line="240" w:lineRule="auto"/>
              <w:jc w:val="center"/>
              <w:rPr>
                <w:rFonts w:cs="Times New Roman"/>
              </w:rPr>
            </w:pPr>
            <w:r>
              <w:rPr>
                <w:rFonts w:cs="Times New Roman"/>
              </w:rPr>
              <w:t>0.451</w:t>
            </w:r>
          </w:p>
        </w:tc>
        <w:tc>
          <w:tcPr>
            <w:tcW w:w="320" w:type="pct"/>
            <w:tcBorders>
              <w:top w:val="single" w:sz="4" w:space="0" w:color="auto"/>
              <w:bottom w:val="nil"/>
            </w:tcBorders>
          </w:tcPr>
          <w:p w14:paraId="4335957B"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Borders>
              <w:top w:val="single" w:sz="4" w:space="0" w:color="auto"/>
              <w:bottom w:val="nil"/>
            </w:tcBorders>
          </w:tcPr>
          <w:p w14:paraId="79B45789" w14:textId="77777777" w:rsidR="009F33CD" w:rsidRDefault="00E40740" w:rsidP="00300636">
            <w:pPr>
              <w:spacing w:before="0" w:beforeAutospacing="0" w:after="0" w:afterAutospacing="0" w:line="240" w:lineRule="auto"/>
              <w:jc w:val="center"/>
              <w:rPr>
                <w:rFonts w:cs="Times New Roman"/>
              </w:rPr>
            </w:pPr>
            <w:r>
              <w:rPr>
                <w:rFonts w:cs="Times New Roman"/>
              </w:rPr>
              <w:t>0.568</w:t>
            </w:r>
          </w:p>
        </w:tc>
      </w:tr>
      <w:tr w:rsidR="009F33CD" w14:paraId="23757CE5" w14:textId="77777777" w:rsidTr="00300636">
        <w:trPr>
          <w:trHeight w:hRule="exact" w:val="266"/>
        </w:trPr>
        <w:tc>
          <w:tcPr>
            <w:tcW w:w="2010" w:type="pct"/>
            <w:tcBorders>
              <w:top w:val="nil"/>
            </w:tcBorders>
          </w:tcPr>
          <w:p w14:paraId="0D5A0F7B" w14:textId="77777777" w:rsidR="009F33CD" w:rsidRDefault="00E40740">
            <w:pPr>
              <w:spacing w:before="0" w:beforeAutospacing="0" w:after="0" w:afterAutospacing="0" w:line="240" w:lineRule="auto"/>
              <w:rPr>
                <w:rFonts w:cs="Times New Roman"/>
                <w:bCs/>
              </w:rPr>
            </w:pPr>
            <w:bookmarkStart w:id="1072" w:name="_Hlk146832398"/>
            <w:r>
              <w:rPr>
                <w:rFonts w:cs="Times New Roman"/>
              </w:rPr>
              <w:t>Green Training</w:t>
            </w:r>
            <w:bookmarkEnd w:id="1072"/>
          </w:p>
        </w:tc>
        <w:tc>
          <w:tcPr>
            <w:tcW w:w="660" w:type="pct"/>
            <w:tcBorders>
              <w:top w:val="nil"/>
            </w:tcBorders>
          </w:tcPr>
          <w:p w14:paraId="53108A4B" w14:textId="77777777" w:rsidR="009F33CD" w:rsidRDefault="00E40740" w:rsidP="00300636">
            <w:pPr>
              <w:spacing w:before="0" w:beforeAutospacing="0" w:after="0" w:afterAutospacing="0" w:line="240" w:lineRule="auto"/>
              <w:jc w:val="center"/>
              <w:rPr>
                <w:rFonts w:cs="Times New Roman"/>
              </w:rPr>
            </w:pPr>
            <w:r>
              <w:rPr>
                <w:rFonts w:cs="Times New Roman"/>
              </w:rPr>
              <w:t>0.253</w:t>
            </w:r>
          </w:p>
        </w:tc>
        <w:tc>
          <w:tcPr>
            <w:tcW w:w="370" w:type="pct"/>
            <w:tcBorders>
              <w:top w:val="nil"/>
            </w:tcBorders>
          </w:tcPr>
          <w:p w14:paraId="3C964A52"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Borders>
              <w:top w:val="nil"/>
            </w:tcBorders>
          </w:tcPr>
          <w:p w14:paraId="6CADF4EB" w14:textId="77777777" w:rsidR="009F33CD" w:rsidRDefault="00E40740" w:rsidP="00300636">
            <w:pPr>
              <w:spacing w:before="0" w:beforeAutospacing="0" w:after="0" w:afterAutospacing="0" w:line="240" w:lineRule="auto"/>
              <w:jc w:val="center"/>
              <w:rPr>
                <w:rFonts w:cs="Times New Roman"/>
              </w:rPr>
            </w:pPr>
            <w:r>
              <w:rPr>
                <w:rFonts w:cs="Times New Roman"/>
              </w:rPr>
              <w:t>0.173</w:t>
            </w:r>
          </w:p>
        </w:tc>
        <w:tc>
          <w:tcPr>
            <w:tcW w:w="614" w:type="pct"/>
            <w:tcBorders>
              <w:top w:val="nil"/>
            </w:tcBorders>
          </w:tcPr>
          <w:p w14:paraId="6899BFFF" w14:textId="77777777" w:rsidR="009F33CD" w:rsidRDefault="00E40740" w:rsidP="00300636">
            <w:pPr>
              <w:spacing w:before="0" w:beforeAutospacing="0" w:after="0" w:afterAutospacing="0" w:line="240" w:lineRule="auto"/>
              <w:jc w:val="center"/>
              <w:rPr>
                <w:rFonts w:cs="Times New Roman"/>
              </w:rPr>
            </w:pPr>
            <w:r>
              <w:rPr>
                <w:rFonts w:cs="Times New Roman"/>
              </w:rPr>
              <w:t>0.672</w:t>
            </w:r>
          </w:p>
        </w:tc>
        <w:tc>
          <w:tcPr>
            <w:tcW w:w="320" w:type="pct"/>
            <w:tcBorders>
              <w:top w:val="nil"/>
            </w:tcBorders>
          </w:tcPr>
          <w:p w14:paraId="6D6797BD"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Borders>
              <w:top w:val="nil"/>
            </w:tcBorders>
          </w:tcPr>
          <w:p w14:paraId="3A352266" w14:textId="77777777" w:rsidR="009F33CD" w:rsidRDefault="00E40740" w:rsidP="00300636">
            <w:pPr>
              <w:spacing w:before="0" w:beforeAutospacing="0" w:after="0" w:afterAutospacing="0" w:line="240" w:lineRule="auto"/>
              <w:jc w:val="center"/>
              <w:rPr>
                <w:rFonts w:cs="Times New Roman"/>
              </w:rPr>
            </w:pPr>
            <w:r>
              <w:rPr>
                <w:rFonts w:cs="Times New Roman"/>
              </w:rPr>
              <w:t>0.358</w:t>
            </w:r>
          </w:p>
        </w:tc>
      </w:tr>
      <w:tr w:rsidR="009F33CD" w14:paraId="4B588B2B" w14:textId="77777777" w:rsidTr="00300636">
        <w:trPr>
          <w:trHeight w:hRule="exact" w:val="567"/>
        </w:trPr>
        <w:tc>
          <w:tcPr>
            <w:tcW w:w="2010" w:type="pct"/>
          </w:tcPr>
          <w:p w14:paraId="6D452EDC" w14:textId="77777777" w:rsidR="009F33CD" w:rsidRDefault="00E40740">
            <w:pPr>
              <w:spacing w:before="0" w:beforeAutospacing="0" w:after="0" w:afterAutospacing="0" w:line="240" w:lineRule="auto"/>
              <w:rPr>
                <w:rFonts w:cs="Times New Roman"/>
                <w:bCs/>
              </w:rPr>
            </w:pPr>
            <w:r>
              <w:rPr>
                <w:rFonts w:cs="Times New Roman"/>
              </w:rPr>
              <w:t>Green Occupational safety and Health</w:t>
            </w:r>
          </w:p>
        </w:tc>
        <w:tc>
          <w:tcPr>
            <w:tcW w:w="660" w:type="pct"/>
          </w:tcPr>
          <w:p w14:paraId="1223ADAE" w14:textId="77777777" w:rsidR="009F33CD" w:rsidRDefault="00E40740" w:rsidP="00300636">
            <w:pPr>
              <w:spacing w:before="0" w:beforeAutospacing="0" w:after="0" w:afterAutospacing="0" w:line="240" w:lineRule="auto"/>
              <w:jc w:val="center"/>
              <w:rPr>
                <w:rFonts w:cs="Times New Roman"/>
              </w:rPr>
            </w:pPr>
            <w:r>
              <w:rPr>
                <w:rFonts w:cs="Times New Roman"/>
              </w:rPr>
              <w:t>0.285</w:t>
            </w:r>
          </w:p>
        </w:tc>
        <w:tc>
          <w:tcPr>
            <w:tcW w:w="370" w:type="pct"/>
          </w:tcPr>
          <w:p w14:paraId="7DCA9425"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Pr>
          <w:p w14:paraId="5FA24886" w14:textId="77777777" w:rsidR="009F33CD" w:rsidRDefault="00E40740" w:rsidP="00300636">
            <w:pPr>
              <w:spacing w:before="0" w:beforeAutospacing="0" w:after="0" w:afterAutospacing="0" w:line="240" w:lineRule="auto"/>
              <w:jc w:val="center"/>
              <w:rPr>
                <w:rFonts w:cs="Times New Roman"/>
              </w:rPr>
            </w:pPr>
            <w:r>
              <w:rPr>
                <w:rFonts w:cs="Times New Roman"/>
              </w:rPr>
              <w:t>0.572</w:t>
            </w:r>
          </w:p>
        </w:tc>
        <w:tc>
          <w:tcPr>
            <w:tcW w:w="614" w:type="pct"/>
          </w:tcPr>
          <w:p w14:paraId="6FC52AE6" w14:textId="77777777" w:rsidR="009F33CD" w:rsidRDefault="00E40740" w:rsidP="00300636">
            <w:pPr>
              <w:spacing w:before="0" w:beforeAutospacing="0" w:after="0" w:afterAutospacing="0" w:line="240" w:lineRule="auto"/>
              <w:jc w:val="center"/>
              <w:rPr>
                <w:rFonts w:cs="Times New Roman"/>
              </w:rPr>
            </w:pPr>
            <w:r>
              <w:rPr>
                <w:rFonts w:cs="Times New Roman"/>
              </w:rPr>
              <w:t>0.368</w:t>
            </w:r>
          </w:p>
        </w:tc>
        <w:tc>
          <w:tcPr>
            <w:tcW w:w="320" w:type="pct"/>
          </w:tcPr>
          <w:p w14:paraId="7A0B9ACF"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Pr>
          <w:p w14:paraId="2A3EEEB6" w14:textId="77777777" w:rsidR="009F33CD" w:rsidRDefault="00E40740" w:rsidP="00300636">
            <w:pPr>
              <w:spacing w:before="0" w:beforeAutospacing="0" w:after="0" w:afterAutospacing="0" w:line="240" w:lineRule="auto"/>
              <w:jc w:val="center"/>
              <w:rPr>
                <w:rFonts w:cs="Times New Roman"/>
              </w:rPr>
            </w:pPr>
            <w:r>
              <w:rPr>
                <w:rFonts w:cs="Times New Roman"/>
              </w:rPr>
              <w:t>0.643</w:t>
            </w:r>
          </w:p>
        </w:tc>
      </w:tr>
      <w:tr w:rsidR="009F33CD" w14:paraId="2833889F" w14:textId="77777777" w:rsidTr="00300636">
        <w:trPr>
          <w:trHeight w:hRule="exact" w:val="278"/>
        </w:trPr>
        <w:tc>
          <w:tcPr>
            <w:tcW w:w="2010" w:type="pct"/>
          </w:tcPr>
          <w:p w14:paraId="1EDFBC4D" w14:textId="77777777" w:rsidR="009F33CD" w:rsidRDefault="00E40740">
            <w:pPr>
              <w:spacing w:before="0" w:beforeAutospacing="0" w:after="0" w:afterAutospacing="0" w:line="240" w:lineRule="auto"/>
              <w:rPr>
                <w:rFonts w:cs="Times New Roman"/>
                <w:bCs/>
              </w:rPr>
            </w:pPr>
            <w:r>
              <w:rPr>
                <w:rFonts w:cs="Times New Roman"/>
              </w:rPr>
              <w:t>Green Performance Evaluation</w:t>
            </w:r>
          </w:p>
        </w:tc>
        <w:tc>
          <w:tcPr>
            <w:tcW w:w="660" w:type="pct"/>
          </w:tcPr>
          <w:p w14:paraId="08479AFC" w14:textId="77777777" w:rsidR="009F33CD" w:rsidRDefault="00E40740" w:rsidP="00300636">
            <w:pPr>
              <w:spacing w:before="0" w:beforeAutospacing="0" w:after="0" w:afterAutospacing="0" w:line="240" w:lineRule="auto"/>
              <w:jc w:val="center"/>
              <w:rPr>
                <w:rFonts w:cs="Times New Roman"/>
              </w:rPr>
            </w:pPr>
            <w:r>
              <w:rPr>
                <w:rFonts w:cs="Times New Roman"/>
              </w:rPr>
              <w:t>0.249</w:t>
            </w:r>
          </w:p>
        </w:tc>
        <w:tc>
          <w:tcPr>
            <w:tcW w:w="370" w:type="pct"/>
          </w:tcPr>
          <w:p w14:paraId="3E117430"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Pr>
          <w:p w14:paraId="3EA32995" w14:textId="77777777" w:rsidR="009F33CD" w:rsidRDefault="00E40740" w:rsidP="00300636">
            <w:pPr>
              <w:spacing w:before="0" w:beforeAutospacing="0" w:after="0" w:afterAutospacing="0" w:line="240" w:lineRule="auto"/>
              <w:jc w:val="center"/>
              <w:rPr>
                <w:rFonts w:cs="Times New Roman"/>
              </w:rPr>
            </w:pPr>
            <w:r>
              <w:rPr>
                <w:rFonts w:cs="Times New Roman"/>
              </w:rPr>
              <w:t>0.142</w:t>
            </w:r>
          </w:p>
        </w:tc>
        <w:tc>
          <w:tcPr>
            <w:tcW w:w="614" w:type="pct"/>
          </w:tcPr>
          <w:p w14:paraId="147F124C" w14:textId="77777777" w:rsidR="009F33CD" w:rsidRDefault="00E40740" w:rsidP="00300636">
            <w:pPr>
              <w:spacing w:before="0" w:beforeAutospacing="0" w:after="0" w:afterAutospacing="0" w:line="240" w:lineRule="auto"/>
              <w:jc w:val="center"/>
              <w:rPr>
                <w:rFonts w:cs="Times New Roman"/>
              </w:rPr>
            </w:pPr>
            <w:r>
              <w:rPr>
                <w:rFonts w:cs="Times New Roman"/>
              </w:rPr>
              <w:t>0.616</w:t>
            </w:r>
          </w:p>
        </w:tc>
        <w:tc>
          <w:tcPr>
            <w:tcW w:w="320" w:type="pct"/>
          </w:tcPr>
          <w:p w14:paraId="69EDA6ED"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Pr>
          <w:p w14:paraId="5D29D093" w14:textId="77777777" w:rsidR="009F33CD" w:rsidRDefault="00E40740" w:rsidP="00300636">
            <w:pPr>
              <w:spacing w:before="0" w:beforeAutospacing="0" w:after="0" w:afterAutospacing="0" w:line="240" w:lineRule="auto"/>
              <w:jc w:val="center"/>
              <w:rPr>
                <w:rFonts w:cs="Times New Roman"/>
              </w:rPr>
            </w:pPr>
            <w:r>
              <w:rPr>
                <w:rFonts w:cs="Times New Roman"/>
              </w:rPr>
              <w:t>0.175</w:t>
            </w:r>
          </w:p>
        </w:tc>
      </w:tr>
      <w:tr w:rsidR="009F33CD" w14:paraId="2FB75D57" w14:textId="77777777" w:rsidTr="00300636">
        <w:trPr>
          <w:trHeight w:hRule="exact" w:val="281"/>
        </w:trPr>
        <w:tc>
          <w:tcPr>
            <w:tcW w:w="2010" w:type="pct"/>
          </w:tcPr>
          <w:p w14:paraId="5C0D00D8" w14:textId="77777777" w:rsidR="009F33CD" w:rsidRDefault="00E40740">
            <w:pPr>
              <w:spacing w:before="0" w:beforeAutospacing="0" w:after="0" w:afterAutospacing="0" w:line="240" w:lineRule="auto"/>
              <w:rPr>
                <w:rFonts w:cs="Times New Roman"/>
                <w:bCs/>
              </w:rPr>
            </w:pPr>
            <w:r>
              <w:rPr>
                <w:rFonts w:cs="Times New Roman"/>
              </w:rPr>
              <w:t>Management Style</w:t>
            </w:r>
          </w:p>
        </w:tc>
        <w:tc>
          <w:tcPr>
            <w:tcW w:w="660" w:type="pct"/>
          </w:tcPr>
          <w:p w14:paraId="79E64A70" w14:textId="77777777" w:rsidR="009F33CD" w:rsidRDefault="00E40740" w:rsidP="00300636">
            <w:pPr>
              <w:spacing w:before="0" w:beforeAutospacing="0" w:after="0" w:afterAutospacing="0" w:line="240" w:lineRule="auto"/>
              <w:jc w:val="center"/>
              <w:rPr>
                <w:rFonts w:cs="Times New Roman"/>
              </w:rPr>
            </w:pPr>
            <w:r>
              <w:rPr>
                <w:rFonts w:cs="Times New Roman"/>
              </w:rPr>
              <w:t>0.346</w:t>
            </w:r>
          </w:p>
        </w:tc>
        <w:tc>
          <w:tcPr>
            <w:tcW w:w="370" w:type="pct"/>
          </w:tcPr>
          <w:p w14:paraId="12C2A114"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Pr>
          <w:p w14:paraId="4FAA2F71" w14:textId="77777777" w:rsidR="009F33CD" w:rsidRDefault="00E40740" w:rsidP="00300636">
            <w:pPr>
              <w:spacing w:before="0" w:beforeAutospacing="0" w:after="0" w:afterAutospacing="0" w:line="240" w:lineRule="auto"/>
              <w:jc w:val="center"/>
              <w:rPr>
                <w:rFonts w:cs="Times New Roman"/>
              </w:rPr>
            </w:pPr>
            <w:r>
              <w:rPr>
                <w:rFonts w:cs="Times New Roman"/>
              </w:rPr>
              <w:t>0.715</w:t>
            </w:r>
          </w:p>
        </w:tc>
        <w:tc>
          <w:tcPr>
            <w:tcW w:w="614" w:type="pct"/>
          </w:tcPr>
          <w:p w14:paraId="4EEADE36" w14:textId="77777777" w:rsidR="009F33CD" w:rsidRDefault="00E40740" w:rsidP="00300636">
            <w:pPr>
              <w:spacing w:before="0" w:beforeAutospacing="0" w:after="0" w:afterAutospacing="0" w:line="240" w:lineRule="auto"/>
              <w:jc w:val="center"/>
              <w:rPr>
                <w:rFonts w:cs="Times New Roman"/>
              </w:rPr>
            </w:pPr>
            <w:r>
              <w:rPr>
                <w:rFonts w:cs="Times New Roman"/>
              </w:rPr>
              <w:t>0.776</w:t>
            </w:r>
          </w:p>
        </w:tc>
        <w:tc>
          <w:tcPr>
            <w:tcW w:w="320" w:type="pct"/>
          </w:tcPr>
          <w:p w14:paraId="235BA77E"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Pr>
          <w:p w14:paraId="0E355981" w14:textId="77777777" w:rsidR="009F33CD" w:rsidRDefault="00E40740" w:rsidP="00300636">
            <w:pPr>
              <w:spacing w:before="0" w:beforeAutospacing="0" w:after="0" w:afterAutospacing="0" w:line="240" w:lineRule="auto"/>
              <w:jc w:val="center"/>
              <w:rPr>
                <w:rFonts w:cs="Times New Roman"/>
              </w:rPr>
            </w:pPr>
            <w:r>
              <w:rPr>
                <w:rFonts w:cs="Times New Roman"/>
              </w:rPr>
              <w:t>0.775</w:t>
            </w:r>
          </w:p>
        </w:tc>
      </w:tr>
      <w:tr w:rsidR="009F33CD" w14:paraId="235CE024" w14:textId="77777777" w:rsidTr="00300636">
        <w:trPr>
          <w:trHeight w:hRule="exact" w:val="568"/>
        </w:trPr>
        <w:tc>
          <w:tcPr>
            <w:tcW w:w="2010" w:type="pct"/>
          </w:tcPr>
          <w:p w14:paraId="2884A447" w14:textId="77777777" w:rsidR="009F33CD" w:rsidRDefault="00E40740">
            <w:pPr>
              <w:spacing w:before="0" w:beforeAutospacing="0" w:after="0" w:afterAutospacing="0" w:line="240" w:lineRule="auto"/>
              <w:rPr>
                <w:rFonts w:cs="Times New Roman"/>
                <w:bCs/>
              </w:rPr>
            </w:pPr>
            <w:r>
              <w:rPr>
                <w:rFonts w:cs="Times New Roman"/>
              </w:rPr>
              <w:t>Performance of devolved healthcare services</w:t>
            </w:r>
          </w:p>
        </w:tc>
        <w:tc>
          <w:tcPr>
            <w:tcW w:w="660" w:type="pct"/>
          </w:tcPr>
          <w:p w14:paraId="039F1130" w14:textId="77777777" w:rsidR="009F33CD" w:rsidRDefault="00E40740" w:rsidP="00300636">
            <w:pPr>
              <w:spacing w:before="0" w:beforeAutospacing="0" w:after="0" w:afterAutospacing="0" w:line="240" w:lineRule="auto"/>
              <w:jc w:val="center"/>
              <w:rPr>
                <w:rFonts w:cs="Times New Roman"/>
              </w:rPr>
            </w:pPr>
            <w:r>
              <w:rPr>
                <w:rFonts w:cs="Times New Roman"/>
              </w:rPr>
              <w:t>0.447</w:t>
            </w:r>
          </w:p>
        </w:tc>
        <w:tc>
          <w:tcPr>
            <w:tcW w:w="370" w:type="pct"/>
          </w:tcPr>
          <w:p w14:paraId="0863064E"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20" w:type="pct"/>
          </w:tcPr>
          <w:p w14:paraId="59F583B9" w14:textId="77777777" w:rsidR="009F33CD" w:rsidRDefault="00E40740" w:rsidP="00300636">
            <w:pPr>
              <w:spacing w:before="0" w:beforeAutospacing="0" w:after="0" w:afterAutospacing="0" w:line="240" w:lineRule="auto"/>
              <w:jc w:val="center"/>
              <w:rPr>
                <w:rFonts w:cs="Times New Roman"/>
              </w:rPr>
            </w:pPr>
            <w:r>
              <w:rPr>
                <w:rFonts w:cs="Times New Roman"/>
              </w:rPr>
              <w:t>0.616</w:t>
            </w:r>
          </w:p>
        </w:tc>
        <w:tc>
          <w:tcPr>
            <w:tcW w:w="614" w:type="pct"/>
          </w:tcPr>
          <w:p w14:paraId="3ACB428C" w14:textId="77777777" w:rsidR="009F33CD" w:rsidRDefault="00E40740" w:rsidP="00300636">
            <w:pPr>
              <w:spacing w:before="0" w:beforeAutospacing="0" w:after="0" w:afterAutospacing="0" w:line="240" w:lineRule="auto"/>
              <w:jc w:val="center"/>
              <w:rPr>
                <w:rFonts w:cs="Times New Roman"/>
              </w:rPr>
            </w:pPr>
            <w:r>
              <w:rPr>
                <w:rFonts w:cs="Times New Roman"/>
              </w:rPr>
              <w:t>0.857</w:t>
            </w:r>
          </w:p>
        </w:tc>
        <w:tc>
          <w:tcPr>
            <w:tcW w:w="320" w:type="pct"/>
          </w:tcPr>
          <w:p w14:paraId="22C4D5BE" w14:textId="77777777" w:rsidR="009F33CD" w:rsidRDefault="00E40740" w:rsidP="00300636">
            <w:pPr>
              <w:spacing w:before="0" w:beforeAutospacing="0" w:after="0" w:afterAutospacing="0" w:line="240" w:lineRule="auto"/>
              <w:jc w:val="center"/>
              <w:rPr>
                <w:rFonts w:cs="Times New Roman"/>
              </w:rPr>
            </w:pPr>
            <w:r>
              <w:rPr>
                <w:rFonts w:cs="Times New Roman"/>
              </w:rPr>
              <w:t>118</w:t>
            </w:r>
          </w:p>
        </w:tc>
        <w:tc>
          <w:tcPr>
            <w:tcW w:w="504" w:type="pct"/>
          </w:tcPr>
          <w:p w14:paraId="7448AE8A" w14:textId="77777777" w:rsidR="009F33CD" w:rsidRDefault="00E40740" w:rsidP="00300636">
            <w:pPr>
              <w:spacing w:before="0" w:beforeAutospacing="0" w:after="0" w:afterAutospacing="0" w:line="240" w:lineRule="auto"/>
              <w:jc w:val="center"/>
              <w:rPr>
                <w:rFonts w:cs="Times New Roman"/>
              </w:rPr>
            </w:pPr>
            <w:r>
              <w:rPr>
                <w:rFonts w:cs="Times New Roman"/>
              </w:rPr>
              <w:t>0.356</w:t>
            </w:r>
          </w:p>
        </w:tc>
      </w:tr>
    </w:tbl>
    <w:bookmarkEnd w:id="1069"/>
    <w:p w14:paraId="3D0F903B" w14:textId="77777777" w:rsidR="009F33CD" w:rsidRDefault="00E40740">
      <w:pPr>
        <w:spacing w:after="240"/>
        <w:rPr>
          <w:rFonts w:cs="Times New Roman"/>
        </w:rPr>
      </w:pPr>
      <w:r>
        <w:rPr>
          <w:rFonts w:cs="Times New Roman"/>
        </w:rPr>
        <w:t>The null hypothesis that the data set is not normally distributed is rejected if the p-value is greater than</w:t>
      </w:r>
      <w:r w:rsidR="003F4007">
        <w:rPr>
          <w:rFonts w:cs="Times New Roman"/>
        </w:rPr>
        <w:t xml:space="preserve"> 0.05. The results in Table 4.12</w:t>
      </w:r>
      <w:r>
        <w:rPr>
          <w:rFonts w:cs="Times New Roman"/>
        </w:rPr>
        <w:t xml:space="preserve"> indicate the distribution of green human resource management practices and the performance of devolved healthcare services in Kenya. Specifically, Green Employee resourcing (p-value 0.568&gt;0.05), Green Training (p-value 0.358&gt;0.05), Green Occupational Safety and Health (p-value 0.643&gt;0.05), Green Performance Evaluation (p-value 0.175&gt;0.05), Management Style </w:t>
      </w:r>
      <w:r>
        <w:rPr>
          <w:rFonts w:cs="Times New Roman"/>
        </w:rPr>
        <w:lastRenderedPageBreak/>
        <w:t>(p-value 0.775&gt;0.05), and Performance of devolved healthcare services (p-value 0.356&gt;0.05) showed no significant deviation from normal distribution as all p-values were higher than 0.05. From Table 4.</w:t>
      </w:r>
      <w:r w:rsidR="003F4007">
        <w:rPr>
          <w:rFonts w:cs="Times New Roman"/>
          <w:lang w:val="en-US"/>
        </w:rPr>
        <w:t>12</w:t>
      </w:r>
      <w:r>
        <w:rPr>
          <w:rFonts w:cs="Times New Roman"/>
        </w:rPr>
        <w:t xml:space="preserve">, the Kolmogorov-Smirnov Test was conducted, and the significance results: 0.231, 0.173, 0.572, 0.142, 0.715, and 0.616 were all greater than 0.05 displaying normal distribution. It was concluded that the study analysis established that the sample data adhered to a normal distribution. </w:t>
      </w:r>
    </w:p>
    <w:p w14:paraId="191D0865" w14:textId="77777777" w:rsidR="009F33CD" w:rsidRDefault="00E40740">
      <w:pPr>
        <w:spacing w:after="240"/>
        <w:rPr>
          <w:rFonts w:cs="Times New Roman"/>
          <w:bCs/>
        </w:rPr>
      </w:pPr>
      <w:r>
        <w:rPr>
          <w:rFonts w:cs="Times New Roman"/>
          <w:bCs/>
        </w:rPr>
        <w:t xml:space="preserve">The histogram was used as one of the graphical methods to determine if a normal distribution of data was assumed. The histogram test of normal distribution for dependent variable items was conducted as displayed </w:t>
      </w:r>
      <w:r>
        <w:rPr>
          <w:rFonts w:cs="Times New Roman"/>
        </w:rPr>
        <w:t xml:space="preserve">in Figure 4.3. This finding is supported by Kaaria (2019) who found that Shapiro-Wilk results for all independent variables were normally distributed. </w:t>
      </w:r>
    </w:p>
    <w:p w14:paraId="09D7BFD2" w14:textId="77777777" w:rsidR="009F33CD" w:rsidRDefault="00E40740">
      <w:pPr>
        <w:spacing w:after="240"/>
        <w:rPr>
          <w:rFonts w:cs="Times New Roman"/>
        </w:rPr>
      </w:pPr>
      <w:r>
        <w:rPr>
          <w:rFonts w:cs="Times New Roman"/>
          <w:noProof/>
          <w:lang w:val="en-US"/>
        </w:rPr>
        <w:drawing>
          <wp:inline distT="0" distB="0" distL="0" distR="0" wp14:anchorId="4ED20D29" wp14:editId="6B4FCC90">
            <wp:extent cx="5238750" cy="30035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r="25000"/>
                    <a:stretch>
                      <a:fillRect/>
                    </a:stretch>
                  </pic:blipFill>
                  <pic:spPr>
                    <a:xfrm>
                      <a:off x="0" y="0"/>
                      <a:ext cx="5260202" cy="3015849"/>
                    </a:xfrm>
                    <a:prstGeom prst="rect">
                      <a:avLst/>
                    </a:prstGeom>
                    <a:noFill/>
                    <a:ln>
                      <a:noFill/>
                    </a:ln>
                  </pic:spPr>
                </pic:pic>
              </a:graphicData>
            </a:graphic>
          </wp:inline>
        </w:drawing>
      </w:r>
    </w:p>
    <w:p w14:paraId="34E68673" w14:textId="77777777" w:rsidR="009F33CD" w:rsidRDefault="00E40740">
      <w:pPr>
        <w:pStyle w:val="Heading5"/>
      </w:pPr>
      <w:bookmarkStart w:id="1073" w:name="_Toc178942642"/>
      <w:bookmarkStart w:id="1074" w:name="_Toc187996270"/>
      <w:bookmarkStart w:id="1075" w:name="_Toc178945052"/>
      <w:bookmarkStart w:id="1076" w:name="_Toc147950269"/>
      <w:bookmarkStart w:id="1077" w:name="_Toc187080863"/>
      <w:bookmarkStart w:id="1078" w:name="_Toc185614091"/>
      <w:bookmarkStart w:id="1079" w:name="_Toc165623609"/>
      <w:bookmarkStart w:id="1080" w:name="_Toc178944300"/>
      <w:bookmarkStart w:id="1081" w:name="_Toc165626390"/>
      <w:bookmarkStart w:id="1082" w:name="_Toc147946930"/>
      <w:r>
        <w:t>Figure 4.3: Histogram of Dependent Variable</w:t>
      </w:r>
      <w:bookmarkEnd w:id="1073"/>
      <w:bookmarkEnd w:id="1074"/>
      <w:bookmarkEnd w:id="1075"/>
      <w:bookmarkEnd w:id="1076"/>
      <w:bookmarkEnd w:id="1077"/>
      <w:bookmarkEnd w:id="1078"/>
      <w:bookmarkEnd w:id="1079"/>
      <w:bookmarkEnd w:id="1080"/>
      <w:bookmarkEnd w:id="1081"/>
      <w:bookmarkEnd w:id="1082"/>
    </w:p>
    <w:p w14:paraId="0AC0B53C" w14:textId="77777777" w:rsidR="009F33CD" w:rsidRDefault="00E40740">
      <w:pPr>
        <w:spacing w:after="240"/>
        <w:rPr>
          <w:rFonts w:cs="Times New Roman"/>
        </w:rPr>
      </w:pPr>
      <w:r>
        <w:rPr>
          <w:rFonts w:cs="Times New Roman"/>
        </w:rPr>
        <w:t xml:space="preserve">Plotting the curve on histogram data, the result in Figure 4.3 showed the corresponding result of the normal distribution curve. This indicates that the data set for the dependent variable was normally distributed as more data is concentrated around the normal mean of zero. This finding aligns with Lindgren (2020) who found similar statistical characteristics suggesting that data reflected the properties of normality.  </w:t>
      </w:r>
    </w:p>
    <w:p w14:paraId="1DF56EE7" w14:textId="77777777" w:rsidR="009F33CD" w:rsidRDefault="00E40740">
      <w:pPr>
        <w:pStyle w:val="Heading3"/>
      </w:pPr>
      <w:bookmarkStart w:id="1083" w:name="_Toc178942643"/>
      <w:bookmarkStart w:id="1084" w:name="_Toc147950270"/>
      <w:bookmarkStart w:id="1085" w:name="_Toc178945053"/>
      <w:bookmarkStart w:id="1086" w:name="_Toc165623610"/>
      <w:bookmarkStart w:id="1087" w:name="_Toc165626391"/>
      <w:bookmarkStart w:id="1088" w:name="_Toc178944301"/>
      <w:bookmarkStart w:id="1089" w:name="_Toc188442607"/>
      <w:bookmarkStart w:id="1090" w:name="_Toc188130634"/>
      <w:bookmarkStart w:id="1091" w:name="_Toc188443981"/>
      <w:bookmarkStart w:id="1092" w:name="_Toc187080864"/>
      <w:bookmarkStart w:id="1093" w:name="_Toc185614092"/>
      <w:bookmarkStart w:id="1094" w:name="_Toc224160671"/>
      <w:bookmarkStart w:id="1095" w:name="_Toc224237733"/>
      <w:r>
        <w:lastRenderedPageBreak/>
        <w:t>4.5.3 Heteroscedasticity Test</w:t>
      </w:r>
      <w:bookmarkEnd w:id="1083"/>
      <w:bookmarkEnd w:id="1084"/>
      <w:bookmarkEnd w:id="1085"/>
      <w:bookmarkEnd w:id="1086"/>
      <w:bookmarkEnd w:id="1087"/>
      <w:bookmarkEnd w:id="1088"/>
      <w:r>
        <w:t xml:space="preserve"> Findings</w:t>
      </w:r>
      <w:bookmarkEnd w:id="1089"/>
      <w:bookmarkEnd w:id="1090"/>
      <w:bookmarkEnd w:id="1091"/>
      <w:bookmarkEnd w:id="1092"/>
      <w:bookmarkEnd w:id="1093"/>
      <w:bookmarkEnd w:id="1094"/>
      <w:bookmarkEnd w:id="1095"/>
    </w:p>
    <w:p w14:paraId="6BAC5EEB" w14:textId="77777777" w:rsidR="009F33CD" w:rsidRDefault="00E40740">
      <w:pPr>
        <w:spacing w:after="240"/>
        <w:rPr>
          <w:rFonts w:cs="Times New Roman"/>
        </w:rPr>
      </w:pPr>
      <w:r>
        <w:rPr>
          <w:rFonts w:cs="Times New Roman"/>
        </w:rPr>
        <w:t xml:space="preserve">Homoscedasticity refers to the assumption of constant residual variance, while heteroscedasticity is when the variance is not constant. According to Tabachnick, Fidell, and </w:t>
      </w:r>
      <w:r>
        <w:rPr>
          <w:rFonts w:cs="Times New Roman"/>
          <w:bCs/>
        </w:rPr>
        <w:t>Ullman</w:t>
      </w:r>
      <w:r>
        <w:rPr>
          <w:rFonts w:cs="Times New Roman"/>
        </w:rPr>
        <w:t xml:space="preserve"> (2013), heteroscedasticity occurs when the variance of the error term is different among values of independent variables.  For the best linear unbiased estimator, it is necessary to fulfil the assumption of homoscedasticity or non-heteroscedasticity. The res</w:t>
      </w:r>
      <w:r w:rsidR="003F4007">
        <w:rPr>
          <w:rFonts w:cs="Times New Roman"/>
        </w:rPr>
        <w:t>ults are presented in Table 4.13</w:t>
      </w:r>
      <w:r>
        <w:rPr>
          <w:rFonts w:cs="Times New Roman"/>
        </w:rPr>
        <w:t>.</w:t>
      </w:r>
    </w:p>
    <w:p w14:paraId="4EC256C1" w14:textId="77777777" w:rsidR="009F33CD" w:rsidRDefault="00E40740" w:rsidP="00E53B8A">
      <w:pPr>
        <w:pStyle w:val="Heading6"/>
      </w:pPr>
      <w:bookmarkStart w:id="1096" w:name="_Toc147950271"/>
      <w:bookmarkStart w:id="1097" w:name="_Toc147946932"/>
      <w:bookmarkStart w:id="1098" w:name="_Toc178942644"/>
      <w:bookmarkStart w:id="1099" w:name="_Toc103174422"/>
      <w:bookmarkStart w:id="1100" w:name="_Toc178944302"/>
      <w:bookmarkStart w:id="1101" w:name="_Toc165623611"/>
      <w:bookmarkStart w:id="1102" w:name="_Toc165626392"/>
      <w:bookmarkStart w:id="1103" w:name="_Toc178945054"/>
      <w:bookmarkStart w:id="1104" w:name="_Toc185614093"/>
      <w:bookmarkStart w:id="1105" w:name="_Toc187080865"/>
      <w:bookmarkStart w:id="1106" w:name="_Toc224237442"/>
      <w:bookmarkStart w:id="1107" w:name="_Hlk147147854"/>
      <w:r>
        <w:t>Table 4.1</w:t>
      </w:r>
      <w:r w:rsidR="000748E0">
        <w:t>3</w:t>
      </w:r>
      <w:r>
        <w:t xml:space="preserve">: Findings for </w:t>
      </w:r>
      <w:r w:rsidRPr="00E53B8A">
        <w:t>Heteroscedasticity</w:t>
      </w:r>
      <w:bookmarkEnd w:id="1096"/>
      <w:bookmarkEnd w:id="1097"/>
      <w:bookmarkEnd w:id="1098"/>
      <w:bookmarkEnd w:id="1099"/>
      <w:bookmarkEnd w:id="1100"/>
      <w:bookmarkEnd w:id="1101"/>
      <w:bookmarkEnd w:id="1102"/>
      <w:bookmarkEnd w:id="1103"/>
      <w:r>
        <w:t xml:space="preserve"> Test</w:t>
      </w:r>
      <w:bookmarkEnd w:id="1104"/>
      <w:bookmarkEnd w:id="1105"/>
      <w:bookmarkEnd w:id="1106"/>
    </w:p>
    <w:bookmarkEnd w:id="1107"/>
    <w:tbl>
      <w:tblPr>
        <w:tblW w:w="5000" w:type="pct"/>
        <w:tblBorders>
          <w:top w:val="single" w:sz="8" w:space="0" w:color="000000"/>
          <w:bottom w:val="single" w:sz="8" w:space="0" w:color="000000"/>
        </w:tblBorders>
        <w:tblLook w:val="04A0" w:firstRow="1" w:lastRow="0" w:firstColumn="1" w:lastColumn="0" w:noHBand="0" w:noVBand="1"/>
      </w:tblPr>
      <w:tblGrid>
        <w:gridCol w:w="1627"/>
        <w:gridCol w:w="85"/>
        <w:gridCol w:w="1628"/>
        <w:gridCol w:w="1797"/>
        <w:gridCol w:w="3083"/>
      </w:tblGrid>
      <w:tr w:rsidR="009F33CD" w14:paraId="3494C19C" w14:textId="77777777">
        <w:trPr>
          <w:trHeight w:val="35"/>
        </w:trPr>
        <w:tc>
          <w:tcPr>
            <w:tcW w:w="1042" w:type="pct"/>
            <w:gridSpan w:val="2"/>
            <w:tcBorders>
              <w:top w:val="single" w:sz="4" w:space="0" w:color="auto"/>
              <w:left w:val="nil"/>
              <w:bottom w:val="single" w:sz="4" w:space="0" w:color="auto"/>
              <w:right w:val="nil"/>
            </w:tcBorders>
            <w:noWrap/>
          </w:tcPr>
          <w:p w14:paraId="10870DD9" w14:textId="77777777" w:rsidR="009F33CD" w:rsidRDefault="009F33CD">
            <w:pPr>
              <w:spacing w:after="240" w:line="240" w:lineRule="auto"/>
              <w:rPr>
                <w:rFonts w:cs="Times New Roman"/>
                <w:b/>
                <w:bCs/>
              </w:rPr>
            </w:pPr>
          </w:p>
        </w:tc>
        <w:tc>
          <w:tcPr>
            <w:tcW w:w="990" w:type="pct"/>
            <w:tcBorders>
              <w:top w:val="single" w:sz="4" w:space="0" w:color="auto"/>
              <w:left w:val="nil"/>
              <w:bottom w:val="single" w:sz="4" w:space="0" w:color="auto"/>
              <w:right w:val="nil"/>
            </w:tcBorders>
            <w:noWrap/>
          </w:tcPr>
          <w:p w14:paraId="282AE83E" w14:textId="77777777" w:rsidR="009F33CD" w:rsidRDefault="00E40740">
            <w:pPr>
              <w:spacing w:after="240" w:line="240" w:lineRule="auto"/>
              <w:rPr>
                <w:rFonts w:cs="Times New Roman"/>
                <w:b/>
                <w:bCs/>
              </w:rPr>
            </w:pPr>
            <w:r>
              <w:rPr>
                <w:rFonts w:cs="Times New Roman"/>
                <w:b/>
                <w:bCs/>
              </w:rPr>
              <w:t>LM</w:t>
            </w:r>
          </w:p>
        </w:tc>
        <w:tc>
          <w:tcPr>
            <w:tcW w:w="1093" w:type="pct"/>
            <w:tcBorders>
              <w:top w:val="single" w:sz="4" w:space="0" w:color="auto"/>
              <w:left w:val="nil"/>
              <w:bottom w:val="single" w:sz="4" w:space="0" w:color="auto"/>
              <w:right w:val="nil"/>
            </w:tcBorders>
            <w:noWrap/>
          </w:tcPr>
          <w:p w14:paraId="111C6506" w14:textId="77777777" w:rsidR="009F33CD" w:rsidRDefault="00E40740">
            <w:pPr>
              <w:spacing w:after="240" w:line="240" w:lineRule="auto"/>
              <w:rPr>
                <w:rFonts w:cs="Times New Roman"/>
                <w:b/>
                <w:bCs/>
              </w:rPr>
            </w:pPr>
            <w:r>
              <w:rPr>
                <w:rFonts w:cs="Times New Roman"/>
                <w:b/>
                <w:bCs/>
              </w:rPr>
              <w:t>Sig.</w:t>
            </w:r>
          </w:p>
        </w:tc>
        <w:tc>
          <w:tcPr>
            <w:tcW w:w="1875" w:type="pct"/>
            <w:tcBorders>
              <w:top w:val="single" w:sz="4" w:space="0" w:color="auto"/>
              <w:left w:val="nil"/>
              <w:bottom w:val="single" w:sz="4" w:space="0" w:color="auto"/>
              <w:right w:val="nil"/>
            </w:tcBorders>
          </w:tcPr>
          <w:p w14:paraId="095C4A22" w14:textId="77777777" w:rsidR="009F33CD" w:rsidRDefault="00E40740">
            <w:pPr>
              <w:spacing w:after="240" w:line="240" w:lineRule="auto"/>
              <w:rPr>
                <w:rFonts w:cs="Times New Roman"/>
                <w:b/>
                <w:bCs/>
              </w:rPr>
            </w:pPr>
            <w:r>
              <w:rPr>
                <w:rFonts w:cs="Times New Roman"/>
                <w:b/>
                <w:bCs/>
              </w:rPr>
              <w:t>Conclusions</w:t>
            </w:r>
          </w:p>
        </w:tc>
      </w:tr>
      <w:tr w:rsidR="009F33CD" w14:paraId="5E359192" w14:textId="77777777">
        <w:trPr>
          <w:trHeight w:val="300"/>
        </w:trPr>
        <w:tc>
          <w:tcPr>
            <w:tcW w:w="990" w:type="pct"/>
            <w:tcBorders>
              <w:top w:val="single" w:sz="4" w:space="0" w:color="auto"/>
              <w:left w:val="nil"/>
              <w:bottom w:val="single" w:sz="4" w:space="0" w:color="auto"/>
              <w:right w:val="nil"/>
            </w:tcBorders>
            <w:noWrap/>
          </w:tcPr>
          <w:p w14:paraId="49D44D8C" w14:textId="77777777" w:rsidR="009F33CD" w:rsidRDefault="00E40740">
            <w:pPr>
              <w:spacing w:after="240" w:line="240" w:lineRule="auto"/>
              <w:rPr>
                <w:rFonts w:cs="Times New Roman"/>
              </w:rPr>
            </w:pPr>
            <w:r>
              <w:rPr>
                <w:rFonts w:cs="Times New Roman"/>
              </w:rPr>
              <w:t>BP</w:t>
            </w:r>
          </w:p>
        </w:tc>
        <w:tc>
          <w:tcPr>
            <w:tcW w:w="1042" w:type="pct"/>
            <w:gridSpan w:val="2"/>
            <w:tcBorders>
              <w:top w:val="single" w:sz="4" w:space="0" w:color="auto"/>
              <w:left w:val="nil"/>
              <w:bottom w:val="single" w:sz="4" w:space="0" w:color="auto"/>
              <w:right w:val="nil"/>
            </w:tcBorders>
            <w:noWrap/>
          </w:tcPr>
          <w:p w14:paraId="70AFBF76" w14:textId="77777777" w:rsidR="009F33CD" w:rsidRDefault="00E40740">
            <w:pPr>
              <w:spacing w:after="240" w:line="240" w:lineRule="auto"/>
              <w:rPr>
                <w:rFonts w:cs="Times New Roman"/>
              </w:rPr>
            </w:pPr>
            <w:r>
              <w:rPr>
                <w:rFonts w:cs="Times New Roman"/>
              </w:rPr>
              <w:t>3.998</w:t>
            </w:r>
          </w:p>
        </w:tc>
        <w:tc>
          <w:tcPr>
            <w:tcW w:w="1093" w:type="pct"/>
            <w:tcBorders>
              <w:top w:val="single" w:sz="4" w:space="0" w:color="auto"/>
              <w:left w:val="nil"/>
              <w:bottom w:val="single" w:sz="4" w:space="0" w:color="auto"/>
              <w:right w:val="nil"/>
            </w:tcBorders>
            <w:noWrap/>
          </w:tcPr>
          <w:p w14:paraId="2150F646" w14:textId="77777777" w:rsidR="009F33CD" w:rsidRDefault="00E40740">
            <w:pPr>
              <w:spacing w:after="240" w:line="240" w:lineRule="auto"/>
              <w:rPr>
                <w:rFonts w:cs="Times New Roman"/>
              </w:rPr>
            </w:pPr>
            <w:r>
              <w:rPr>
                <w:rFonts w:cs="Times New Roman"/>
              </w:rPr>
              <w:t>0.779</w:t>
            </w:r>
          </w:p>
        </w:tc>
        <w:tc>
          <w:tcPr>
            <w:tcW w:w="1875" w:type="pct"/>
            <w:tcBorders>
              <w:top w:val="single" w:sz="4" w:space="0" w:color="auto"/>
              <w:left w:val="nil"/>
              <w:bottom w:val="single" w:sz="4" w:space="0" w:color="auto"/>
              <w:right w:val="nil"/>
            </w:tcBorders>
            <w:vAlign w:val="center"/>
          </w:tcPr>
          <w:p w14:paraId="3A049E31" w14:textId="77777777" w:rsidR="009F33CD" w:rsidRDefault="00E40740">
            <w:pPr>
              <w:spacing w:after="240" w:line="240" w:lineRule="auto"/>
              <w:rPr>
                <w:rFonts w:cs="Times New Roman"/>
                <w:vertAlign w:val="subscript"/>
              </w:rPr>
            </w:pPr>
            <w:r>
              <w:rPr>
                <w:rFonts w:cs="Times New Roman"/>
              </w:rPr>
              <w:t>Fail to reject H</w:t>
            </w:r>
            <w:r>
              <w:rPr>
                <w:rFonts w:cs="Times New Roman"/>
                <w:vertAlign w:val="subscript"/>
              </w:rPr>
              <w:t>0</w:t>
            </w:r>
          </w:p>
        </w:tc>
      </w:tr>
    </w:tbl>
    <w:p w14:paraId="481E6ABA" w14:textId="77777777" w:rsidR="009F33CD" w:rsidRDefault="00E40740">
      <w:pPr>
        <w:spacing w:after="240"/>
        <w:rPr>
          <w:rFonts w:cs="Times New Roman"/>
        </w:rPr>
      </w:pPr>
      <w:r>
        <w:rPr>
          <w:rFonts w:cs="Times New Roman"/>
        </w:rPr>
        <w:t>The fin</w:t>
      </w:r>
      <w:r w:rsidR="003F4007">
        <w:rPr>
          <w:rFonts w:cs="Times New Roman"/>
        </w:rPr>
        <w:t>dings as displayed in Table 4.13</w:t>
      </w:r>
      <w:r>
        <w:rPr>
          <w:rFonts w:cs="Times New Roman"/>
        </w:rPr>
        <w:t xml:space="preserve"> indicate the absence of heteroscedasticity since the Levene test values were insignificant (p-value 0.779&gt;0.05) therefore, the</w:t>
      </w:r>
      <w:r>
        <w:rPr>
          <w:rFonts w:cs="Times New Roman"/>
          <w:lang w:val="en-US"/>
        </w:rPr>
        <w:t xml:space="preserve"> </w:t>
      </w:r>
      <w:r>
        <w:rPr>
          <w:rFonts w:cs="Times New Roman"/>
        </w:rPr>
        <w:t>hypothesis was accepted and concluded that the variance of the dependent variable was homogeneous. This finding agrees with Gastwirth and Miao (2009)</w:t>
      </w:r>
      <w:r>
        <w:t xml:space="preserve"> who </w:t>
      </w:r>
      <w:r>
        <w:rPr>
          <w:rFonts w:cs="Times New Roman"/>
        </w:rPr>
        <w:t>emphasize that ensuring the homogeneity of variances is crucial for the validity of many statistical tests and models, as it affects the accuracy of the results and conclusions drawn from the data.</w:t>
      </w:r>
    </w:p>
    <w:p w14:paraId="51F12F7F" w14:textId="77777777" w:rsidR="009F33CD" w:rsidRDefault="00E40740">
      <w:pPr>
        <w:pStyle w:val="Heading3"/>
      </w:pPr>
      <w:bookmarkStart w:id="1108" w:name="_Toc178944303"/>
      <w:bookmarkStart w:id="1109" w:name="_Toc147950272"/>
      <w:bookmarkStart w:id="1110" w:name="_Toc165626393"/>
      <w:bookmarkStart w:id="1111" w:name="_Toc178942645"/>
      <w:bookmarkStart w:id="1112" w:name="_Toc178945055"/>
      <w:bookmarkStart w:id="1113" w:name="_Toc165623612"/>
      <w:bookmarkStart w:id="1114" w:name="_Toc188442608"/>
      <w:bookmarkStart w:id="1115" w:name="_Toc187080866"/>
      <w:bookmarkStart w:id="1116" w:name="_Toc188443982"/>
      <w:bookmarkStart w:id="1117" w:name="_Toc188130635"/>
      <w:bookmarkStart w:id="1118" w:name="_Toc185614094"/>
      <w:bookmarkStart w:id="1119" w:name="_Toc224160672"/>
      <w:bookmarkStart w:id="1120" w:name="_Toc224237734"/>
      <w:r>
        <w:t xml:space="preserve">4.5.4 </w:t>
      </w:r>
      <w:bookmarkStart w:id="1121" w:name="_Hlk147147875"/>
      <w:r>
        <w:t>Multi-</w:t>
      </w:r>
      <w:r w:rsidR="00E53B8A">
        <w:t>Collinearity</w:t>
      </w:r>
      <w:bookmarkEnd w:id="1108"/>
      <w:bookmarkEnd w:id="1109"/>
      <w:bookmarkEnd w:id="1110"/>
      <w:bookmarkEnd w:id="1111"/>
      <w:bookmarkEnd w:id="1112"/>
      <w:bookmarkEnd w:id="1113"/>
      <w:r w:rsidR="00E53B8A">
        <w:t xml:space="preserve"> </w:t>
      </w:r>
      <w:bookmarkEnd w:id="1121"/>
      <w:r>
        <w:t>Test Findings</w:t>
      </w:r>
      <w:bookmarkEnd w:id="1114"/>
      <w:bookmarkEnd w:id="1115"/>
      <w:bookmarkEnd w:id="1116"/>
      <w:bookmarkEnd w:id="1117"/>
      <w:bookmarkEnd w:id="1118"/>
      <w:bookmarkEnd w:id="1119"/>
      <w:bookmarkEnd w:id="1120"/>
    </w:p>
    <w:p w14:paraId="2CB7F161" w14:textId="77777777" w:rsidR="009F33CD" w:rsidRDefault="00E40740">
      <w:pPr>
        <w:spacing w:after="240"/>
        <w:rPr>
          <w:rFonts w:cs="Times New Roman"/>
          <w:bCs/>
        </w:rPr>
      </w:pPr>
      <w:r>
        <w:rPr>
          <w:rFonts w:cs="Times New Roman"/>
          <w:bCs/>
        </w:rPr>
        <w:t>Multi-Collinearity refers to the presence of high correlations between independent variables (</w:t>
      </w:r>
      <w:bookmarkStart w:id="1122" w:name="_Hlk183535105"/>
      <w:r>
        <w:rPr>
          <w:rFonts w:cs="Times New Roman"/>
          <w:bCs/>
        </w:rPr>
        <w:t xml:space="preserve">Williams </w:t>
      </w:r>
      <w:r>
        <w:rPr>
          <w:rFonts w:cs="Times New Roman"/>
          <w:bCs/>
          <w:i/>
          <w:iCs/>
        </w:rPr>
        <w:t>et al</w:t>
      </w:r>
      <w:r>
        <w:rPr>
          <w:rFonts w:cs="Times New Roman"/>
          <w:bCs/>
        </w:rPr>
        <w:t>., 2013</w:t>
      </w:r>
      <w:bookmarkEnd w:id="1122"/>
      <w:r>
        <w:rPr>
          <w:rFonts w:cs="Times New Roman"/>
          <w:bCs/>
        </w:rPr>
        <w:t>). The presence of multi-collinearity makes it difficult to isolate the impact of each independent variable on the dependent variable. It can be detected if t-tests of each of the slopes are not significant (P&gt; 0.05), but the overall F-test for testing of all the slopes is simultaneously 0 and is sign</w:t>
      </w:r>
      <w:r w:rsidR="003F4007">
        <w:rPr>
          <w:rFonts w:cs="Times New Roman"/>
          <w:bCs/>
        </w:rPr>
        <w:t>ificant at (P&lt; 0.05). Table 4.14</w:t>
      </w:r>
      <w:r>
        <w:rPr>
          <w:rFonts w:cs="Times New Roman"/>
          <w:bCs/>
        </w:rPr>
        <w:t xml:space="preserve"> displays the results of the multi-collinearity test. </w:t>
      </w:r>
    </w:p>
    <w:p w14:paraId="27B3F2B4" w14:textId="77777777" w:rsidR="00011D43" w:rsidRDefault="00011D43">
      <w:pPr>
        <w:spacing w:after="240"/>
        <w:rPr>
          <w:rFonts w:cs="Times New Roman"/>
          <w:bCs/>
        </w:rPr>
      </w:pPr>
    </w:p>
    <w:p w14:paraId="3D729C69" w14:textId="77777777" w:rsidR="00011D43" w:rsidRDefault="00011D43">
      <w:pPr>
        <w:spacing w:after="240"/>
        <w:rPr>
          <w:rFonts w:cs="Times New Roman"/>
          <w:bCs/>
        </w:rPr>
      </w:pPr>
    </w:p>
    <w:p w14:paraId="70E74ABF" w14:textId="77777777" w:rsidR="009F33CD" w:rsidRDefault="000748E0" w:rsidP="00E53B8A">
      <w:pPr>
        <w:pStyle w:val="Heading6"/>
      </w:pPr>
      <w:bookmarkStart w:id="1123" w:name="_Toc147946934"/>
      <w:bookmarkStart w:id="1124" w:name="_Toc178942646"/>
      <w:bookmarkStart w:id="1125" w:name="_Toc147950273"/>
      <w:bookmarkStart w:id="1126" w:name="_Toc165623613"/>
      <w:bookmarkStart w:id="1127" w:name="_Toc178944304"/>
      <w:bookmarkStart w:id="1128" w:name="_Toc165626394"/>
      <w:bookmarkStart w:id="1129" w:name="_Toc178945056"/>
      <w:bookmarkStart w:id="1130" w:name="_Toc185614095"/>
      <w:bookmarkStart w:id="1131" w:name="_Toc187080867"/>
      <w:bookmarkStart w:id="1132" w:name="_Toc224237443"/>
      <w:r>
        <w:lastRenderedPageBreak/>
        <w:t>Table 4.14</w:t>
      </w:r>
      <w:r w:rsidR="00E40740">
        <w:t>: Findings for Multi-</w:t>
      </w:r>
      <w:r w:rsidR="00E53B8A">
        <w:t>Collinearity</w:t>
      </w:r>
      <w:bookmarkEnd w:id="1123"/>
      <w:bookmarkEnd w:id="1124"/>
      <w:bookmarkEnd w:id="1125"/>
      <w:bookmarkEnd w:id="1126"/>
      <w:bookmarkEnd w:id="1127"/>
      <w:bookmarkEnd w:id="1128"/>
      <w:bookmarkEnd w:id="1129"/>
      <w:r w:rsidR="00E53B8A">
        <w:t xml:space="preserve"> </w:t>
      </w:r>
      <w:r w:rsidR="00E40740" w:rsidRPr="00E53B8A">
        <w:t>Test</w:t>
      </w:r>
      <w:bookmarkEnd w:id="1130"/>
      <w:bookmarkEnd w:id="1131"/>
      <w:bookmarkEnd w:id="1132"/>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27"/>
        <w:gridCol w:w="2399"/>
        <w:gridCol w:w="3168"/>
        <w:gridCol w:w="2226"/>
      </w:tblGrid>
      <w:tr w:rsidR="009F33CD" w14:paraId="6AD5ED30" w14:textId="77777777" w:rsidTr="004B6EF7">
        <w:trPr>
          <w:cantSplit/>
          <w:trHeight w:val="139"/>
        </w:trPr>
        <w:tc>
          <w:tcPr>
            <w:tcW w:w="1719" w:type="pct"/>
            <w:gridSpan w:val="2"/>
            <w:vMerge w:val="restart"/>
            <w:tcBorders>
              <w:top w:val="single" w:sz="4" w:space="0" w:color="auto"/>
              <w:bottom w:val="single" w:sz="4" w:space="0" w:color="auto"/>
            </w:tcBorders>
            <w:vAlign w:val="bottom"/>
          </w:tcPr>
          <w:p w14:paraId="742B8316" w14:textId="77777777" w:rsidR="009F33CD" w:rsidRDefault="00E40740">
            <w:pPr>
              <w:spacing w:after="240" w:line="240" w:lineRule="auto"/>
              <w:rPr>
                <w:rFonts w:cs="Times New Roman"/>
                <w:b/>
                <w:bCs/>
              </w:rPr>
            </w:pPr>
            <w:r>
              <w:rPr>
                <w:rFonts w:cs="Times New Roman"/>
                <w:b/>
                <w:bCs/>
              </w:rPr>
              <w:t>Model</w:t>
            </w:r>
          </w:p>
        </w:tc>
        <w:tc>
          <w:tcPr>
            <w:tcW w:w="3281" w:type="pct"/>
            <w:gridSpan w:val="2"/>
            <w:tcBorders>
              <w:bottom w:val="single" w:sz="4" w:space="0" w:color="auto"/>
            </w:tcBorders>
            <w:vAlign w:val="bottom"/>
          </w:tcPr>
          <w:p w14:paraId="4450CD04" w14:textId="77777777" w:rsidR="009F33CD" w:rsidRDefault="00E40740">
            <w:pPr>
              <w:spacing w:after="240" w:line="240" w:lineRule="auto"/>
              <w:jc w:val="center"/>
              <w:rPr>
                <w:rFonts w:cs="Times New Roman"/>
                <w:b/>
                <w:bCs/>
              </w:rPr>
            </w:pPr>
            <w:r>
              <w:rPr>
                <w:rFonts w:cs="Times New Roman"/>
                <w:b/>
                <w:bCs/>
              </w:rPr>
              <w:t>Collinearity Statistics</w:t>
            </w:r>
          </w:p>
        </w:tc>
      </w:tr>
      <w:tr w:rsidR="009F33CD" w14:paraId="4E035123" w14:textId="77777777" w:rsidTr="004B6EF7">
        <w:trPr>
          <w:cantSplit/>
          <w:trHeight w:val="55"/>
        </w:trPr>
        <w:tc>
          <w:tcPr>
            <w:tcW w:w="1719" w:type="pct"/>
            <w:gridSpan w:val="2"/>
            <w:vMerge/>
            <w:tcBorders>
              <w:top w:val="single" w:sz="4" w:space="0" w:color="auto"/>
              <w:bottom w:val="single" w:sz="4" w:space="0" w:color="auto"/>
            </w:tcBorders>
            <w:vAlign w:val="bottom"/>
          </w:tcPr>
          <w:p w14:paraId="2BF9495E" w14:textId="77777777" w:rsidR="009F33CD" w:rsidRDefault="009F33CD">
            <w:pPr>
              <w:spacing w:after="240" w:line="240" w:lineRule="auto"/>
              <w:rPr>
                <w:rFonts w:cs="Times New Roman"/>
                <w:b/>
                <w:bCs/>
              </w:rPr>
            </w:pPr>
          </w:p>
        </w:tc>
        <w:tc>
          <w:tcPr>
            <w:tcW w:w="1927" w:type="pct"/>
            <w:tcBorders>
              <w:top w:val="single" w:sz="4" w:space="0" w:color="auto"/>
              <w:bottom w:val="single" w:sz="4" w:space="0" w:color="auto"/>
            </w:tcBorders>
            <w:vAlign w:val="bottom"/>
          </w:tcPr>
          <w:p w14:paraId="1580699A" w14:textId="77777777" w:rsidR="009F33CD" w:rsidRDefault="00E40740" w:rsidP="00E53B8A">
            <w:pPr>
              <w:spacing w:after="240" w:line="240" w:lineRule="auto"/>
              <w:jc w:val="center"/>
              <w:rPr>
                <w:rFonts w:cs="Times New Roman"/>
                <w:b/>
                <w:bCs/>
              </w:rPr>
            </w:pPr>
            <w:r>
              <w:rPr>
                <w:rFonts w:cs="Times New Roman"/>
                <w:b/>
                <w:bCs/>
              </w:rPr>
              <w:t>Tolerance</w:t>
            </w:r>
          </w:p>
        </w:tc>
        <w:tc>
          <w:tcPr>
            <w:tcW w:w="1354" w:type="pct"/>
            <w:tcBorders>
              <w:top w:val="single" w:sz="4" w:space="0" w:color="auto"/>
              <w:bottom w:val="single" w:sz="4" w:space="0" w:color="auto"/>
            </w:tcBorders>
            <w:vAlign w:val="bottom"/>
          </w:tcPr>
          <w:p w14:paraId="7A5FF33C" w14:textId="77777777" w:rsidR="009F33CD" w:rsidRDefault="00E40740" w:rsidP="00E53B8A">
            <w:pPr>
              <w:spacing w:after="240" w:line="240" w:lineRule="auto"/>
              <w:jc w:val="center"/>
              <w:rPr>
                <w:rFonts w:cs="Times New Roman"/>
                <w:b/>
                <w:bCs/>
              </w:rPr>
            </w:pPr>
            <w:r>
              <w:rPr>
                <w:rFonts w:cs="Times New Roman"/>
                <w:b/>
                <w:bCs/>
              </w:rPr>
              <w:t>VIF</w:t>
            </w:r>
          </w:p>
        </w:tc>
      </w:tr>
      <w:tr w:rsidR="009F33CD" w14:paraId="3A660438" w14:textId="77777777" w:rsidTr="00D93F3B">
        <w:trPr>
          <w:cantSplit/>
          <w:trHeight w:val="63"/>
        </w:trPr>
        <w:tc>
          <w:tcPr>
            <w:tcW w:w="260" w:type="pct"/>
            <w:vMerge w:val="restart"/>
            <w:tcBorders>
              <w:top w:val="single" w:sz="4" w:space="0" w:color="auto"/>
              <w:bottom w:val="nil"/>
            </w:tcBorders>
          </w:tcPr>
          <w:p w14:paraId="704C8DCB" w14:textId="77777777" w:rsidR="009F33CD" w:rsidRDefault="00E40740">
            <w:pPr>
              <w:spacing w:after="240" w:line="240" w:lineRule="auto"/>
              <w:rPr>
                <w:rFonts w:cs="Times New Roman"/>
              </w:rPr>
            </w:pPr>
            <w:r>
              <w:rPr>
                <w:rFonts w:cs="Times New Roman"/>
              </w:rPr>
              <w:t>1</w:t>
            </w:r>
          </w:p>
        </w:tc>
        <w:tc>
          <w:tcPr>
            <w:tcW w:w="1459" w:type="pct"/>
            <w:tcBorders>
              <w:top w:val="single" w:sz="4" w:space="0" w:color="auto"/>
              <w:bottom w:val="nil"/>
            </w:tcBorders>
          </w:tcPr>
          <w:p w14:paraId="43E89C08" w14:textId="77777777" w:rsidR="009F33CD" w:rsidRDefault="00E40740">
            <w:pPr>
              <w:spacing w:after="240" w:line="240" w:lineRule="auto"/>
              <w:rPr>
                <w:rFonts w:cs="Times New Roman"/>
              </w:rPr>
            </w:pPr>
            <w:r>
              <w:rPr>
                <w:rFonts w:cs="Times New Roman"/>
              </w:rPr>
              <w:t>(Constant)</w:t>
            </w:r>
          </w:p>
        </w:tc>
        <w:tc>
          <w:tcPr>
            <w:tcW w:w="1927" w:type="pct"/>
            <w:tcBorders>
              <w:top w:val="single" w:sz="4" w:space="0" w:color="auto"/>
              <w:bottom w:val="nil"/>
            </w:tcBorders>
            <w:vAlign w:val="center"/>
          </w:tcPr>
          <w:p w14:paraId="4DB6BF57" w14:textId="77777777" w:rsidR="009F33CD" w:rsidRDefault="009F33CD" w:rsidP="00E53B8A">
            <w:pPr>
              <w:spacing w:after="240" w:line="240" w:lineRule="auto"/>
              <w:jc w:val="center"/>
              <w:rPr>
                <w:rFonts w:cs="Times New Roman"/>
              </w:rPr>
            </w:pPr>
          </w:p>
        </w:tc>
        <w:tc>
          <w:tcPr>
            <w:tcW w:w="1354" w:type="pct"/>
            <w:tcBorders>
              <w:top w:val="single" w:sz="4" w:space="0" w:color="auto"/>
              <w:bottom w:val="nil"/>
            </w:tcBorders>
            <w:vAlign w:val="center"/>
          </w:tcPr>
          <w:p w14:paraId="76D73DAD" w14:textId="77777777" w:rsidR="009F33CD" w:rsidRDefault="009F33CD" w:rsidP="00E53B8A">
            <w:pPr>
              <w:spacing w:after="240" w:line="240" w:lineRule="auto"/>
              <w:jc w:val="center"/>
              <w:rPr>
                <w:rFonts w:cs="Times New Roman"/>
              </w:rPr>
            </w:pPr>
          </w:p>
        </w:tc>
      </w:tr>
      <w:tr w:rsidR="009F33CD" w14:paraId="67748EAC" w14:textId="77777777" w:rsidTr="00D93F3B">
        <w:trPr>
          <w:cantSplit/>
          <w:trHeight w:val="161"/>
        </w:trPr>
        <w:tc>
          <w:tcPr>
            <w:tcW w:w="260" w:type="pct"/>
            <w:vMerge/>
            <w:tcBorders>
              <w:top w:val="nil"/>
            </w:tcBorders>
          </w:tcPr>
          <w:p w14:paraId="76BCA13F" w14:textId="77777777" w:rsidR="009F33CD" w:rsidRDefault="009F33CD">
            <w:pPr>
              <w:spacing w:after="240" w:line="240" w:lineRule="auto"/>
              <w:rPr>
                <w:rFonts w:cs="Times New Roman"/>
              </w:rPr>
            </w:pPr>
          </w:p>
        </w:tc>
        <w:tc>
          <w:tcPr>
            <w:tcW w:w="1459" w:type="pct"/>
            <w:tcBorders>
              <w:top w:val="nil"/>
            </w:tcBorders>
          </w:tcPr>
          <w:p w14:paraId="3D82E3F9" w14:textId="77777777" w:rsidR="009F33CD" w:rsidRDefault="00E40740">
            <w:pPr>
              <w:spacing w:after="240" w:line="240" w:lineRule="auto"/>
              <w:rPr>
                <w:rFonts w:cs="Times New Roman"/>
              </w:rPr>
            </w:pPr>
            <w:r>
              <w:rPr>
                <w:rFonts w:cs="Times New Roman"/>
              </w:rPr>
              <w:t>X1</w:t>
            </w:r>
          </w:p>
        </w:tc>
        <w:tc>
          <w:tcPr>
            <w:tcW w:w="1927" w:type="pct"/>
            <w:tcBorders>
              <w:top w:val="nil"/>
            </w:tcBorders>
          </w:tcPr>
          <w:p w14:paraId="6170AB7C" w14:textId="77777777" w:rsidR="009F33CD" w:rsidRDefault="00E40740" w:rsidP="00E53B8A">
            <w:pPr>
              <w:spacing w:after="240" w:line="240" w:lineRule="auto"/>
              <w:jc w:val="center"/>
              <w:rPr>
                <w:rFonts w:cs="Times New Roman"/>
              </w:rPr>
            </w:pPr>
            <w:r>
              <w:rPr>
                <w:rFonts w:cs="Times New Roman"/>
              </w:rPr>
              <w:t>.438</w:t>
            </w:r>
          </w:p>
        </w:tc>
        <w:tc>
          <w:tcPr>
            <w:tcW w:w="1354" w:type="pct"/>
            <w:tcBorders>
              <w:top w:val="nil"/>
            </w:tcBorders>
          </w:tcPr>
          <w:p w14:paraId="3A6FA0B2" w14:textId="77777777" w:rsidR="009F33CD" w:rsidRDefault="00E40740" w:rsidP="00E53B8A">
            <w:pPr>
              <w:spacing w:after="240" w:line="240" w:lineRule="auto"/>
              <w:jc w:val="center"/>
              <w:rPr>
                <w:rFonts w:cs="Times New Roman"/>
              </w:rPr>
            </w:pPr>
            <w:r>
              <w:rPr>
                <w:rFonts w:cs="Times New Roman"/>
              </w:rPr>
              <w:t>2.283</w:t>
            </w:r>
          </w:p>
        </w:tc>
      </w:tr>
      <w:tr w:rsidR="009F33CD" w14:paraId="3A9103F2" w14:textId="77777777" w:rsidTr="00D93F3B">
        <w:trPr>
          <w:cantSplit/>
          <w:trHeight w:val="55"/>
        </w:trPr>
        <w:tc>
          <w:tcPr>
            <w:tcW w:w="260" w:type="pct"/>
            <w:vMerge/>
          </w:tcPr>
          <w:p w14:paraId="7D925DA8" w14:textId="77777777" w:rsidR="009F33CD" w:rsidRDefault="009F33CD">
            <w:pPr>
              <w:spacing w:after="240" w:line="240" w:lineRule="auto"/>
              <w:rPr>
                <w:rFonts w:cs="Times New Roman"/>
              </w:rPr>
            </w:pPr>
          </w:p>
        </w:tc>
        <w:tc>
          <w:tcPr>
            <w:tcW w:w="1459" w:type="pct"/>
          </w:tcPr>
          <w:p w14:paraId="731FFBED" w14:textId="77777777" w:rsidR="009F33CD" w:rsidRDefault="00E40740">
            <w:pPr>
              <w:spacing w:after="240" w:line="240" w:lineRule="auto"/>
              <w:rPr>
                <w:rFonts w:cs="Times New Roman"/>
              </w:rPr>
            </w:pPr>
            <w:r>
              <w:rPr>
                <w:rFonts w:cs="Times New Roman"/>
              </w:rPr>
              <w:t>X2</w:t>
            </w:r>
          </w:p>
        </w:tc>
        <w:tc>
          <w:tcPr>
            <w:tcW w:w="1927" w:type="pct"/>
          </w:tcPr>
          <w:p w14:paraId="2D10A3B7" w14:textId="77777777" w:rsidR="009F33CD" w:rsidRDefault="00E40740" w:rsidP="00E53B8A">
            <w:pPr>
              <w:spacing w:after="240" w:line="240" w:lineRule="auto"/>
              <w:jc w:val="center"/>
              <w:rPr>
                <w:rFonts w:cs="Times New Roman"/>
              </w:rPr>
            </w:pPr>
            <w:r>
              <w:rPr>
                <w:rFonts w:cs="Times New Roman"/>
              </w:rPr>
              <w:t>.348</w:t>
            </w:r>
          </w:p>
        </w:tc>
        <w:tc>
          <w:tcPr>
            <w:tcW w:w="1354" w:type="pct"/>
          </w:tcPr>
          <w:p w14:paraId="72657D9E" w14:textId="77777777" w:rsidR="009F33CD" w:rsidRDefault="00E40740" w:rsidP="00E53B8A">
            <w:pPr>
              <w:spacing w:after="240" w:line="240" w:lineRule="auto"/>
              <w:jc w:val="center"/>
              <w:rPr>
                <w:rFonts w:cs="Times New Roman"/>
              </w:rPr>
            </w:pPr>
            <w:r>
              <w:rPr>
                <w:rFonts w:cs="Times New Roman"/>
              </w:rPr>
              <w:t>2.874</w:t>
            </w:r>
          </w:p>
        </w:tc>
      </w:tr>
      <w:tr w:rsidR="009F33CD" w14:paraId="3ABD949C" w14:textId="77777777" w:rsidTr="00D93F3B">
        <w:trPr>
          <w:cantSplit/>
          <w:trHeight w:val="59"/>
        </w:trPr>
        <w:tc>
          <w:tcPr>
            <w:tcW w:w="260" w:type="pct"/>
            <w:vMerge/>
          </w:tcPr>
          <w:p w14:paraId="685123F8" w14:textId="77777777" w:rsidR="009F33CD" w:rsidRDefault="009F33CD">
            <w:pPr>
              <w:spacing w:after="240" w:line="240" w:lineRule="auto"/>
              <w:rPr>
                <w:rFonts w:cs="Times New Roman"/>
              </w:rPr>
            </w:pPr>
          </w:p>
        </w:tc>
        <w:tc>
          <w:tcPr>
            <w:tcW w:w="1459" w:type="pct"/>
          </w:tcPr>
          <w:p w14:paraId="0BDDBEC2" w14:textId="77777777" w:rsidR="009F33CD" w:rsidRDefault="00E40740">
            <w:pPr>
              <w:spacing w:after="240" w:line="240" w:lineRule="auto"/>
              <w:rPr>
                <w:rFonts w:cs="Times New Roman"/>
              </w:rPr>
            </w:pPr>
            <w:r>
              <w:rPr>
                <w:rFonts w:cs="Times New Roman"/>
              </w:rPr>
              <w:t>X3</w:t>
            </w:r>
          </w:p>
        </w:tc>
        <w:tc>
          <w:tcPr>
            <w:tcW w:w="1927" w:type="pct"/>
          </w:tcPr>
          <w:p w14:paraId="54EBCDE6" w14:textId="77777777" w:rsidR="009F33CD" w:rsidRDefault="00E40740" w:rsidP="00E53B8A">
            <w:pPr>
              <w:spacing w:after="240" w:line="240" w:lineRule="auto"/>
              <w:jc w:val="center"/>
              <w:rPr>
                <w:rFonts w:cs="Times New Roman"/>
              </w:rPr>
            </w:pPr>
            <w:r>
              <w:rPr>
                <w:rFonts w:cs="Times New Roman"/>
              </w:rPr>
              <w:t>.293</w:t>
            </w:r>
          </w:p>
        </w:tc>
        <w:tc>
          <w:tcPr>
            <w:tcW w:w="1354" w:type="pct"/>
          </w:tcPr>
          <w:p w14:paraId="7546DDF2" w14:textId="77777777" w:rsidR="009F33CD" w:rsidRDefault="00E40740" w:rsidP="00E53B8A">
            <w:pPr>
              <w:spacing w:after="240" w:line="240" w:lineRule="auto"/>
              <w:jc w:val="center"/>
              <w:rPr>
                <w:rFonts w:cs="Times New Roman"/>
              </w:rPr>
            </w:pPr>
            <w:r>
              <w:rPr>
                <w:rFonts w:cs="Times New Roman"/>
              </w:rPr>
              <w:t>3.413</w:t>
            </w:r>
          </w:p>
        </w:tc>
      </w:tr>
      <w:tr w:rsidR="009F33CD" w14:paraId="49709BCB" w14:textId="77777777" w:rsidTr="00D93F3B">
        <w:trPr>
          <w:cantSplit/>
          <w:trHeight w:val="110"/>
        </w:trPr>
        <w:tc>
          <w:tcPr>
            <w:tcW w:w="260" w:type="pct"/>
            <w:vMerge/>
          </w:tcPr>
          <w:p w14:paraId="15FAFCB7" w14:textId="77777777" w:rsidR="009F33CD" w:rsidRDefault="009F33CD">
            <w:pPr>
              <w:spacing w:after="240" w:line="240" w:lineRule="auto"/>
              <w:rPr>
                <w:rFonts w:cs="Times New Roman"/>
              </w:rPr>
            </w:pPr>
          </w:p>
        </w:tc>
        <w:tc>
          <w:tcPr>
            <w:tcW w:w="1459" w:type="pct"/>
          </w:tcPr>
          <w:p w14:paraId="58BDBC5D" w14:textId="77777777" w:rsidR="009F33CD" w:rsidRDefault="00E40740">
            <w:pPr>
              <w:spacing w:after="240" w:line="240" w:lineRule="auto"/>
              <w:rPr>
                <w:rFonts w:cs="Times New Roman"/>
              </w:rPr>
            </w:pPr>
            <w:r>
              <w:rPr>
                <w:rFonts w:cs="Times New Roman"/>
              </w:rPr>
              <w:t>X4</w:t>
            </w:r>
          </w:p>
        </w:tc>
        <w:tc>
          <w:tcPr>
            <w:tcW w:w="1927" w:type="pct"/>
          </w:tcPr>
          <w:p w14:paraId="01F02B5C" w14:textId="77777777" w:rsidR="009F33CD" w:rsidRDefault="00E40740" w:rsidP="00E53B8A">
            <w:pPr>
              <w:spacing w:after="240" w:line="240" w:lineRule="auto"/>
              <w:jc w:val="center"/>
              <w:rPr>
                <w:rFonts w:cs="Times New Roman"/>
              </w:rPr>
            </w:pPr>
            <w:r>
              <w:rPr>
                <w:rFonts w:cs="Times New Roman"/>
              </w:rPr>
              <w:t>.477</w:t>
            </w:r>
          </w:p>
        </w:tc>
        <w:tc>
          <w:tcPr>
            <w:tcW w:w="1354" w:type="pct"/>
          </w:tcPr>
          <w:p w14:paraId="75BC074A" w14:textId="77777777" w:rsidR="009F33CD" w:rsidRDefault="00E40740" w:rsidP="00E53B8A">
            <w:pPr>
              <w:spacing w:after="240" w:line="240" w:lineRule="auto"/>
              <w:jc w:val="center"/>
              <w:rPr>
                <w:rFonts w:cs="Times New Roman"/>
              </w:rPr>
            </w:pPr>
            <w:r>
              <w:rPr>
                <w:rFonts w:cs="Times New Roman"/>
              </w:rPr>
              <w:t>2.096</w:t>
            </w:r>
          </w:p>
        </w:tc>
      </w:tr>
    </w:tbl>
    <w:p w14:paraId="00159989" w14:textId="77777777" w:rsidR="009F33CD" w:rsidRDefault="00E40740">
      <w:pPr>
        <w:spacing w:after="240"/>
        <w:rPr>
          <w:rFonts w:cs="Times New Roman"/>
          <w:bCs/>
        </w:rPr>
      </w:pPr>
      <w:r>
        <w:rPr>
          <w:rFonts w:cs="Times New Roman"/>
          <w:bCs/>
        </w:rPr>
        <w:t xml:space="preserve">When the sample coefficient is far from the actual population parameter, it can cause small t-statistics and conclude that there is no linear relationship between the independent variables affected and the dependent variable (Cooper &amp; Schindler, 2011). Additionally, multi-collinearity can increase the standard errors of the β coefficients, making it difficult to assess the individual importance of a predictor. </w:t>
      </w:r>
    </w:p>
    <w:p w14:paraId="57AFC7A1" w14:textId="77777777" w:rsidR="009F33CD" w:rsidRDefault="00E40740">
      <w:pPr>
        <w:spacing w:after="240"/>
        <w:rPr>
          <w:rFonts w:cs="Times New Roman"/>
          <w:bCs/>
        </w:rPr>
      </w:pPr>
      <w:r>
        <w:rPr>
          <w:rFonts w:cs="Times New Roman"/>
          <w:bCs/>
        </w:rPr>
        <w:t xml:space="preserve">The tolerance of the predictors in the regression model was determined as well as the variance inflator factor (VIF). The VIF higher than 5 indicates the presence of multi-Collinearity. Therefore, relying on the variance inflation factor (VIF) quantifies how much the variance is inflated and the variances of the estimated coefficients are considered inflated with the existence of multi-collinearity. From </w:t>
      </w:r>
      <w:r w:rsidR="003F4007">
        <w:rPr>
          <w:rFonts w:cs="Times New Roman"/>
          <w:bCs/>
        </w:rPr>
        <w:t>the study findings in Table 4.14</w:t>
      </w:r>
      <w:r>
        <w:rPr>
          <w:rFonts w:cs="Times New Roman"/>
          <w:bCs/>
        </w:rPr>
        <w:t xml:space="preserve">, all the VIFs for the variables were below five and above 0.2 implying the absence of significant multi-collinearity (Williams </w:t>
      </w:r>
      <w:r>
        <w:rPr>
          <w:rFonts w:cs="Times New Roman"/>
          <w:bCs/>
          <w:i/>
          <w:iCs/>
        </w:rPr>
        <w:t>et al.,</w:t>
      </w:r>
      <w:r>
        <w:rPr>
          <w:rFonts w:cs="Times New Roman"/>
          <w:bCs/>
        </w:rPr>
        <w:t xml:space="preserve"> 2013). This aligns with Field (201</w:t>
      </w:r>
      <w:r w:rsidR="00437E7A">
        <w:rPr>
          <w:rFonts w:cs="Times New Roman"/>
          <w:bCs/>
        </w:rPr>
        <w:t>8</w:t>
      </w:r>
      <w:r>
        <w:rPr>
          <w:rFonts w:cs="Times New Roman"/>
          <w:bCs/>
        </w:rPr>
        <w:t xml:space="preserve">) who posits that a variance inflation factor value above 10 indicates a significant presence of multicollinearity. </w:t>
      </w:r>
    </w:p>
    <w:p w14:paraId="0D8A4170" w14:textId="77777777" w:rsidR="009F33CD" w:rsidRDefault="00E40740">
      <w:pPr>
        <w:pStyle w:val="Heading3"/>
        <w:rPr>
          <w:lang w:val="en-US"/>
        </w:rPr>
      </w:pPr>
      <w:bookmarkStart w:id="1133" w:name="_Toc178942647"/>
      <w:bookmarkStart w:id="1134" w:name="_Toc165623614"/>
      <w:bookmarkStart w:id="1135" w:name="_Toc187080868"/>
      <w:bookmarkStart w:id="1136" w:name="_Toc188442609"/>
      <w:bookmarkStart w:id="1137" w:name="_Toc178944305"/>
      <w:bookmarkStart w:id="1138" w:name="_Toc185614096"/>
      <w:bookmarkStart w:id="1139" w:name="_Toc178945057"/>
      <w:bookmarkStart w:id="1140" w:name="_Toc188443983"/>
      <w:bookmarkStart w:id="1141" w:name="_Toc165626395"/>
      <w:bookmarkStart w:id="1142" w:name="_Toc147950274"/>
      <w:bookmarkStart w:id="1143" w:name="_Toc188130636"/>
      <w:bookmarkStart w:id="1144" w:name="_Toc224160673"/>
      <w:bookmarkStart w:id="1145" w:name="_Toc224237735"/>
      <w:r>
        <w:t>4.5.5 Findings for Autocorrelation</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r>
        <w:t xml:space="preserve"> </w:t>
      </w:r>
      <w:r>
        <w:rPr>
          <w:lang w:val="en-US"/>
        </w:rPr>
        <w:t xml:space="preserve"> </w:t>
      </w:r>
    </w:p>
    <w:p w14:paraId="0BFD0D8E" w14:textId="77777777" w:rsidR="009F33CD" w:rsidRDefault="00E40740">
      <w:pPr>
        <w:spacing w:after="240"/>
        <w:rPr>
          <w:rFonts w:cs="Times New Roman"/>
          <w:bCs/>
        </w:rPr>
      </w:pPr>
      <w:r>
        <w:rPr>
          <w:rFonts w:cs="Times New Roman"/>
          <w:bCs/>
        </w:rPr>
        <w:t>Autocorrelation occurs when regression errors are correlated across observations (Mugenda &amp; Mugenda, 2013),</w:t>
      </w:r>
      <w:r>
        <w:t xml:space="preserve"> </w:t>
      </w:r>
      <w:r>
        <w:rPr>
          <w:rFonts w:cs="Times New Roman"/>
          <w:bCs/>
        </w:rPr>
        <w:t>which can lead to inefficiency in the least squares estimates and incorrect standard errors for the regression coefficients.</w:t>
      </w:r>
      <w:r>
        <w:t xml:space="preserve"> </w:t>
      </w:r>
      <w:r>
        <w:rPr>
          <w:rFonts w:cs="Times New Roman"/>
          <w:bCs/>
        </w:rPr>
        <w:t>This, in turn, affects the t-statistics and the overall statistical inference. The Durbin Watson statistic was used to test the absence or presence of autoco</w:t>
      </w:r>
      <w:r w:rsidR="003F4007">
        <w:rPr>
          <w:rFonts w:cs="Times New Roman"/>
          <w:bCs/>
        </w:rPr>
        <w:t>rrelation as shown in Table 4.15</w:t>
      </w:r>
      <w:r>
        <w:rPr>
          <w:rFonts w:cs="Times New Roman"/>
          <w:bCs/>
        </w:rPr>
        <w:t>.</w:t>
      </w:r>
    </w:p>
    <w:p w14:paraId="05FDA5FB" w14:textId="77777777" w:rsidR="009F33CD" w:rsidRDefault="000748E0">
      <w:pPr>
        <w:pStyle w:val="Heading6"/>
      </w:pPr>
      <w:bookmarkStart w:id="1146" w:name="_Toc165623615"/>
      <w:bookmarkStart w:id="1147" w:name="_Toc165626396"/>
      <w:bookmarkStart w:id="1148" w:name="_Toc178945058"/>
      <w:bookmarkStart w:id="1149" w:name="_Toc147950275"/>
      <w:bookmarkStart w:id="1150" w:name="_Toc178944306"/>
      <w:bookmarkStart w:id="1151" w:name="_Toc147946936"/>
      <w:bookmarkStart w:id="1152" w:name="_Toc178942648"/>
      <w:bookmarkStart w:id="1153" w:name="_Toc187080869"/>
      <w:bookmarkStart w:id="1154" w:name="_Toc185614097"/>
      <w:bookmarkStart w:id="1155" w:name="_Toc224237444"/>
      <w:r>
        <w:lastRenderedPageBreak/>
        <w:t>Table 4.15</w:t>
      </w:r>
      <w:r w:rsidR="00E40740">
        <w:t>: Autocorrelation</w:t>
      </w:r>
      <w:bookmarkEnd w:id="1146"/>
      <w:bookmarkEnd w:id="1147"/>
      <w:bookmarkEnd w:id="1148"/>
      <w:bookmarkEnd w:id="1149"/>
      <w:bookmarkEnd w:id="1150"/>
      <w:bookmarkEnd w:id="1151"/>
      <w:bookmarkEnd w:id="1152"/>
      <w:r w:rsidR="00E40740">
        <w:t xml:space="preserve"> Test Findings</w:t>
      </w:r>
      <w:bookmarkEnd w:id="1153"/>
      <w:bookmarkEnd w:id="1154"/>
      <w:bookmarkEnd w:id="1155"/>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39"/>
        <w:gridCol w:w="860"/>
        <w:gridCol w:w="1198"/>
        <w:gridCol w:w="2172"/>
        <w:gridCol w:w="1425"/>
        <w:gridCol w:w="1626"/>
      </w:tblGrid>
      <w:tr w:rsidR="009F33CD" w14:paraId="216EBCB2" w14:textId="77777777" w:rsidTr="00300636">
        <w:trPr>
          <w:cantSplit/>
          <w:trHeight w:val="485"/>
        </w:trPr>
        <w:tc>
          <w:tcPr>
            <w:tcW w:w="571" w:type="pct"/>
            <w:tcBorders>
              <w:top w:val="single" w:sz="4" w:space="0" w:color="auto"/>
              <w:bottom w:val="single" w:sz="4" w:space="0" w:color="auto"/>
            </w:tcBorders>
          </w:tcPr>
          <w:p w14:paraId="6ED533CC" w14:textId="77777777" w:rsidR="009F33CD" w:rsidRDefault="00E40740" w:rsidP="00300636">
            <w:pPr>
              <w:spacing w:after="240" w:line="240" w:lineRule="auto"/>
              <w:jc w:val="left"/>
              <w:rPr>
                <w:rFonts w:cs="Times New Roman"/>
                <w:b/>
                <w:bCs/>
              </w:rPr>
            </w:pPr>
            <w:r>
              <w:rPr>
                <w:rFonts w:cs="Times New Roman"/>
                <w:b/>
                <w:bCs/>
              </w:rPr>
              <w:t>Model</w:t>
            </w:r>
          </w:p>
        </w:tc>
        <w:tc>
          <w:tcPr>
            <w:tcW w:w="523" w:type="pct"/>
            <w:tcBorders>
              <w:top w:val="single" w:sz="4" w:space="0" w:color="auto"/>
              <w:bottom w:val="single" w:sz="4" w:space="0" w:color="auto"/>
            </w:tcBorders>
          </w:tcPr>
          <w:p w14:paraId="0430F9FF" w14:textId="77777777" w:rsidR="009F33CD" w:rsidRDefault="00E40740" w:rsidP="00300636">
            <w:pPr>
              <w:spacing w:after="240" w:line="240" w:lineRule="auto"/>
              <w:jc w:val="center"/>
              <w:rPr>
                <w:rFonts w:cs="Times New Roman"/>
                <w:b/>
                <w:bCs/>
              </w:rPr>
            </w:pPr>
            <w:r>
              <w:rPr>
                <w:rFonts w:cs="Times New Roman"/>
                <w:b/>
                <w:bCs/>
              </w:rPr>
              <w:t>R</w:t>
            </w:r>
          </w:p>
        </w:tc>
        <w:tc>
          <w:tcPr>
            <w:tcW w:w="729" w:type="pct"/>
            <w:tcBorders>
              <w:top w:val="single" w:sz="4" w:space="0" w:color="auto"/>
              <w:bottom w:val="single" w:sz="4" w:space="0" w:color="auto"/>
            </w:tcBorders>
          </w:tcPr>
          <w:p w14:paraId="65F359DE" w14:textId="77777777" w:rsidR="009F33CD" w:rsidRDefault="00E40740" w:rsidP="00300636">
            <w:pPr>
              <w:spacing w:after="240" w:line="240" w:lineRule="auto"/>
              <w:jc w:val="center"/>
              <w:rPr>
                <w:rFonts w:cs="Times New Roman"/>
                <w:b/>
                <w:bCs/>
              </w:rPr>
            </w:pPr>
            <w:r>
              <w:rPr>
                <w:rFonts w:cs="Times New Roman"/>
                <w:b/>
                <w:bCs/>
              </w:rPr>
              <w:t>R Square</w:t>
            </w:r>
          </w:p>
        </w:tc>
        <w:tc>
          <w:tcPr>
            <w:tcW w:w="1321" w:type="pct"/>
            <w:tcBorders>
              <w:top w:val="single" w:sz="4" w:space="0" w:color="auto"/>
              <w:bottom w:val="single" w:sz="4" w:space="0" w:color="auto"/>
            </w:tcBorders>
          </w:tcPr>
          <w:p w14:paraId="43CB7643" w14:textId="77777777" w:rsidR="009F33CD" w:rsidRDefault="00E40740" w:rsidP="00300636">
            <w:pPr>
              <w:spacing w:after="240" w:line="240" w:lineRule="auto"/>
              <w:jc w:val="center"/>
              <w:rPr>
                <w:rFonts w:cs="Times New Roman"/>
                <w:b/>
                <w:bCs/>
              </w:rPr>
            </w:pPr>
            <w:r>
              <w:rPr>
                <w:rFonts w:cs="Times New Roman"/>
                <w:b/>
                <w:bCs/>
              </w:rPr>
              <w:t>Adjusted R Square</w:t>
            </w:r>
          </w:p>
        </w:tc>
        <w:tc>
          <w:tcPr>
            <w:tcW w:w="867" w:type="pct"/>
            <w:tcBorders>
              <w:top w:val="single" w:sz="4" w:space="0" w:color="auto"/>
              <w:bottom w:val="single" w:sz="4" w:space="0" w:color="auto"/>
            </w:tcBorders>
          </w:tcPr>
          <w:p w14:paraId="6F84AF4B" w14:textId="77777777" w:rsidR="009F33CD" w:rsidRDefault="00E40740" w:rsidP="00300636">
            <w:pPr>
              <w:spacing w:after="240" w:line="240" w:lineRule="auto"/>
              <w:jc w:val="center"/>
              <w:rPr>
                <w:rFonts w:cs="Times New Roman"/>
                <w:b/>
                <w:bCs/>
              </w:rPr>
            </w:pPr>
            <w:r>
              <w:rPr>
                <w:rFonts w:cs="Times New Roman"/>
                <w:b/>
                <w:bCs/>
              </w:rPr>
              <w:t>Std. Error of the Estimate</w:t>
            </w:r>
          </w:p>
        </w:tc>
        <w:tc>
          <w:tcPr>
            <w:tcW w:w="989" w:type="pct"/>
            <w:tcBorders>
              <w:top w:val="single" w:sz="4" w:space="0" w:color="auto"/>
              <w:bottom w:val="single" w:sz="4" w:space="0" w:color="auto"/>
            </w:tcBorders>
          </w:tcPr>
          <w:p w14:paraId="5045D0F9" w14:textId="77777777" w:rsidR="009F33CD" w:rsidRDefault="00E40740" w:rsidP="00300636">
            <w:pPr>
              <w:spacing w:after="240" w:line="240" w:lineRule="auto"/>
              <w:jc w:val="center"/>
              <w:rPr>
                <w:rFonts w:cs="Times New Roman"/>
                <w:b/>
                <w:bCs/>
              </w:rPr>
            </w:pPr>
            <w:r>
              <w:rPr>
                <w:rFonts w:cs="Times New Roman"/>
                <w:b/>
                <w:bCs/>
              </w:rPr>
              <w:t>Durbin-Watson</w:t>
            </w:r>
          </w:p>
        </w:tc>
      </w:tr>
      <w:tr w:rsidR="009F33CD" w14:paraId="7778872D" w14:textId="77777777" w:rsidTr="00300636">
        <w:trPr>
          <w:cantSplit/>
          <w:trHeight w:val="210"/>
        </w:trPr>
        <w:tc>
          <w:tcPr>
            <w:tcW w:w="571" w:type="pct"/>
            <w:tcBorders>
              <w:top w:val="single" w:sz="4" w:space="0" w:color="auto"/>
            </w:tcBorders>
          </w:tcPr>
          <w:p w14:paraId="3049C325" w14:textId="77777777" w:rsidR="009F33CD" w:rsidRDefault="00E40740" w:rsidP="00300636">
            <w:pPr>
              <w:spacing w:after="240" w:line="240" w:lineRule="auto"/>
              <w:jc w:val="left"/>
              <w:rPr>
                <w:rFonts w:cs="Times New Roman"/>
              </w:rPr>
            </w:pPr>
            <w:r>
              <w:rPr>
                <w:rFonts w:cs="Times New Roman"/>
              </w:rPr>
              <w:t>1</w:t>
            </w:r>
          </w:p>
        </w:tc>
        <w:tc>
          <w:tcPr>
            <w:tcW w:w="523" w:type="pct"/>
            <w:tcBorders>
              <w:top w:val="single" w:sz="4" w:space="0" w:color="auto"/>
            </w:tcBorders>
          </w:tcPr>
          <w:p w14:paraId="18D02B0D" w14:textId="77777777" w:rsidR="009F33CD" w:rsidRDefault="00E40740" w:rsidP="00300636">
            <w:pPr>
              <w:spacing w:after="240" w:line="240" w:lineRule="auto"/>
              <w:jc w:val="center"/>
              <w:rPr>
                <w:rFonts w:cs="Times New Roman"/>
              </w:rPr>
            </w:pPr>
            <w:r>
              <w:rPr>
                <w:rFonts w:cs="Times New Roman"/>
              </w:rPr>
              <w:t>.802</w:t>
            </w:r>
            <w:r>
              <w:rPr>
                <w:rFonts w:cs="Times New Roman"/>
                <w:vertAlign w:val="superscript"/>
              </w:rPr>
              <w:t>a</w:t>
            </w:r>
          </w:p>
        </w:tc>
        <w:tc>
          <w:tcPr>
            <w:tcW w:w="729" w:type="pct"/>
            <w:tcBorders>
              <w:top w:val="single" w:sz="4" w:space="0" w:color="auto"/>
            </w:tcBorders>
          </w:tcPr>
          <w:p w14:paraId="05104594" w14:textId="77777777" w:rsidR="009F33CD" w:rsidRDefault="00E40740" w:rsidP="00300636">
            <w:pPr>
              <w:spacing w:after="240" w:line="240" w:lineRule="auto"/>
              <w:jc w:val="center"/>
              <w:rPr>
                <w:rFonts w:cs="Times New Roman"/>
              </w:rPr>
            </w:pPr>
            <w:r>
              <w:rPr>
                <w:rFonts w:cs="Times New Roman"/>
              </w:rPr>
              <w:t>.644</w:t>
            </w:r>
          </w:p>
        </w:tc>
        <w:tc>
          <w:tcPr>
            <w:tcW w:w="1321" w:type="pct"/>
            <w:tcBorders>
              <w:top w:val="single" w:sz="4" w:space="0" w:color="auto"/>
            </w:tcBorders>
          </w:tcPr>
          <w:p w14:paraId="5C49E68D" w14:textId="77777777" w:rsidR="009F33CD" w:rsidRDefault="00E40740" w:rsidP="00300636">
            <w:pPr>
              <w:spacing w:after="240" w:line="240" w:lineRule="auto"/>
              <w:jc w:val="center"/>
              <w:rPr>
                <w:rFonts w:cs="Times New Roman"/>
              </w:rPr>
            </w:pPr>
            <w:r>
              <w:rPr>
                <w:rFonts w:cs="Times New Roman"/>
              </w:rPr>
              <w:t>.631</w:t>
            </w:r>
          </w:p>
        </w:tc>
        <w:tc>
          <w:tcPr>
            <w:tcW w:w="867" w:type="pct"/>
            <w:tcBorders>
              <w:top w:val="single" w:sz="4" w:space="0" w:color="auto"/>
            </w:tcBorders>
          </w:tcPr>
          <w:p w14:paraId="1A1E9A5F" w14:textId="77777777" w:rsidR="009F33CD" w:rsidRDefault="00E40740" w:rsidP="00300636">
            <w:pPr>
              <w:spacing w:after="240" w:line="240" w:lineRule="auto"/>
              <w:jc w:val="center"/>
              <w:rPr>
                <w:rFonts w:cs="Times New Roman"/>
              </w:rPr>
            </w:pPr>
            <w:r>
              <w:rPr>
                <w:rFonts w:cs="Times New Roman"/>
              </w:rPr>
              <w:t>.56473</w:t>
            </w:r>
          </w:p>
        </w:tc>
        <w:tc>
          <w:tcPr>
            <w:tcW w:w="989" w:type="pct"/>
            <w:tcBorders>
              <w:top w:val="single" w:sz="4" w:space="0" w:color="auto"/>
            </w:tcBorders>
          </w:tcPr>
          <w:p w14:paraId="2314FE9D" w14:textId="77777777" w:rsidR="009F33CD" w:rsidRDefault="00E40740" w:rsidP="00300636">
            <w:pPr>
              <w:spacing w:after="240" w:line="240" w:lineRule="auto"/>
              <w:jc w:val="center"/>
              <w:rPr>
                <w:rFonts w:cs="Times New Roman"/>
              </w:rPr>
            </w:pPr>
            <w:r>
              <w:rPr>
                <w:rFonts w:cs="Times New Roman"/>
              </w:rPr>
              <w:t>1.328</w:t>
            </w:r>
          </w:p>
        </w:tc>
      </w:tr>
    </w:tbl>
    <w:p w14:paraId="65E6C7C0" w14:textId="77777777" w:rsidR="009F33CD" w:rsidRDefault="00E40740">
      <w:pPr>
        <w:spacing w:after="240"/>
        <w:rPr>
          <w:rFonts w:cs="Times New Roman"/>
          <w:bCs/>
        </w:rPr>
      </w:pPr>
      <w:r>
        <w:rPr>
          <w:rFonts w:cs="Times New Roman"/>
          <w:bCs/>
        </w:rPr>
        <w:t>As a rule of thumb, autocorrelation is not considered to be present when Durbin Watson statistic takes values between 0 and 4 (Mugenda &amp; Mugenda, 2013). Values closer to 4 imply negative autocorrelation, while values closer to 0 indicate positive autocorrelation. When errors are seriously correlated, the Ordinary Least Squares (OLS) estimates become biased and therefore the use of t and f statistics becomes no longer valid. Autocorrelation may result in overestimated t values and that results in type 1 error. The study finding showed the absence of autocorrelation since the Durbin-Watson value was 1.328 which is within the acceptable range.</w:t>
      </w:r>
    </w:p>
    <w:p w14:paraId="6189FB12" w14:textId="77777777" w:rsidR="009F33CD" w:rsidRDefault="00E40740" w:rsidP="00E53B8A">
      <w:pPr>
        <w:pStyle w:val="Heading3"/>
        <w:rPr>
          <w:lang w:val="en-US"/>
        </w:rPr>
      </w:pPr>
      <w:bookmarkStart w:id="1156" w:name="_Toc224237736"/>
      <w:r>
        <w:rPr>
          <w:lang w:val="en-US"/>
        </w:rPr>
        <w:t>4.5.6 Overall Correlation Analysis Findings for GHRM Practices and Performance of Devolved Healthcare Services</w:t>
      </w:r>
      <w:bookmarkEnd w:id="1156"/>
      <w:r>
        <w:rPr>
          <w:lang w:val="en-US"/>
        </w:rPr>
        <w:t xml:space="preserve"> </w:t>
      </w:r>
    </w:p>
    <w:p w14:paraId="0571D814" w14:textId="77777777" w:rsidR="00E53B8A" w:rsidRDefault="00E40740" w:rsidP="00513500">
      <w:pPr>
        <w:spacing w:after="240"/>
        <w:rPr>
          <w:rFonts w:cs="Times New Roman"/>
          <w:bCs/>
          <w:lang w:val="en-US"/>
        </w:rPr>
      </w:pPr>
      <w:r>
        <w:rPr>
          <w:rFonts w:cs="Times New Roman"/>
          <w:bCs/>
          <w:lang w:val="en-US"/>
        </w:rPr>
        <w:t xml:space="preserve"> The correlation coefficient measures the degree and direction of relationship between two or more statistical variables (Mugenda &amp; Mugenda, 2013). The correlation coefficient ranges between negative (-1) and positive (+1). A negative coefficient reveals a negative correlation, while a positive coefficient implies a positive one. If there is a high degree of correlation between two variables, then there is a close association between those two variables. The variables have no association if the correlation coefficient is 0.00 (Creswell, 2017). A Pearson’s correlation two-tailed test was run on SPSS version 22.0 to determine the strength and direction of the relationship between green human resource management practices (independent variables), management style (moderating variable) and performance of devolved healthcare services (dependent variable) in Kenya. The overall correlation analysis m</w:t>
      </w:r>
      <w:r w:rsidR="00300636">
        <w:rPr>
          <w:rFonts w:cs="Times New Roman"/>
          <w:bCs/>
          <w:lang w:val="en-US"/>
        </w:rPr>
        <w:t>atrix is presented in Table 4.15</w:t>
      </w:r>
      <w:r>
        <w:rPr>
          <w:rFonts w:cs="Times New Roman"/>
          <w:bCs/>
          <w:lang w:val="en-US"/>
        </w:rPr>
        <w:t>.</w:t>
      </w:r>
    </w:p>
    <w:p w14:paraId="7B7B3860" w14:textId="77777777" w:rsidR="00D93F3B" w:rsidRDefault="00D93F3B" w:rsidP="00513500">
      <w:pPr>
        <w:spacing w:after="240"/>
        <w:rPr>
          <w:rFonts w:cs="Times New Roman"/>
          <w:bCs/>
          <w:lang w:val="en-US"/>
        </w:rPr>
      </w:pPr>
    </w:p>
    <w:p w14:paraId="412EB529" w14:textId="77777777" w:rsidR="00D93F3B" w:rsidRDefault="00D93F3B" w:rsidP="00513500">
      <w:pPr>
        <w:spacing w:after="240"/>
        <w:rPr>
          <w:rFonts w:cs="Times New Roman"/>
          <w:bCs/>
          <w:lang w:val="en-US"/>
        </w:rPr>
      </w:pPr>
    </w:p>
    <w:p w14:paraId="37E8AA28" w14:textId="77777777" w:rsidR="009F33CD" w:rsidRDefault="000748E0">
      <w:pPr>
        <w:rPr>
          <w:rFonts w:cs="Times New Roman"/>
          <w:b/>
          <w:bCs/>
          <w:lang w:val="en-US"/>
        </w:rPr>
      </w:pPr>
      <w:r>
        <w:rPr>
          <w:rFonts w:cs="Times New Roman"/>
          <w:b/>
          <w:bCs/>
          <w:lang w:val="en-US"/>
        </w:rPr>
        <w:lastRenderedPageBreak/>
        <w:t>Table 4.15</w:t>
      </w:r>
      <w:r w:rsidR="00E40740">
        <w:rPr>
          <w:rFonts w:cs="Times New Roman"/>
          <w:b/>
          <w:bCs/>
          <w:lang w:val="en-US"/>
        </w:rPr>
        <w:t>: Overall Correlation Analysis Matrix</w:t>
      </w:r>
    </w:p>
    <w:tbl>
      <w:tblPr>
        <w:tblW w:w="8553"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17"/>
        <w:gridCol w:w="1951"/>
        <w:gridCol w:w="1004"/>
        <w:gridCol w:w="1004"/>
        <w:gridCol w:w="1004"/>
        <w:gridCol w:w="1004"/>
        <w:gridCol w:w="1004"/>
        <w:gridCol w:w="865"/>
      </w:tblGrid>
      <w:tr w:rsidR="009F33CD" w:rsidRPr="00E53B8A" w14:paraId="33B820AF" w14:textId="77777777" w:rsidTr="00300636">
        <w:trPr>
          <w:cantSplit/>
          <w:trHeight w:val="138"/>
          <w:tblHeader/>
        </w:trPr>
        <w:tc>
          <w:tcPr>
            <w:tcW w:w="2668" w:type="dxa"/>
            <w:gridSpan w:val="2"/>
            <w:tcBorders>
              <w:top w:val="single" w:sz="4" w:space="0" w:color="auto"/>
              <w:bottom w:val="single" w:sz="4" w:space="0" w:color="auto"/>
            </w:tcBorders>
            <w:vAlign w:val="bottom"/>
          </w:tcPr>
          <w:p w14:paraId="73D48636" w14:textId="77777777" w:rsidR="009F33CD" w:rsidRPr="00E53B8A" w:rsidRDefault="009F33CD" w:rsidP="00E53B8A">
            <w:pPr>
              <w:spacing w:after="240" w:line="240" w:lineRule="auto"/>
              <w:rPr>
                <w:rFonts w:cs="Times New Roman"/>
                <w:b/>
                <w:bCs/>
                <w:lang w:val="en-US"/>
              </w:rPr>
            </w:pPr>
          </w:p>
        </w:tc>
        <w:tc>
          <w:tcPr>
            <w:tcW w:w="1004" w:type="dxa"/>
            <w:tcBorders>
              <w:top w:val="single" w:sz="4" w:space="0" w:color="auto"/>
              <w:bottom w:val="single" w:sz="4" w:space="0" w:color="auto"/>
            </w:tcBorders>
            <w:vAlign w:val="bottom"/>
          </w:tcPr>
          <w:p w14:paraId="3B2DC2F9"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X</w:t>
            </w:r>
            <w:r w:rsidRPr="00E53B8A">
              <w:rPr>
                <w:rFonts w:cs="Times New Roman"/>
                <w:b/>
                <w:bCs/>
                <w:vertAlign w:val="subscript"/>
                <w:lang w:val="en-US"/>
              </w:rPr>
              <w:t>1</w:t>
            </w:r>
          </w:p>
        </w:tc>
        <w:tc>
          <w:tcPr>
            <w:tcW w:w="1004" w:type="dxa"/>
            <w:tcBorders>
              <w:top w:val="single" w:sz="4" w:space="0" w:color="auto"/>
              <w:bottom w:val="single" w:sz="4" w:space="0" w:color="auto"/>
            </w:tcBorders>
            <w:vAlign w:val="bottom"/>
          </w:tcPr>
          <w:p w14:paraId="659D9FF3"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X</w:t>
            </w:r>
            <w:r w:rsidRPr="00E53B8A">
              <w:rPr>
                <w:rFonts w:cs="Times New Roman"/>
                <w:b/>
                <w:bCs/>
                <w:vertAlign w:val="subscript"/>
                <w:lang w:val="en-US"/>
              </w:rPr>
              <w:t>2</w:t>
            </w:r>
          </w:p>
        </w:tc>
        <w:tc>
          <w:tcPr>
            <w:tcW w:w="1004" w:type="dxa"/>
            <w:tcBorders>
              <w:top w:val="single" w:sz="4" w:space="0" w:color="auto"/>
              <w:bottom w:val="single" w:sz="4" w:space="0" w:color="auto"/>
            </w:tcBorders>
            <w:vAlign w:val="bottom"/>
          </w:tcPr>
          <w:p w14:paraId="6B0E10C8"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X</w:t>
            </w:r>
            <w:r w:rsidRPr="00E53B8A">
              <w:rPr>
                <w:rFonts w:cs="Times New Roman"/>
                <w:b/>
                <w:bCs/>
                <w:vertAlign w:val="subscript"/>
                <w:lang w:val="en-US"/>
              </w:rPr>
              <w:t>3</w:t>
            </w:r>
          </w:p>
        </w:tc>
        <w:tc>
          <w:tcPr>
            <w:tcW w:w="1004" w:type="dxa"/>
            <w:tcBorders>
              <w:top w:val="single" w:sz="4" w:space="0" w:color="auto"/>
              <w:bottom w:val="single" w:sz="4" w:space="0" w:color="auto"/>
            </w:tcBorders>
            <w:vAlign w:val="bottom"/>
          </w:tcPr>
          <w:p w14:paraId="15A6AAE4"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X</w:t>
            </w:r>
            <w:r w:rsidRPr="00E53B8A">
              <w:rPr>
                <w:rFonts w:cs="Times New Roman"/>
                <w:b/>
                <w:bCs/>
                <w:vertAlign w:val="subscript"/>
                <w:lang w:val="en-US"/>
              </w:rPr>
              <w:t>4</w:t>
            </w:r>
          </w:p>
        </w:tc>
        <w:tc>
          <w:tcPr>
            <w:tcW w:w="1004" w:type="dxa"/>
            <w:tcBorders>
              <w:top w:val="single" w:sz="4" w:space="0" w:color="auto"/>
              <w:bottom w:val="single" w:sz="4" w:space="0" w:color="auto"/>
            </w:tcBorders>
            <w:vAlign w:val="bottom"/>
          </w:tcPr>
          <w:p w14:paraId="35F6A566"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Z</w:t>
            </w:r>
          </w:p>
        </w:tc>
        <w:tc>
          <w:tcPr>
            <w:tcW w:w="865" w:type="dxa"/>
            <w:tcBorders>
              <w:top w:val="single" w:sz="4" w:space="0" w:color="auto"/>
              <w:bottom w:val="single" w:sz="4" w:space="0" w:color="auto"/>
            </w:tcBorders>
            <w:vAlign w:val="bottom"/>
          </w:tcPr>
          <w:p w14:paraId="52341936" w14:textId="77777777" w:rsidR="009F33CD" w:rsidRPr="00E53B8A" w:rsidRDefault="00E40740" w:rsidP="00E53B8A">
            <w:pPr>
              <w:spacing w:after="240" w:line="240" w:lineRule="auto"/>
              <w:jc w:val="center"/>
              <w:rPr>
                <w:rFonts w:cs="Times New Roman"/>
                <w:b/>
                <w:bCs/>
                <w:lang w:val="en-US"/>
              </w:rPr>
            </w:pPr>
            <w:r w:rsidRPr="00E53B8A">
              <w:rPr>
                <w:rFonts w:cs="Times New Roman"/>
                <w:b/>
                <w:bCs/>
                <w:lang w:val="en-US"/>
              </w:rPr>
              <w:t>Y</w:t>
            </w:r>
          </w:p>
        </w:tc>
      </w:tr>
      <w:tr w:rsidR="009F33CD" w14:paraId="5D4B13A9" w14:textId="77777777" w:rsidTr="001E3129">
        <w:trPr>
          <w:cantSplit/>
          <w:trHeight w:val="70"/>
        </w:trPr>
        <w:tc>
          <w:tcPr>
            <w:tcW w:w="717" w:type="dxa"/>
            <w:vMerge w:val="restart"/>
            <w:tcBorders>
              <w:top w:val="single" w:sz="4" w:space="0" w:color="auto"/>
            </w:tcBorders>
          </w:tcPr>
          <w:p w14:paraId="39CA9AEA" w14:textId="77777777" w:rsidR="009F33CD" w:rsidRDefault="00E40740" w:rsidP="00E53B8A">
            <w:pPr>
              <w:spacing w:after="240" w:line="240" w:lineRule="auto"/>
              <w:rPr>
                <w:rFonts w:cs="Times New Roman"/>
                <w:bCs/>
                <w:lang w:val="en-US"/>
              </w:rPr>
            </w:pPr>
            <w:r>
              <w:rPr>
                <w:rFonts w:cs="Times New Roman"/>
                <w:bCs/>
                <w:lang w:val="en-US"/>
              </w:rPr>
              <w:t>X</w:t>
            </w:r>
            <w:r>
              <w:rPr>
                <w:rFonts w:cs="Times New Roman"/>
                <w:bCs/>
                <w:vertAlign w:val="subscript"/>
                <w:lang w:val="en-US"/>
              </w:rPr>
              <w:t>1</w:t>
            </w:r>
          </w:p>
        </w:tc>
        <w:tc>
          <w:tcPr>
            <w:tcW w:w="1951" w:type="dxa"/>
            <w:tcBorders>
              <w:top w:val="single" w:sz="4" w:space="0" w:color="auto"/>
            </w:tcBorders>
          </w:tcPr>
          <w:p w14:paraId="2CA5C579"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Borders>
              <w:top w:val="single" w:sz="4" w:space="0" w:color="auto"/>
            </w:tcBorders>
          </w:tcPr>
          <w:p w14:paraId="6E956ADA" w14:textId="77777777" w:rsidR="009F33CD" w:rsidRDefault="00E40740" w:rsidP="00E53B8A">
            <w:pPr>
              <w:spacing w:after="240" w:line="240" w:lineRule="auto"/>
              <w:jc w:val="center"/>
              <w:rPr>
                <w:rFonts w:cs="Times New Roman"/>
                <w:bCs/>
                <w:lang w:val="en-US"/>
              </w:rPr>
            </w:pPr>
            <w:r>
              <w:rPr>
                <w:rFonts w:cs="Times New Roman"/>
                <w:bCs/>
                <w:lang w:val="en-US"/>
              </w:rPr>
              <w:t>1</w:t>
            </w:r>
          </w:p>
        </w:tc>
        <w:tc>
          <w:tcPr>
            <w:tcW w:w="1004" w:type="dxa"/>
            <w:tcBorders>
              <w:top w:val="single" w:sz="4" w:space="0" w:color="auto"/>
            </w:tcBorders>
          </w:tcPr>
          <w:p w14:paraId="75311A5D" w14:textId="77777777" w:rsidR="009F33CD" w:rsidRDefault="009F33CD" w:rsidP="00E53B8A">
            <w:pPr>
              <w:spacing w:after="240" w:line="240" w:lineRule="auto"/>
              <w:jc w:val="center"/>
              <w:rPr>
                <w:rFonts w:cs="Times New Roman"/>
                <w:bCs/>
                <w:lang w:val="en-US"/>
              </w:rPr>
            </w:pPr>
          </w:p>
        </w:tc>
        <w:tc>
          <w:tcPr>
            <w:tcW w:w="1004" w:type="dxa"/>
            <w:tcBorders>
              <w:top w:val="single" w:sz="4" w:space="0" w:color="auto"/>
            </w:tcBorders>
          </w:tcPr>
          <w:p w14:paraId="77CD54A6" w14:textId="77777777" w:rsidR="009F33CD" w:rsidRDefault="009F33CD" w:rsidP="00E53B8A">
            <w:pPr>
              <w:spacing w:after="240" w:line="240" w:lineRule="auto"/>
              <w:jc w:val="center"/>
              <w:rPr>
                <w:rFonts w:cs="Times New Roman"/>
                <w:bCs/>
                <w:lang w:val="en-US"/>
              </w:rPr>
            </w:pPr>
          </w:p>
        </w:tc>
        <w:tc>
          <w:tcPr>
            <w:tcW w:w="1004" w:type="dxa"/>
            <w:tcBorders>
              <w:top w:val="single" w:sz="4" w:space="0" w:color="auto"/>
            </w:tcBorders>
          </w:tcPr>
          <w:p w14:paraId="1B354FAE" w14:textId="77777777" w:rsidR="009F33CD" w:rsidRDefault="009F33CD" w:rsidP="00E53B8A">
            <w:pPr>
              <w:spacing w:after="240" w:line="240" w:lineRule="auto"/>
              <w:jc w:val="center"/>
              <w:rPr>
                <w:rFonts w:cs="Times New Roman"/>
                <w:bCs/>
                <w:lang w:val="en-US"/>
              </w:rPr>
            </w:pPr>
          </w:p>
        </w:tc>
        <w:tc>
          <w:tcPr>
            <w:tcW w:w="1004" w:type="dxa"/>
            <w:tcBorders>
              <w:top w:val="single" w:sz="4" w:space="0" w:color="auto"/>
            </w:tcBorders>
          </w:tcPr>
          <w:p w14:paraId="673E84ED" w14:textId="77777777" w:rsidR="009F33CD" w:rsidRDefault="009F33CD" w:rsidP="00E53B8A">
            <w:pPr>
              <w:spacing w:after="240" w:line="240" w:lineRule="auto"/>
              <w:jc w:val="center"/>
              <w:rPr>
                <w:rFonts w:cs="Times New Roman"/>
                <w:bCs/>
                <w:lang w:val="en-US"/>
              </w:rPr>
            </w:pPr>
          </w:p>
        </w:tc>
        <w:tc>
          <w:tcPr>
            <w:tcW w:w="865" w:type="dxa"/>
            <w:tcBorders>
              <w:top w:val="single" w:sz="4" w:space="0" w:color="auto"/>
            </w:tcBorders>
          </w:tcPr>
          <w:p w14:paraId="647E5335" w14:textId="77777777" w:rsidR="009F33CD" w:rsidRDefault="009F33CD" w:rsidP="00E53B8A">
            <w:pPr>
              <w:spacing w:after="240" w:line="240" w:lineRule="auto"/>
              <w:jc w:val="center"/>
              <w:rPr>
                <w:rFonts w:cs="Times New Roman"/>
                <w:bCs/>
                <w:lang w:val="en-US"/>
              </w:rPr>
            </w:pPr>
          </w:p>
        </w:tc>
      </w:tr>
      <w:tr w:rsidR="009F33CD" w14:paraId="4D229F61" w14:textId="77777777" w:rsidTr="001E3129">
        <w:trPr>
          <w:cantSplit/>
          <w:trHeight w:val="80"/>
        </w:trPr>
        <w:tc>
          <w:tcPr>
            <w:tcW w:w="717" w:type="dxa"/>
            <w:vMerge/>
          </w:tcPr>
          <w:p w14:paraId="243E1A74" w14:textId="77777777" w:rsidR="009F33CD" w:rsidRDefault="009F33CD" w:rsidP="00E53B8A">
            <w:pPr>
              <w:spacing w:after="240" w:line="240" w:lineRule="auto"/>
              <w:rPr>
                <w:rFonts w:cs="Times New Roman"/>
                <w:bCs/>
                <w:lang w:val="en-US"/>
              </w:rPr>
            </w:pPr>
          </w:p>
        </w:tc>
        <w:tc>
          <w:tcPr>
            <w:tcW w:w="1951" w:type="dxa"/>
          </w:tcPr>
          <w:p w14:paraId="7D89A8BB"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vAlign w:val="center"/>
          </w:tcPr>
          <w:p w14:paraId="251B10E9" w14:textId="77777777" w:rsidR="009F33CD" w:rsidRDefault="009F33CD" w:rsidP="00E53B8A">
            <w:pPr>
              <w:spacing w:after="240" w:line="240" w:lineRule="auto"/>
              <w:jc w:val="center"/>
              <w:rPr>
                <w:rFonts w:cs="Times New Roman"/>
                <w:bCs/>
                <w:lang w:val="en-US"/>
              </w:rPr>
            </w:pPr>
          </w:p>
        </w:tc>
        <w:tc>
          <w:tcPr>
            <w:tcW w:w="1004" w:type="dxa"/>
          </w:tcPr>
          <w:p w14:paraId="1A64819B" w14:textId="77777777" w:rsidR="009F33CD" w:rsidRDefault="009F33CD" w:rsidP="00E53B8A">
            <w:pPr>
              <w:spacing w:after="240" w:line="240" w:lineRule="auto"/>
              <w:jc w:val="center"/>
              <w:rPr>
                <w:rFonts w:cs="Times New Roman"/>
                <w:bCs/>
                <w:lang w:val="en-US"/>
              </w:rPr>
            </w:pPr>
          </w:p>
        </w:tc>
        <w:tc>
          <w:tcPr>
            <w:tcW w:w="1004" w:type="dxa"/>
          </w:tcPr>
          <w:p w14:paraId="1CCCCB50" w14:textId="77777777" w:rsidR="009F33CD" w:rsidRDefault="009F33CD" w:rsidP="00E53B8A">
            <w:pPr>
              <w:spacing w:after="240" w:line="240" w:lineRule="auto"/>
              <w:jc w:val="center"/>
              <w:rPr>
                <w:rFonts w:cs="Times New Roman"/>
                <w:bCs/>
                <w:lang w:val="en-US"/>
              </w:rPr>
            </w:pPr>
          </w:p>
        </w:tc>
        <w:tc>
          <w:tcPr>
            <w:tcW w:w="1004" w:type="dxa"/>
          </w:tcPr>
          <w:p w14:paraId="77A071C8" w14:textId="77777777" w:rsidR="009F33CD" w:rsidRDefault="009F33CD" w:rsidP="00E53B8A">
            <w:pPr>
              <w:spacing w:after="240" w:line="240" w:lineRule="auto"/>
              <w:jc w:val="center"/>
              <w:rPr>
                <w:rFonts w:cs="Times New Roman"/>
                <w:bCs/>
                <w:lang w:val="en-US"/>
              </w:rPr>
            </w:pPr>
          </w:p>
        </w:tc>
        <w:tc>
          <w:tcPr>
            <w:tcW w:w="1004" w:type="dxa"/>
          </w:tcPr>
          <w:p w14:paraId="613A0EEC" w14:textId="77777777" w:rsidR="009F33CD" w:rsidRDefault="009F33CD" w:rsidP="00E53B8A">
            <w:pPr>
              <w:spacing w:after="240" w:line="240" w:lineRule="auto"/>
              <w:jc w:val="center"/>
              <w:rPr>
                <w:rFonts w:cs="Times New Roman"/>
                <w:bCs/>
                <w:lang w:val="en-US"/>
              </w:rPr>
            </w:pPr>
          </w:p>
        </w:tc>
        <w:tc>
          <w:tcPr>
            <w:tcW w:w="865" w:type="dxa"/>
          </w:tcPr>
          <w:p w14:paraId="0B5B6AF3" w14:textId="77777777" w:rsidR="009F33CD" w:rsidRDefault="009F33CD" w:rsidP="00E53B8A">
            <w:pPr>
              <w:spacing w:after="240" w:line="240" w:lineRule="auto"/>
              <w:jc w:val="center"/>
              <w:rPr>
                <w:rFonts w:cs="Times New Roman"/>
                <w:bCs/>
                <w:lang w:val="en-US"/>
              </w:rPr>
            </w:pPr>
          </w:p>
        </w:tc>
      </w:tr>
      <w:tr w:rsidR="009F33CD" w14:paraId="5AA0EF89" w14:textId="77777777" w:rsidTr="001E3129">
        <w:trPr>
          <w:cantSplit/>
          <w:trHeight w:val="80"/>
        </w:trPr>
        <w:tc>
          <w:tcPr>
            <w:tcW w:w="717" w:type="dxa"/>
            <w:vMerge/>
          </w:tcPr>
          <w:p w14:paraId="4449216F" w14:textId="77777777" w:rsidR="009F33CD" w:rsidRDefault="009F33CD" w:rsidP="00E53B8A">
            <w:pPr>
              <w:spacing w:after="240" w:line="240" w:lineRule="auto"/>
              <w:rPr>
                <w:rFonts w:cs="Times New Roman"/>
                <w:bCs/>
                <w:lang w:val="en-US"/>
              </w:rPr>
            </w:pPr>
          </w:p>
        </w:tc>
        <w:tc>
          <w:tcPr>
            <w:tcW w:w="1951" w:type="dxa"/>
          </w:tcPr>
          <w:p w14:paraId="449466F5" w14:textId="77777777" w:rsidR="009F33CD" w:rsidRDefault="00E40740" w:rsidP="00E53B8A">
            <w:pPr>
              <w:spacing w:after="240" w:line="240" w:lineRule="auto"/>
              <w:rPr>
                <w:rFonts w:cs="Times New Roman"/>
                <w:bCs/>
                <w:lang w:val="en-US"/>
              </w:rPr>
            </w:pPr>
            <w:r>
              <w:rPr>
                <w:rFonts w:cs="Times New Roman"/>
                <w:bCs/>
                <w:lang w:val="en-US"/>
              </w:rPr>
              <w:t>N</w:t>
            </w:r>
          </w:p>
        </w:tc>
        <w:tc>
          <w:tcPr>
            <w:tcW w:w="1004" w:type="dxa"/>
          </w:tcPr>
          <w:p w14:paraId="0C3E915C"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575B2D6B" w14:textId="77777777" w:rsidR="009F33CD" w:rsidRDefault="009F33CD" w:rsidP="00E53B8A">
            <w:pPr>
              <w:spacing w:after="240" w:line="240" w:lineRule="auto"/>
              <w:jc w:val="center"/>
              <w:rPr>
                <w:rFonts w:cs="Times New Roman"/>
                <w:bCs/>
                <w:lang w:val="en-US"/>
              </w:rPr>
            </w:pPr>
          </w:p>
        </w:tc>
        <w:tc>
          <w:tcPr>
            <w:tcW w:w="1004" w:type="dxa"/>
          </w:tcPr>
          <w:p w14:paraId="5FEA4826" w14:textId="77777777" w:rsidR="009F33CD" w:rsidRDefault="009F33CD" w:rsidP="00E53B8A">
            <w:pPr>
              <w:spacing w:after="240" w:line="240" w:lineRule="auto"/>
              <w:jc w:val="center"/>
              <w:rPr>
                <w:rFonts w:cs="Times New Roman"/>
                <w:bCs/>
                <w:lang w:val="en-US"/>
              </w:rPr>
            </w:pPr>
          </w:p>
        </w:tc>
        <w:tc>
          <w:tcPr>
            <w:tcW w:w="1004" w:type="dxa"/>
          </w:tcPr>
          <w:p w14:paraId="39DEB152" w14:textId="77777777" w:rsidR="009F33CD" w:rsidRDefault="009F33CD" w:rsidP="00E53B8A">
            <w:pPr>
              <w:spacing w:after="240" w:line="240" w:lineRule="auto"/>
              <w:jc w:val="center"/>
              <w:rPr>
                <w:rFonts w:cs="Times New Roman"/>
                <w:bCs/>
                <w:lang w:val="en-US"/>
              </w:rPr>
            </w:pPr>
          </w:p>
        </w:tc>
        <w:tc>
          <w:tcPr>
            <w:tcW w:w="1004" w:type="dxa"/>
          </w:tcPr>
          <w:p w14:paraId="2F4576A0" w14:textId="77777777" w:rsidR="009F33CD" w:rsidRDefault="009F33CD" w:rsidP="00E53B8A">
            <w:pPr>
              <w:spacing w:after="240" w:line="240" w:lineRule="auto"/>
              <w:jc w:val="center"/>
              <w:rPr>
                <w:rFonts w:cs="Times New Roman"/>
                <w:bCs/>
                <w:lang w:val="en-US"/>
              </w:rPr>
            </w:pPr>
          </w:p>
        </w:tc>
        <w:tc>
          <w:tcPr>
            <w:tcW w:w="865" w:type="dxa"/>
          </w:tcPr>
          <w:p w14:paraId="16E497D1" w14:textId="77777777" w:rsidR="009F33CD" w:rsidRDefault="009F33CD" w:rsidP="00E53B8A">
            <w:pPr>
              <w:spacing w:after="240" w:line="240" w:lineRule="auto"/>
              <w:jc w:val="center"/>
              <w:rPr>
                <w:rFonts w:cs="Times New Roman"/>
                <w:bCs/>
                <w:lang w:val="en-US"/>
              </w:rPr>
            </w:pPr>
          </w:p>
        </w:tc>
      </w:tr>
      <w:tr w:rsidR="009F33CD" w14:paraId="1E66775C" w14:textId="77777777" w:rsidTr="001E3129">
        <w:trPr>
          <w:cantSplit/>
          <w:trHeight w:val="80"/>
        </w:trPr>
        <w:tc>
          <w:tcPr>
            <w:tcW w:w="717" w:type="dxa"/>
            <w:vMerge w:val="restart"/>
          </w:tcPr>
          <w:p w14:paraId="6B1246F7" w14:textId="77777777" w:rsidR="009F33CD" w:rsidRDefault="00E40740" w:rsidP="00E53B8A">
            <w:pPr>
              <w:spacing w:after="240" w:line="240" w:lineRule="auto"/>
              <w:rPr>
                <w:rFonts w:cs="Times New Roman"/>
                <w:bCs/>
                <w:lang w:val="en-US"/>
              </w:rPr>
            </w:pPr>
            <w:r>
              <w:rPr>
                <w:rFonts w:cs="Times New Roman"/>
                <w:bCs/>
                <w:lang w:val="en-US"/>
              </w:rPr>
              <w:t>X</w:t>
            </w:r>
            <w:r>
              <w:rPr>
                <w:rFonts w:cs="Times New Roman"/>
                <w:bCs/>
                <w:vertAlign w:val="subscript"/>
                <w:lang w:val="en-US"/>
              </w:rPr>
              <w:t>2</w:t>
            </w:r>
          </w:p>
        </w:tc>
        <w:tc>
          <w:tcPr>
            <w:tcW w:w="1951" w:type="dxa"/>
          </w:tcPr>
          <w:p w14:paraId="373956A9"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Pr>
          <w:p w14:paraId="2DBE5EA6" w14:textId="77777777" w:rsidR="009F33CD" w:rsidRDefault="00E40740" w:rsidP="00E53B8A">
            <w:pPr>
              <w:spacing w:after="240" w:line="240" w:lineRule="auto"/>
              <w:jc w:val="center"/>
              <w:rPr>
                <w:rFonts w:cs="Times New Roman"/>
                <w:bCs/>
                <w:lang w:val="en-US"/>
              </w:rPr>
            </w:pPr>
            <w:r>
              <w:rPr>
                <w:rFonts w:cs="Times New Roman"/>
                <w:bCs/>
                <w:lang w:val="en-US"/>
              </w:rPr>
              <w:t>.666</w:t>
            </w:r>
            <w:r>
              <w:rPr>
                <w:rFonts w:cs="Times New Roman"/>
                <w:bCs/>
                <w:vertAlign w:val="superscript"/>
                <w:lang w:val="en-US"/>
              </w:rPr>
              <w:t>**</w:t>
            </w:r>
          </w:p>
        </w:tc>
        <w:tc>
          <w:tcPr>
            <w:tcW w:w="1004" w:type="dxa"/>
          </w:tcPr>
          <w:p w14:paraId="7B41C431" w14:textId="77777777" w:rsidR="009F33CD" w:rsidRDefault="00E40740" w:rsidP="00E53B8A">
            <w:pPr>
              <w:spacing w:after="240" w:line="240" w:lineRule="auto"/>
              <w:jc w:val="center"/>
              <w:rPr>
                <w:rFonts w:cs="Times New Roman"/>
                <w:bCs/>
                <w:lang w:val="en-US"/>
              </w:rPr>
            </w:pPr>
            <w:r>
              <w:rPr>
                <w:rFonts w:cs="Times New Roman"/>
                <w:bCs/>
                <w:lang w:val="en-US"/>
              </w:rPr>
              <w:t>1</w:t>
            </w:r>
          </w:p>
        </w:tc>
        <w:tc>
          <w:tcPr>
            <w:tcW w:w="1004" w:type="dxa"/>
          </w:tcPr>
          <w:p w14:paraId="25108D5B" w14:textId="77777777" w:rsidR="009F33CD" w:rsidRDefault="009F33CD" w:rsidP="00E53B8A">
            <w:pPr>
              <w:spacing w:after="240" w:line="240" w:lineRule="auto"/>
              <w:jc w:val="center"/>
              <w:rPr>
                <w:rFonts w:cs="Times New Roman"/>
                <w:bCs/>
                <w:lang w:val="en-US"/>
              </w:rPr>
            </w:pPr>
          </w:p>
        </w:tc>
        <w:tc>
          <w:tcPr>
            <w:tcW w:w="1004" w:type="dxa"/>
          </w:tcPr>
          <w:p w14:paraId="070B91C9" w14:textId="77777777" w:rsidR="009F33CD" w:rsidRDefault="009F33CD" w:rsidP="00E53B8A">
            <w:pPr>
              <w:spacing w:after="240" w:line="240" w:lineRule="auto"/>
              <w:jc w:val="center"/>
              <w:rPr>
                <w:rFonts w:cs="Times New Roman"/>
                <w:bCs/>
                <w:lang w:val="en-US"/>
              </w:rPr>
            </w:pPr>
          </w:p>
        </w:tc>
        <w:tc>
          <w:tcPr>
            <w:tcW w:w="1004" w:type="dxa"/>
          </w:tcPr>
          <w:p w14:paraId="61E4888F" w14:textId="77777777" w:rsidR="009F33CD" w:rsidRDefault="009F33CD" w:rsidP="00E53B8A">
            <w:pPr>
              <w:spacing w:after="240" w:line="240" w:lineRule="auto"/>
              <w:jc w:val="center"/>
              <w:rPr>
                <w:rFonts w:cs="Times New Roman"/>
                <w:bCs/>
                <w:lang w:val="en-US"/>
              </w:rPr>
            </w:pPr>
          </w:p>
        </w:tc>
        <w:tc>
          <w:tcPr>
            <w:tcW w:w="865" w:type="dxa"/>
          </w:tcPr>
          <w:p w14:paraId="1757CD2A" w14:textId="77777777" w:rsidR="009F33CD" w:rsidRDefault="009F33CD" w:rsidP="00E53B8A">
            <w:pPr>
              <w:spacing w:after="240" w:line="240" w:lineRule="auto"/>
              <w:jc w:val="center"/>
              <w:rPr>
                <w:rFonts w:cs="Times New Roman"/>
                <w:bCs/>
                <w:lang w:val="en-US"/>
              </w:rPr>
            </w:pPr>
          </w:p>
        </w:tc>
      </w:tr>
      <w:tr w:rsidR="009F33CD" w14:paraId="5BA4E5FF" w14:textId="77777777" w:rsidTr="001E3129">
        <w:trPr>
          <w:cantSplit/>
          <w:trHeight w:val="80"/>
        </w:trPr>
        <w:tc>
          <w:tcPr>
            <w:tcW w:w="717" w:type="dxa"/>
            <w:vMerge/>
          </w:tcPr>
          <w:p w14:paraId="5BFDD99D" w14:textId="77777777" w:rsidR="009F33CD" w:rsidRDefault="009F33CD" w:rsidP="00E53B8A">
            <w:pPr>
              <w:spacing w:after="240" w:line="240" w:lineRule="auto"/>
              <w:rPr>
                <w:rFonts w:cs="Times New Roman"/>
                <w:bCs/>
                <w:lang w:val="en-US"/>
              </w:rPr>
            </w:pPr>
          </w:p>
        </w:tc>
        <w:tc>
          <w:tcPr>
            <w:tcW w:w="1951" w:type="dxa"/>
          </w:tcPr>
          <w:p w14:paraId="34924A08"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tcPr>
          <w:p w14:paraId="6B2EE142"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vAlign w:val="center"/>
          </w:tcPr>
          <w:p w14:paraId="00847E57" w14:textId="77777777" w:rsidR="009F33CD" w:rsidRDefault="009F33CD" w:rsidP="00E53B8A">
            <w:pPr>
              <w:spacing w:after="240" w:line="240" w:lineRule="auto"/>
              <w:jc w:val="center"/>
              <w:rPr>
                <w:rFonts w:cs="Times New Roman"/>
                <w:bCs/>
                <w:lang w:val="en-US"/>
              </w:rPr>
            </w:pPr>
          </w:p>
        </w:tc>
        <w:tc>
          <w:tcPr>
            <w:tcW w:w="1004" w:type="dxa"/>
          </w:tcPr>
          <w:p w14:paraId="75EF8FAB" w14:textId="77777777" w:rsidR="009F33CD" w:rsidRDefault="009F33CD" w:rsidP="00E53B8A">
            <w:pPr>
              <w:spacing w:after="240" w:line="240" w:lineRule="auto"/>
              <w:jc w:val="center"/>
              <w:rPr>
                <w:rFonts w:cs="Times New Roman"/>
                <w:bCs/>
                <w:lang w:val="en-US"/>
              </w:rPr>
            </w:pPr>
          </w:p>
        </w:tc>
        <w:tc>
          <w:tcPr>
            <w:tcW w:w="1004" w:type="dxa"/>
          </w:tcPr>
          <w:p w14:paraId="02677894" w14:textId="77777777" w:rsidR="009F33CD" w:rsidRDefault="009F33CD" w:rsidP="00E53B8A">
            <w:pPr>
              <w:spacing w:after="240" w:line="240" w:lineRule="auto"/>
              <w:jc w:val="center"/>
              <w:rPr>
                <w:rFonts w:cs="Times New Roman"/>
                <w:bCs/>
                <w:lang w:val="en-US"/>
              </w:rPr>
            </w:pPr>
          </w:p>
        </w:tc>
        <w:tc>
          <w:tcPr>
            <w:tcW w:w="1004" w:type="dxa"/>
          </w:tcPr>
          <w:p w14:paraId="56898288" w14:textId="77777777" w:rsidR="009F33CD" w:rsidRDefault="009F33CD" w:rsidP="00E53B8A">
            <w:pPr>
              <w:spacing w:after="240" w:line="240" w:lineRule="auto"/>
              <w:jc w:val="center"/>
              <w:rPr>
                <w:rFonts w:cs="Times New Roman"/>
                <w:bCs/>
                <w:lang w:val="en-US"/>
              </w:rPr>
            </w:pPr>
          </w:p>
        </w:tc>
        <w:tc>
          <w:tcPr>
            <w:tcW w:w="865" w:type="dxa"/>
          </w:tcPr>
          <w:p w14:paraId="74618129" w14:textId="77777777" w:rsidR="009F33CD" w:rsidRDefault="009F33CD" w:rsidP="00E53B8A">
            <w:pPr>
              <w:spacing w:after="240" w:line="240" w:lineRule="auto"/>
              <w:jc w:val="center"/>
              <w:rPr>
                <w:rFonts w:cs="Times New Roman"/>
                <w:bCs/>
                <w:lang w:val="en-US"/>
              </w:rPr>
            </w:pPr>
          </w:p>
        </w:tc>
      </w:tr>
      <w:tr w:rsidR="009F33CD" w14:paraId="1AC9AC9B" w14:textId="77777777" w:rsidTr="001E3129">
        <w:trPr>
          <w:cantSplit/>
          <w:trHeight w:val="80"/>
        </w:trPr>
        <w:tc>
          <w:tcPr>
            <w:tcW w:w="717" w:type="dxa"/>
            <w:vMerge/>
          </w:tcPr>
          <w:p w14:paraId="60185B40" w14:textId="77777777" w:rsidR="009F33CD" w:rsidRDefault="009F33CD" w:rsidP="00E53B8A">
            <w:pPr>
              <w:spacing w:after="240" w:line="240" w:lineRule="auto"/>
              <w:rPr>
                <w:rFonts w:cs="Times New Roman"/>
                <w:bCs/>
                <w:lang w:val="en-US"/>
              </w:rPr>
            </w:pPr>
          </w:p>
        </w:tc>
        <w:tc>
          <w:tcPr>
            <w:tcW w:w="1951" w:type="dxa"/>
          </w:tcPr>
          <w:p w14:paraId="21718A82" w14:textId="77777777" w:rsidR="009F33CD" w:rsidRDefault="00E40740" w:rsidP="00E53B8A">
            <w:pPr>
              <w:spacing w:after="240" w:line="240" w:lineRule="auto"/>
              <w:rPr>
                <w:rFonts w:cs="Times New Roman"/>
                <w:bCs/>
                <w:lang w:val="en-US"/>
              </w:rPr>
            </w:pPr>
            <w:r>
              <w:rPr>
                <w:rFonts w:cs="Times New Roman"/>
                <w:bCs/>
                <w:lang w:val="en-US"/>
              </w:rPr>
              <w:t>N</w:t>
            </w:r>
          </w:p>
        </w:tc>
        <w:tc>
          <w:tcPr>
            <w:tcW w:w="1004" w:type="dxa"/>
          </w:tcPr>
          <w:p w14:paraId="1BDB520E"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47E798BC"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1ADB403D" w14:textId="77777777" w:rsidR="009F33CD" w:rsidRDefault="009F33CD" w:rsidP="00E53B8A">
            <w:pPr>
              <w:spacing w:after="240" w:line="240" w:lineRule="auto"/>
              <w:jc w:val="center"/>
              <w:rPr>
                <w:rFonts w:cs="Times New Roman"/>
                <w:bCs/>
                <w:lang w:val="en-US"/>
              </w:rPr>
            </w:pPr>
          </w:p>
        </w:tc>
        <w:tc>
          <w:tcPr>
            <w:tcW w:w="1004" w:type="dxa"/>
          </w:tcPr>
          <w:p w14:paraId="683C12C3" w14:textId="77777777" w:rsidR="009F33CD" w:rsidRDefault="009F33CD" w:rsidP="00E53B8A">
            <w:pPr>
              <w:spacing w:after="240" w:line="240" w:lineRule="auto"/>
              <w:jc w:val="center"/>
              <w:rPr>
                <w:rFonts w:cs="Times New Roman"/>
                <w:bCs/>
                <w:lang w:val="en-US"/>
              </w:rPr>
            </w:pPr>
          </w:p>
        </w:tc>
        <w:tc>
          <w:tcPr>
            <w:tcW w:w="1004" w:type="dxa"/>
          </w:tcPr>
          <w:p w14:paraId="63A8C24A" w14:textId="77777777" w:rsidR="009F33CD" w:rsidRDefault="009F33CD" w:rsidP="00E53B8A">
            <w:pPr>
              <w:spacing w:after="240" w:line="240" w:lineRule="auto"/>
              <w:jc w:val="center"/>
              <w:rPr>
                <w:rFonts w:cs="Times New Roman"/>
                <w:bCs/>
                <w:lang w:val="en-US"/>
              </w:rPr>
            </w:pPr>
          </w:p>
        </w:tc>
        <w:tc>
          <w:tcPr>
            <w:tcW w:w="865" w:type="dxa"/>
          </w:tcPr>
          <w:p w14:paraId="5C328FF6" w14:textId="77777777" w:rsidR="009F33CD" w:rsidRDefault="009F33CD" w:rsidP="00E53B8A">
            <w:pPr>
              <w:spacing w:after="240" w:line="240" w:lineRule="auto"/>
              <w:jc w:val="center"/>
              <w:rPr>
                <w:rFonts w:cs="Times New Roman"/>
                <w:bCs/>
                <w:lang w:val="en-US"/>
              </w:rPr>
            </w:pPr>
          </w:p>
        </w:tc>
      </w:tr>
      <w:tr w:rsidR="009F33CD" w14:paraId="2E6CE1A9" w14:textId="77777777" w:rsidTr="001E3129">
        <w:trPr>
          <w:cantSplit/>
          <w:trHeight w:val="80"/>
        </w:trPr>
        <w:tc>
          <w:tcPr>
            <w:tcW w:w="717" w:type="dxa"/>
            <w:vMerge w:val="restart"/>
          </w:tcPr>
          <w:p w14:paraId="45EF80CA" w14:textId="77777777" w:rsidR="009F33CD" w:rsidRDefault="00E40740" w:rsidP="00E53B8A">
            <w:pPr>
              <w:spacing w:after="240" w:line="240" w:lineRule="auto"/>
              <w:rPr>
                <w:rFonts w:cs="Times New Roman"/>
                <w:bCs/>
                <w:lang w:val="en-US"/>
              </w:rPr>
            </w:pPr>
            <w:r>
              <w:rPr>
                <w:rFonts w:cs="Times New Roman"/>
                <w:bCs/>
                <w:lang w:val="en-US"/>
              </w:rPr>
              <w:t>X</w:t>
            </w:r>
            <w:r>
              <w:rPr>
                <w:rFonts w:cs="Times New Roman"/>
                <w:bCs/>
                <w:vertAlign w:val="subscript"/>
                <w:lang w:val="en-US"/>
              </w:rPr>
              <w:t>3</w:t>
            </w:r>
          </w:p>
        </w:tc>
        <w:tc>
          <w:tcPr>
            <w:tcW w:w="1951" w:type="dxa"/>
          </w:tcPr>
          <w:p w14:paraId="102C8DFE"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Pr>
          <w:p w14:paraId="184FFD20" w14:textId="77777777" w:rsidR="009F33CD" w:rsidRDefault="00E40740" w:rsidP="00E53B8A">
            <w:pPr>
              <w:spacing w:after="240" w:line="240" w:lineRule="auto"/>
              <w:jc w:val="center"/>
              <w:rPr>
                <w:rFonts w:cs="Times New Roman"/>
                <w:bCs/>
                <w:lang w:val="en-US"/>
              </w:rPr>
            </w:pPr>
            <w:r>
              <w:rPr>
                <w:rFonts w:cs="Times New Roman"/>
                <w:bCs/>
                <w:lang w:val="en-US"/>
              </w:rPr>
              <w:t>.694</w:t>
            </w:r>
            <w:r>
              <w:rPr>
                <w:rFonts w:cs="Times New Roman"/>
                <w:bCs/>
                <w:vertAlign w:val="superscript"/>
                <w:lang w:val="en-US"/>
              </w:rPr>
              <w:t>**</w:t>
            </w:r>
          </w:p>
        </w:tc>
        <w:tc>
          <w:tcPr>
            <w:tcW w:w="1004" w:type="dxa"/>
          </w:tcPr>
          <w:p w14:paraId="4FAE82C6" w14:textId="77777777" w:rsidR="009F33CD" w:rsidRDefault="00E40740" w:rsidP="00E53B8A">
            <w:pPr>
              <w:spacing w:after="240" w:line="240" w:lineRule="auto"/>
              <w:jc w:val="center"/>
              <w:rPr>
                <w:rFonts w:cs="Times New Roman"/>
                <w:bCs/>
                <w:lang w:val="en-US"/>
              </w:rPr>
            </w:pPr>
            <w:r>
              <w:rPr>
                <w:rFonts w:cs="Times New Roman"/>
                <w:bCs/>
                <w:lang w:val="en-US"/>
              </w:rPr>
              <w:t>.790</w:t>
            </w:r>
            <w:r>
              <w:rPr>
                <w:rFonts w:cs="Times New Roman"/>
                <w:bCs/>
                <w:vertAlign w:val="superscript"/>
                <w:lang w:val="en-US"/>
              </w:rPr>
              <w:t>**</w:t>
            </w:r>
          </w:p>
        </w:tc>
        <w:tc>
          <w:tcPr>
            <w:tcW w:w="1004" w:type="dxa"/>
          </w:tcPr>
          <w:p w14:paraId="74DBD113" w14:textId="77777777" w:rsidR="009F33CD" w:rsidRDefault="00E40740" w:rsidP="00E53B8A">
            <w:pPr>
              <w:spacing w:after="240" w:line="240" w:lineRule="auto"/>
              <w:jc w:val="center"/>
              <w:rPr>
                <w:rFonts w:cs="Times New Roman"/>
                <w:bCs/>
                <w:lang w:val="en-US"/>
              </w:rPr>
            </w:pPr>
            <w:r>
              <w:rPr>
                <w:rFonts w:cs="Times New Roman"/>
                <w:bCs/>
                <w:lang w:val="en-US"/>
              </w:rPr>
              <w:t>1</w:t>
            </w:r>
          </w:p>
        </w:tc>
        <w:tc>
          <w:tcPr>
            <w:tcW w:w="1004" w:type="dxa"/>
          </w:tcPr>
          <w:p w14:paraId="2FF0BC5E" w14:textId="77777777" w:rsidR="009F33CD" w:rsidRDefault="009F33CD" w:rsidP="00E53B8A">
            <w:pPr>
              <w:spacing w:after="240" w:line="240" w:lineRule="auto"/>
              <w:jc w:val="center"/>
              <w:rPr>
                <w:rFonts w:cs="Times New Roman"/>
                <w:bCs/>
                <w:lang w:val="en-US"/>
              </w:rPr>
            </w:pPr>
          </w:p>
        </w:tc>
        <w:tc>
          <w:tcPr>
            <w:tcW w:w="1004" w:type="dxa"/>
          </w:tcPr>
          <w:p w14:paraId="41771C5E" w14:textId="77777777" w:rsidR="009F33CD" w:rsidRDefault="009F33CD" w:rsidP="00E53B8A">
            <w:pPr>
              <w:spacing w:after="240" w:line="240" w:lineRule="auto"/>
              <w:jc w:val="center"/>
              <w:rPr>
                <w:rFonts w:cs="Times New Roman"/>
                <w:bCs/>
                <w:lang w:val="en-US"/>
              </w:rPr>
            </w:pPr>
          </w:p>
        </w:tc>
        <w:tc>
          <w:tcPr>
            <w:tcW w:w="865" w:type="dxa"/>
          </w:tcPr>
          <w:p w14:paraId="11882129" w14:textId="77777777" w:rsidR="009F33CD" w:rsidRDefault="009F33CD" w:rsidP="00E53B8A">
            <w:pPr>
              <w:spacing w:after="240" w:line="240" w:lineRule="auto"/>
              <w:jc w:val="center"/>
              <w:rPr>
                <w:rFonts w:cs="Times New Roman"/>
                <w:bCs/>
                <w:lang w:val="en-US"/>
              </w:rPr>
            </w:pPr>
          </w:p>
        </w:tc>
      </w:tr>
      <w:tr w:rsidR="009F33CD" w14:paraId="4A16EA08" w14:textId="77777777" w:rsidTr="001E3129">
        <w:trPr>
          <w:cantSplit/>
          <w:trHeight w:val="80"/>
        </w:trPr>
        <w:tc>
          <w:tcPr>
            <w:tcW w:w="717" w:type="dxa"/>
            <w:vMerge/>
          </w:tcPr>
          <w:p w14:paraId="2219D9FA" w14:textId="77777777" w:rsidR="009F33CD" w:rsidRDefault="009F33CD" w:rsidP="00E53B8A">
            <w:pPr>
              <w:spacing w:after="240" w:line="240" w:lineRule="auto"/>
              <w:rPr>
                <w:rFonts w:cs="Times New Roman"/>
                <w:bCs/>
                <w:lang w:val="en-US"/>
              </w:rPr>
            </w:pPr>
          </w:p>
        </w:tc>
        <w:tc>
          <w:tcPr>
            <w:tcW w:w="1951" w:type="dxa"/>
          </w:tcPr>
          <w:p w14:paraId="54CC0D88"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tcPr>
          <w:p w14:paraId="332FFFB6"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tcPr>
          <w:p w14:paraId="5371B2C5"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vAlign w:val="center"/>
          </w:tcPr>
          <w:p w14:paraId="4BE41E9C" w14:textId="77777777" w:rsidR="009F33CD" w:rsidRDefault="009F33CD" w:rsidP="00E53B8A">
            <w:pPr>
              <w:spacing w:after="240" w:line="240" w:lineRule="auto"/>
              <w:jc w:val="center"/>
              <w:rPr>
                <w:rFonts w:cs="Times New Roman"/>
                <w:bCs/>
                <w:lang w:val="en-US"/>
              </w:rPr>
            </w:pPr>
          </w:p>
        </w:tc>
        <w:tc>
          <w:tcPr>
            <w:tcW w:w="1004" w:type="dxa"/>
          </w:tcPr>
          <w:p w14:paraId="097727DC" w14:textId="77777777" w:rsidR="009F33CD" w:rsidRDefault="009F33CD" w:rsidP="00E53B8A">
            <w:pPr>
              <w:spacing w:after="240" w:line="240" w:lineRule="auto"/>
              <w:jc w:val="center"/>
              <w:rPr>
                <w:rFonts w:cs="Times New Roman"/>
                <w:bCs/>
                <w:lang w:val="en-US"/>
              </w:rPr>
            </w:pPr>
          </w:p>
        </w:tc>
        <w:tc>
          <w:tcPr>
            <w:tcW w:w="1004" w:type="dxa"/>
          </w:tcPr>
          <w:p w14:paraId="3B40C697" w14:textId="77777777" w:rsidR="009F33CD" w:rsidRDefault="009F33CD" w:rsidP="00E53B8A">
            <w:pPr>
              <w:spacing w:after="240" w:line="240" w:lineRule="auto"/>
              <w:jc w:val="center"/>
              <w:rPr>
                <w:rFonts w:cs="Times New Roman"/>
                <w:bCs/>
                <w:lang w:val="en-US"/>
              </w:rPr>
            </w:pPr>
          </w:p>
        </w:tc>
        <w:tc>
          <w:tcPr>
            <w:tcW w:w="865" w:type="dxa"/>
          </w:tcPr>
          <w:p w14:paraId="3F0F5404" w14:textId="77777777" w:rsidR="009F33CD" w:rsidRDefault="009F33CD" w:rsidP="00E53B8A">
            <w:pPr>
              <w:spacing w:after="240" w:line="240" w:lineRule="auto"/>
              <w:jc w:val="center"/>
              <w:rPr>
                <w:rFonts w:cs="Times New Roman"/>
                <w:bCs/>
                <w:lang w:val="en-US"/>
              </w:rPr>
            </w:pPr>
          </w:p>
        </w:tc>
      </w:tr>
      <w:tr w:rsidR="009F33CD" w14:paraId="7EAA3C25" w14:textId="77777777" w:rsidTr="001E3129">
        <w:trPr>
          <w:cantSplit/>
          <w:trHeight w:val="80"/>
        </w:trPr>
        <w:tc>
          <w:tcPr>
            <w:tcW w:w="717" w:type="dxa"/>
            <w:vMerge/>
          </w:tcPr>
          <w:p w14:paraId="6C1D00CE" w14:textId="77777777" w:rsidR="009F33CD" w:rsidRDefault="009F33CD" w:rsidP="00E53B8A">
            <w:pPr>
              <w:spacing w:after="240" w:line="240" w:lineRule="auto"/>
              <w:rPr>
                <w:rFonts w:cs="Times New Roman"/>
                <w:bCs/>
                <w:lang w:val="en-US"/>
              </w:rPr>
            </w:pPr>
          </w:p>
        </w:tc>
        <w:tc>
          <w:tcPr>
            <w:tcW w:w="1951" w:type="dxa"/>
          </w:tcPr>
          <w:p w14:paraId="2FB4DF1D" w14:textId="77777777" w:rsidR="009F33CD" w:rsidRDefault="00E40740" w:rsidP="00E53B8A">
            <w:pPr>
              <w:spacing w:after="240" w:line="240" w:lineRule="auto"/>
              <w:rPr>
                <w:rFonts w:cs="Times New Roman"/>
                <w:bCs/>
                <w:lang w:val="en-US"/>
              </w:rPr>
            </w:pPr>
            <w:r>
              <w:rPr>
                <w:rFonts w:cs="Times New Roman"/>
                <w:bCs/>
                <w:lang w:val="en-US"/>
              </w:rPr>
              <w:t>N</w:t>
            </w:r>
          </w:p>
        </w:tc>
        <w:tc>
          <w:tcPr>
            <w:tcW w:w="1004" w:type="dxa"/>
          </w:tcPr>
          <w:p w14:paraId="48E0342D"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5C3E779D"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637FB6FF" w14:textId="77777777" w:rsidR="009F33CD" w:rsidRDefault="00E40740" w:rsidP="00E53B8A">
            <w:pPr>
              <w:spacing w:after="240" w:line="240" w:lineRule="auto"/>
              <w:jc w:val="center"/>
              <w:rPr>
                <w:rFonts w:cs="Times New Roman"/>
                <w:bCs/>
                <w:lang w:val="en-US"/>
              </w:rPr>
            </w:pPr>
            <w:r>
              <w:rPr>
                <w:rFonts w:cs="Times New Roman"/>
                <w:bCs/>
                <w:lang w:val="en-US"/>
              </w:rPr>
              <w:t>118</w:t>
            </w:r>
          </w:p>
        </w:tc>
        <w:tc>
          <w:tcPr>
            <w:tcW w:w="1004" w:type="dxa"/>
          </w:tcPr>
          <w:p w14:paraId="359C433B" w14:textId="77777777" w:rsidR="009F33CD" w:rsidRDefault="009F33CD" w:rsidP="00E53B8A">
            <w:pPr>
              <w:spacing w:after="240" w:line="240" w:lineRule="auto"/>
              <w:jc w:val="center"/>
              <w:rPr>
                <w:rFonts w:cs="Times New Roman"/>
                <w:bCs/>
                <w:lang w:val="en-US"/>
              </w:rPr>
            </w:pPr>
          </w:p>
        </w:tc>
        <w:tc>
          <w:tcPr>
            <w:tcW w:w="1004" w:type="dxa"/>
          </w:tcPr>
          <w:p w14:paraId="46CC0C2B" w14:textId="77777777" w:rsidR="009F33CD" w:rsidRDefault="009F33CD" w:rsidP="00E53B8A">
            <w:pPr>
              <w:spacing w:after="240" w:line="240" w:lineRule="auto"/>
              <w:jc w:val="center"/>
              <w:rPr>
                <w:rFonts w:cs="Times New Roman"/>
                <w:bCs/>
                <w:lang w:val="en-US"/>
              </w:rPr>
            </w:pPr>
          </w:p>
        </w:tc>
        <w:tc>
          <w:tcPr>
            <w:tcW w:w="865" w:type="dxa"/>
          </w:tcPr>
          <w:p w14:paraId="1CFBB061" w14:textId="77777777" w:rsidR="009F33CD" w:rsidRDefault="009F33CD" w:rsidP="00E53B8A">
            <w:pPr>
              <w:spacing w:after="240" w:line="240" w:lineRule="auto"/>
              <w:jc w:val="center"/>
              <w:rPr>
                <w:rFonts w:cs="Times New Roman"/>
                <w:bCs/>
                <w:lang w:val="en-US"/>
              </w:rPr>
            </w:pPr>
          </w:p>
        </w:tc>
      </w:tr>
      <w:tr w:rsidR="009F33CD" w14:paraId="20BE5BF8" w14:textId="77777777" w:rsidTr="00E53B8A">
        <w:trPr>
          <w:cantSplit/>
          <w:trHeight w:val="80"/>
        </w:trPr>
        <w:tc>
          <w:tcPr>
            <w:tcW w:w="717" w:type="dxa"/>
            <w:vMerge w:val="restart"/>
          </w:tcPr>
          <w:p w14:paraId="63D25F82" w14:textId="77777777" w:rsidR="009F33CD" w:rsidRDefault="00E40740" w:rsidP="00E53B8A">
            <w:pPr>
              <w:spacing w:after="240" w:line="240" w:lineRule="auto"/>
              <w:rPr>
                <w:rFonts w:cs="Times New Roman"/>
                <w:bCs/>
                <w:lang w:val="en-US"/>
              </w:rPr>
            </w:pPr>
            <w:r>
              <w:rPr>
                <w:rFonts w:cs="Times New Roman"/>
                <w:bCs/>
                <w:lang w:val="en-US"/>
              </w:rPr>
              <w:t>X</w:t>
            </w:r>
            <w:r>
              <w:rPr>
                <w:rFonts w:cs="Times New Roman"/>
                <w:bCs/>
                <w:vertAlign w:val="subscript"/>
                <w:lang w:val="en-US"/>
              </w:rPr>
              <w:t>4</w:t>
            </w:r>
          </w:p>
        </w:tc>
        <w:tc>
          <w:tcPr>
            <w:tcW w:w="1951" w:type="dxa"/>
          </w:tcPr>
          <w:p w14:paraId="18A6F909"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Pr>
          <w:p w14:paraId="58AC9CF1" w14:textId="77777777" w:rsidR="009F33CD" w:rsidRDefault="00E40740" w:rsidP="00E53B8A">
            <w:pPr>
              <w:spacing w:after="240" w:line="240" w:lineRule="auto"/>
              <w:jc w:val="center"/>
              <w:rPr>
                <w:rFonts w:cs="Times New Roman"/>
                <w:bCs/>
                <w:lang w:val="en-US"/>
              </w:rPr>
            </w:pPr>
            <w:r>
              <w:rPr>
                <w:rFonts w:cs="Times New Roman"/>
                <w:bCs/>
                <w:lang w:val="en-US"/>
              </w:rPr>
              <w:t>.644</w:t>
            </w:r>
            <w:r>
              <w:rPr>
                <w:rFonts w:cs="Times New Roman"/>
                <w:bCs/>
                <w:vertAlign w:val="superscript"/>
                <w:lang w:val="en-US"/>
              </w:rPr>
              <w:t>**</w:t>
            </w:r>
          </w:p>
        </w:tc>
        <w:tc>
          <w:tcPr>
            <w:tcW w:w="1004" w:type="dxa"/>
          </w:tcPr>
          <w:p w14:paraId="710DBF1C" w14:textId="77777777" w:rsidR="009F33CD" w:rsidRDefault="00E40740" w:rsidP="00E53B8A">
            <w:pPr>
              <w:spacing w:after="240" w:line="240" w:lineRule="auto"/>
              <w:jc w:val="center"/>
              <w:rPr>
                <w:rFonts w:cs="Times New Roman"/>
                <w:bCs/>
                <w:lang w:val="en-US"/>
              </w:rPr>
            </w:pPr>
            <w:r>
              <w:rPr>
                <w:rFonts w:cs="Times New Roman"/>
                <w:bCs/>
                <w:lang w:val="en-US"/>
              </w:rPr>
              <w:t>.605</w:t>
            </w:r>
            <w:r>
              <w:rPr>
                <w:rFonts w:cs="Times New Roman"/>
                <w:bCs/>
                <w:vertAlign w:val="superscript"/>
                <w:lang w:val="en-US"/>
              </w:rPr>
              <w:t>**</w:t>
            </w:r>
          </w:p>
        </w:tc>
        <w:tc>
          <w:tcPr>
            <w:tcW w:w="1004" w:type="dxa"/>
          </w:tcPr>
          <w:p w14:paraId="37699526" w14:textId="77777777" w:rsidR="009F33CD" w:rsidRDefault="00E40740" w:rsidP="00E53B8A">
            <w:pPr>
              <w:spacing w:after="240" w:line="240" w:lineRule="auto"/>
              <w:jc w:val="center"/>
              <w:rPr>
                <w:rFonts w:cs="Times New Roman"/>
                <w:bCs/>
                <w:lang w:val="en-US"/>
              </w:rPr>
            </w:pPr>
            <w:r>
              <w:rPr>
                <w:rFonts w:cs="Times New Roman"/>
                <w:bCs/>
                <w:lang w:val="en-US"/>
              </w:rPr>
              <w:t>.681</w:t>
            </w:r>
            <w:r>
              <w:rPr>
                <w:rFonts w:cs="Times New Roman"/>
                <w:bCs/>
                <w:vertAlign w:val="superscript"/>
                <w:lang w:val="en-US"/>
              </w:rPr>
              <w:t>**</w:t>
            </w:r>
          </w:p>
        </w:tc>
        <w:tc>
          <w:tcPr>
            <w:tcW w:w="1004" w:type="dxa"/>
          </w:tcPr>
          <w:p w14:paraId="688BB5EF" w14:textId="77777777" w:rsidR="009F33CD" w:rsidRDefault="00E40740" w:rsidP="00E53B8A">
            <w:pPr>
              <w:spacing w:after="240" w:line="240" w:lineRule="auto"/>
              <w:jc w:val="center"/>
              <w:rPr>
                <w:rFonts w:cs="Times New Roman"/>
                <w:bCs/>
                <w:lang w:val="en-US"/>
              </w:rPr>
            </w:pPr>
            <w:r>
              <w:rPr>
                <w:rFonts w:cs="Times New Roman"/>
                <w:bCs/>
                <w:lang w:val="en-US"/>
              </w:rPr>
              <w:t>1</w:t>
            </w:r>
          </w:p>
        </w:tc>
        <w:tc>
          <w:tcPr>
            <w:tcW w:w="1004" w:type="dxa"/>
          </w:tcPr>
          <w:p w14:paraId="52CF7793" w14:textId="77777777" w:rsidR="009F33CD" w:rsidRDefault="009F33CD" w:rsidP="00E53B8A">
            <w:pPr>
              <w:spacing w:after="240" w:line="240" w:lineRule="auto"/>
              <w:jc w:val="center"/>
              <w:rPr>
                <w:rFonts w:cs="Times New Roman"/>
                <w:bCs/>
                <w:lang w:val="en-US"/>
              </w:rPr>
            </w:pPr>
          </w:p>
        </w:tc>
        <w:tc>
          <w:tcPr>
            <w:tcW w:w="865" w:type="dxa"/>
          </w:tcPr>
          <w:p w14:paraId="7C2B35DD" w14:textId="77777777" w:rsidR="009F33CD" w:rsidRDefault="009F33CD" w:rsidP="00E53B8A">
            <w:pPr>
              <w:spacing w:after="240" w:line="240" w:lineRule="auto"/>
              <w:jc w:val="center"/>
              <w:rPr>
                <w:rFonts w:cs="Times New Roman"/>
                <w:bCs/>
                <w:lang w:val="en-US"/>
              </w:rPr>
            </w:pPr>
          </w:p>
        </w:tc>
      </w:tr>
      <w:tr w:rsidR="009F33CD" w14:paraId="2B89A25E" w14:textId="77777777" w:rsidTr="00E53B8A">
        <w:trPr>
          <w:cantSplit/>
          <w:trHeight w:val="80"/>
        </w:trPr>
        <w:tc>
          <w:tcPr>
            <w:tcW w:w="717" w:type="dxa"/>
            <w:vMerge/>
          </w:tcPr>
          <w:p w14:paraId="41DAF629" w14:textId="77777777" w:rsidR="009F33CD" w:rsidRDefault="009F33CD" w:rsidP="00E53B8A">
            <w:pPr>
              <w:spacing w:after="240" w:line="240" w:lineRule="auto"/>
              <w:rPr>
                <w:rFonts w:cs="Times New Roman"/>
                <w:bCs/>
                <w:lang w:val="en-US"/>
              </w:rPr>
            </w:pPr>
          </w:p>
        </w:tc>
        <w:tc>
          <w:tcPr>
            <w:tcW w:w="1951" w:type="dxa"/>
          </w:tcPr>
          <w:p w14:paraId="08225E29"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tcPr>
          <w:p w14:paraId="29830783"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tcPr>
          <w:p w14:paraId="22C40468"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tcPr>
          <w:p w14:paraId="54E9DF20" w14:textId="77777777" w:rsidR="009F33CD" w:rsidRDefault="00E40740" w:rsidP="00E53B8A">
            <w:pPr>
              <w:spacing w:after="240" w:line="240" w:lineRule="auto"/>
              <w:jc w:val="center"/>
              <w:rPr>
                <w:rFonts w:cs="Times New Roman"/>
                <w:bCs/>
                <w:lang w:val="en-US"/>
              </w:rPr>
            </w:pPr>
            <w:r>
              <w:rPr>
                <w:rFonts w:cs="Times New Roman"/>
                <w:bCs/>
                <w:lang w:val="en-US"/>
              </w:rPr>
              <w:t>.000</w:t>
            </w:r>
          </w:p>
        </w:tc>
        <w:tc>
          <w:tcPr>
            <w:tcW w:w="1004" w:type="dxa"/>
            <w:vAlign w:val="center"/>
          </w:tcPr>
          <w:p w14:paraId="2B21A432" w14:textId="77777777" w:rsidR="009F33CD" w:rsidRDefault="009F33CD" w:rsidP="00E53B8A">
            <w:pPr>
              <w:spacing w:after="240" w:line="240" w:lineRule="auto"/>
              <w:jc w:val="center"/>
              <w:rPr>
                <w:rFonts w:cs="Times New Roman"/>
                <w:bCs/>
                <w:lang w:val="en-US"/>
              </w:rPr>
            </w:pPr>
          </w:p>
        </w:tc>
        <w:tc>
          <w:tcPr>
            <w:tcW w:w="1004" w:type="dxa"/>
          </w:tcPr>
          <w:p w14:paraId="44A4D646" w14:textId="77777777" w:rsidR="009F33CD" w:rsidRDefault="009F33CD" w:rsidP="00E53B8A">
            <w:pPr>
              <w:spacing w:after="240" w:line="240" w:lineRule="auto"/>
              <w:jc w:val="center"/>
              <w:rPr>
                <w:rFonts w:cs="Times New Roman"/>
                <w:bCs/>
                <w:lang w:val="en-US"/>
              </w:rPr>
            </w:pPr>
          </w:p>
        </w:tc>
        <w:tc>
          <w:tcPr>
            <w:tcW w:w="865" w:type="dxa"/>
          </w:tcPr>
          <w:p w14:paraId="02BD198B" w14:textId="77777777" w:rsidR="009F33CD" w:rsidRDefault="009F33CD" w:rsidP="00E53B8A">
            <w:pPr>
              <w:spacing w:after="240" w:line="240" w:lineRule="auto"/>
              <w:jc w:val="center"/>
              <w:rPr>
                <w:rFonts w:cs="Times New Roman"/>
                <w:bCs/>
                <w:lang w:val="en-US"/>
              </w:rPr>
            </w:pPr>
          </w:p>
        </w:tc>
      </w:tr>
      <w:tr w:rsidR="009F33CD" w14:paraId="2994B3E2" w14:textId="77777777" w:rsidTr="001E3129">
        <w:trPr>
          <w:cantSplit/>
          <w:trHeight w:val="80"/>
        </w:trPr>
        <w:tc>
          <w:tcPr>
            <w:tcW w:w="717" w:type="dxa"/>
            <w:vMerge/>
          </w:tcPr>
          <w:p w14:paraId="5A26C4D2" w14:textId="77777777" w:rsidR="009F33CD" w:rsidRDefault="009F33CD" w:rsidP="00E53B8A">
            <w:pPr>
              <w:spacing w:after="240" w:line="240" w:lineRule="auto"/>
              <w:rPr>
                <w:rFonts w:cs="Times New Roman"/>
                <w:bCs/>
                <w:lang w:val="en-US"/>
              </w:rPr>
            </w:pPr>
          </w:p>
        </w:tc>
        <w:tc>
          <w:tcPr>
            <w:tcW w:w="1951" w:type="dxa"/>
          </w:tcPr>
          <w:p w14:paraId="1C598083" w14:textId="77777777" w:rsidR="009F33CD" w:rsidRDefault="00E40740" w:rsidP="00E53B8A">
            <w:pPr>
              <w:spacing w:after="240" w:line="240" w:lineRule="auto"/>
              <w:rPr>
                <w:rFonts w:cs="Times New Roman"/>
                <w:bCs/>
                <w:lang w:val="en-US"/>
              </w:rPr>
            </w:pPr>
            <w:r>
              <w:rPr>
                <w:rFonts w:cs="Times New Roman"/>
                <w:bCs/>
                <w:lang w:val="en-US"/>
              </w:rPr>
              <w:t>N</w:t>
            </w:r>
          </w:p>
        </w:tc>
        <w:tc>
          <w:tcPr>
            <w:tcW w:w="1004" w:type="dxa"/>
          </w:tcPr>
          <w:p w14:paraId="30A3DB5C"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192333FD"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768E2309"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45E2FDF7"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3035C393" w14:textId="77777777" w:rsidR="009F33CD" w:rsidRDefault="009F33CD" w:rsidP="00E53B8A">
            <w:pPr>
              <w:spacing w:after="240" w:line="240" w:lineRule="auto"/>
              <w:rPr>
                <w:rFonts w:cs="Times New Roman"/>
                <w:bCs/>
                <w:lang w:val="en-US"/>
              </w:rPr>
            </w:pPr>
          </w:p>
        </w:tc>
        <w:tc>
          <w:tcPr>
            <w:tcW w:w="865" w:type="dxa"/>
          </w:tcPr>
          <w:p w14:paraId="199CA5E3" w14:textId="77777777" w:rsidR="009F33CD" w:rsidRDefault="009F33CD" w:rsidP="00E53B8A">
            <w:pPr>
              <w:spacing w:after="240" w:line="240" w:lineRule="auto"/>
              <w:rPr>
                <w:rFonts w:cs="Times New Roman"/>
                <w:bCs/>
                <w:lang w:val="en-US"/>
              </w:rPr>
            </w:pPr>
          </w:p>
        </w:tc>
      </w:tr>
      <w:tr w:rsidR="009F33CD" w14:paraId="537987C3" w14:textId="77777777" w:rsidTr="001E3129">
        <w:trPr>
          <w:cantSplit/>
          <w:trHeight w:val="80"/>
        </w:trPr>
        <w:tc>
          <w:tcPr>
            <w:tcW w:w="717" w:type="dxa"/>
            <w:vMerge w:val="restart"/>
          </w:tcPr>
          <w:p w14:paraId="48C5A457" w14:textId="77777777" w:rsidR="009F33CD" w:rsidRDefault="00E40740" w:rsidP="00E53B8A">
            <w:pPr>
              <w:spacing w:after="240" w:line="240" w:lineRule="auto"/>
              <w:rPr>
                <w:rFonts w:cs="Times New Roman"/>
                <w:bCs/>
                <w:lang w:val="en-US"/>
              </w:rPr>
            </w:pPr>
            <w:r>
              <w:rPr>
                <w:rFonts w:cs="Times New Roman"/>
                <w:bCs/>
                <w:lang w:val="en-US"/>
              </w:rPr>
              <w:t>Z</w:t>
            </w:r>
          </w:p>
        </w:tc>
        <w:tc>
          <w:tcPr>
            <w:tcW w:w="1951" w:type="dxa"/>
          </w:tcPr>
          <w:p w14:paraId="613E8322"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Pr>
          <w:p w14:paraId="36398DE9" w14:textId="77777777" w:rsidR="009F33CD" w:rsidRDefault="00E40740" w:rsidP="00E53B8A">
            <w:pPr>
              <w:spacing w:after="240" w:line="240" w:lineRule="auto"/>
              <w:rPr>
                <w:rFonts w:cs="Times New Roman"/>
                <w:bCs/>
                <w:lang w:val="en-US"/>
              </w:rPr>
            </w:pPr>
            <w:r>
              <w:rPr>
                <w:rFonts w:cs="Times New Roman"/>
                <w:bCs/>
                <w:lang w:val="en-US"/>
              </w:rPr>
              <w:t>.693</w:t>
            </w:r>
            <w:r>
              <w:rPr>
                <w:rFonts w:cs="Times New Roman"/>
                <w:bCs/>
                <w:vertAlign w:val="superscript"/>
                <w:lang w:val="en-US"/>
              </w:rPr>
              <w:t>**</w:t>
            </w:r>
          </w:p>
        </w:tc>
        <w:tc>
          <w:tcPr>
            <w:tcW w:w="1004" w:type="dxa"/>
          </w:tcPr>
          <w:p w14:paraId="59060653" w14:textId="77777777" w:rsidR="009F33CD" w:rsidRDefault="00E40740" w:rsidP="00E53B8A">
            <w:pPr>
              <w:spacing w:after="240" w:line="240" w:lineRule="auto"/>
              <w:rPr>
                <w:rFonts w:cs="Times New Roman"/>
                <w:bCs/>
                <w:lang w:val="en-US"/>
              </w:rPr>
            </w:pPr>
            <w:r>
              <w:rPr>
                <w:rFonts w:cs="Times New Roman"/>
                <w:bCs/>
                <w:lang w:val="en-US"/>
              </w:rPr>
              <w:t>.702</w:t>
            </w:r>
            <w:r>
              <w:rPr>
                <w:rFonts w:cs="Times New Roman"/>
                <w:bCs/>
                <w:vertAlign w:val="superscript"/>
                <w:lang w:val="en-US"/>
              </w:rPr>
              <w:t>**</w:t>
            </w:r>
          </w:p>
        </w:tc>
        <w:tc>
          <w:tcPr>
            <w:tcW w:w="1004" w:type="dxa"/>
          </w:tcPr>
          <w:p w14:paraId="572D8075" w14:textId="77777777" w:rsidR="009F33CD" w:rsidRDefault="00E40740" w:rsidP="00E53B8A">
            <w:pPr>
              <w:spacing w:after="240" w:line="240" w:lineRule="auto"/>
              <w:rPr>
                <w:rFonts w:cs="Times New Roman"/>
                <w:bCs/>
                <w:lang w:val="en-US"/>
              </w:rPr>
            </w:pPr>
            <w:r>
              <w:rPr>
                <w:rFonts w:cs="Times New Roman"/>
                <w:bCs/>
                <w:lang w:val="en-US"/>
              </w:rPr>
              <w:t>.819</w:t>
            </w:r>
            <w:r>
              <w:rPr>
                <w:rFonts w:cs="Times New Roman"/>
                <w:bCs/>
                <w:vertAlign w:val="superscript"/>
                <w:lang w:val="en-US"/>
              </w:rPr>
              <w:t>**</w:t>
            </w:r>
          </w:p>
        </w:tc>
        <w:tc>
          <w:tcPr>
            <w:tcW w:w="1004" w:type="dxa"/>
          </w:tcPr>
          <w:p w14:paraId="07A5EE56" w14:textId="77777777" w:rsidR="009F33CD" w:rsidRDefault="00E40740" w:rsidP="00E53B8A">
            <w:pPr>
              <w:spacing w:after="240" w:line="240" w:lineRule="auto"/>
              <w:rPr>
                <w:rFonts w:cs="Times New Roman"/>
                <w:bCs/>
                <w:lang w:val="en-US"/>
              </w:rPr>
            </w:pPr>
            <w:r>
              <w:rPr>
                <w:rFonts w:cs="Times New Roman"/>
                <w:bCs/>
                <w:lang w:val="en-US"/>
              </w:rPr>
              <w:t>.676</w:t>
            </w:r>
            <w:r>
              <w:rPr>
                <w:rFonts w:cs="Times New Roman"/>
                <w:bCs/>
                <w:vertAlign w:val="superscript"/>
                <w:lang w:val="en-US"/>
              </w:rPr>
              <w:t>**</w:t>
            </w:r>
          </w:p>
        </w:tc>
        <w:tc>
          <w:tcPr>
            <w:tcW w:w="1004" w:type="dxa"/>
          </w:tcPr>
          <w:p w14:paraId="03B506F4" w14:textId="77777777" w:rsidR="009F33CD" w:rsidRDefault="00E40740" w:rsidP="00E53B8A">
            <w:pPr>
              <w:spacing w:after="240" w:line="240" w:lineRule="auto"/>
              <w:rPr>
                <w:rFonts w:cs="Times New Roman"/>
                <w:bCs/>
                <w:lang w:val="en-US"/>
              </w:rPr>
            </w:pPr>
            <w:r>
              <w:rPr>
                <w:rFonts w:cs="Times New Roman"/>
                <w:bCs/>
                <w:lang w:val="en-US"/>
              </w:rPr>
              <w:t>1</w:t>
            </w:r>
          </w:p>
        </w:tc>
        <w:tc>
          <w:tcPr>
            <w:tcW w:w="865" w:type="dxa"/>
          </w:tcPr>
          <w:p w14:paraId="52D86A79" w14:textId="77777777" w:rsidR="009F33CD" w:rsidRDefault="009F33CD" w:rsidP="00E53B8A">
            <w:pPr>
              <w:spacing w:after="240" w:line="240" w:lineRule="auto"/>
              <w:rPr>
                <w:rFonts w:cs="Times New Roman"/>
                <w:bCs/>
                <w:lang w:val="en-US"/>
              </w:rPr>
            </w:pPr>
          </w:p>
        </w:tc>
      </w:tr>
      <w:tr w:rsidR="009F33CD" w14:paraId="57437CB1" w14:textId="77777777" w:rsidTr="001E3129">
        <w:trPr>
          <w:cantSplit/>
          <w:trHeight w:val="80"/>
        </w:trPr>
        <w:tc>
          <w:tcPr>
            <w:tcW w:w="717" w:type="dxa"/>
            <w:vMerge/>
          </w:tcPr>
          <w:p w14:paraId="785A1B94" w14:textId="77777777" w:rsidR="009F33CD" w:rsidRDefault="009F33CD" w:rsidP="00E53B8A">
            <w:pPr>
              <w:spacing w:after="240" w:line="240" w:lineRule="auto"/>
              <w:rPr>
                <w:rFonts w:cs="Times New Roman"/>
                <w:bCs/>
                <w:lang w:val="en-US"/>
              </w:rPr>
            </w:pPr>
          </w:p>
        </w:tc>
        <w:tc>
          <w:tcPr>
            <w:tcW w:w="1951" w:type="dxa"/>
          </w:tcPr>
          <w:p w14:paraId="33E0F181"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tcPr>
          <w:p w14:paraId="579DBBB4"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5936BA10"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238CD134"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6C42861D"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vAlign w:val="center"/>
          </w:tcPr>
          <w:p w14:paraId="4F1FF8A6" w14:textId="77777777" w:rsidR="009F33CD" w:rsidRDefault="009F33CD" w:rsidP="00E53B8A">
            <w:pPr>
              <w:spacing w:after="240" w:line="240" w:lineRule="auto"/>
              <w:rPr>
                <w:rFonts w:cs="Times New Roman"/>
                <w:bCs/>
                <w:lang w:val="en-US"/>
              </w:rPr>
            </w:pPr>
          </w:p>
        </w:tc>
        <w:tc>
          <w:tcPr>
            <w:tcW w:w="865" w:type="dxa"/>
          </w:tcPr>
          <w:p w14:paraId="1892EAB9" w14:textId="77777777" w:rsidR="009F33CD" w:rsidRDefault="009F33CD" w:rsidP="00E53B8A">
            <w:pPr>
              <w:spacing w:after="240" w:line="240" w:lineRule="auto"/>
              <w:rPr>
                <w:rFonts w:cs="Times New Roman"/>
                <w:bCs/>
                <w:lang w:val="en-US"/>
              </w:rPr>
            </w:pPr>
          </w:p>
        </w:tc>
      </w:tr>
      <w:tr w:rsidR="009F33CD" w14:paraId="4462F53B" w14:textId="77777777" w:rsidTr="00E53B8A">
        <w:trPr>
          <w:cantSplit/>
          <w:trHeight w:val="386"/>
        </w:trPr>
        <w:tc>
          <w:tcPr>
            <w:tcW w:w="717" w:type="dxa"/>
            <w:vMerge/>
          </w:tcPr>
          <w:p w14:paraId="53138910" w14:textId="77777777" w:rsidR="009F33CD" w:rsidRDefault="009F33CD" w:rsidP="00E53B8A">
            <w:pPr>
              <w:spacing w:after="240" w:line="240" w:lineRule="auto"/>
              <w:rPr>
                <w:rFonts w:cs="Times New Roman"/>
                <w:bCs/>
                <w:lang w:val="en-US"/>
              </w:rPr>
            </w:pPr>
          </w:p>
        </w:tc>
        <w:tc>
          <w:tcPr>
            <w:tcW w:w="1951" w:type="dxa"/>
          </w:tcPr>
          <w:p w14:paraId="2F7E00D5" w14:textId="77777777" w:rsidR="009F33CD" w:rsidRDefault="00E40740" w:rsidP="00E53B8A">
            <w:pPr>
              <w:spacing w:after="240" w:line="240" w:lineRule="auto"/>
              <w:rPr>
                <w:rFonts w:cs="Times New Roman"/>
                <w:bCs/>
                <w:lang w:val="en-US"/>
              </w:rPr>
            </w:pPr>
            <w:r>
              <w:rPr>
                <w:rFonts w:cs="Times New Roman"/>
                <w:bCs/>
                <w:lang w:val="en-US"/>
              </w:rPr>
              <w:t>N</w:t>
            </w:r>
          </w:p>
        </w:tc>
        <w:tc>
          <w:tcPr>
            <w:tcW w:w="1004" w:type="dxa"/>
          </w:tcPr>
          <w:p w14:paraId="0FF2B2F0"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6CC76692"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38B6D086"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586A644B" w14:textId="77777777" w:rsidR="009F33CD" w:rsidRDefault="00E40740" w:rsidP="00E53B8A">
            <w:pPr>
              <w:spacing w:after="240" w:line="240" w:lineRule="auto"/>
              <w:rPr>
                <w:rFonts w:cs="Times New Roman"/>
                <w:bCs/>
                <w:lang w:val="en-US"/>
              </w:rPr>
            </w:pPr>
            <w:r>
              <w:rPr>
                <w:rFonts w:cs="Times New Roman"/>
                <w:bCs/>
                <w:lang w:val="en-US"/>
              </w:rPr>
              <w:t>118</w:t>
            </w:r>
          </w:p>
        </w:tc>
        <w:tc>
          <w:tcPr>
            <w:tcW w:w="1004" w:type="dxa"/>
          </w:tcPr>
          <w:p w14:paraId="04967342" w14:textId="77777777" w:rsidR="009F33CD" w:rsidRDefault="00E40740" w:rsidP="00E53B8A">
            <w:pPr>
              <w:spacing w:after="240" w:line="240" w:lineRule="auto"/>
              <w:rPr>
                <w:rFonts w:cs="Times New Roman"/>
                <w:bCs/>
                <w:lang w:val="en-US"/>
              </w:rPr>
            </w:pPr>
            <w:r>
              <w:rPr>
                <w:rFonts w:cs="Times New Roman"/>
                <w:bCs/>
                <w:lang w:val="en-US"/>
              </w:rPr>
              <w:t>118</w:t>
            </w:r>
          </w:p>
        </w:tc>
        <w:tc>
          <w:tcPr>
            <w:tcW w:w="865" w:type="dxa"/>
          </w:tcPr>
          <w:p w14:paraId="1AD04E92" w14:textId="77777777" w:rsidR="009F33CD" w:rsidRDefault="009F33CD" w:rsidP="00E53B8A">
            <w:pPr>
              <w:spacing w:after="240" w:line="240" w:lineRule="auto"/>
              <w:rPr>
                <w:rFonts w:cs="Times New Roman"/>
                <w:bCs/>
                <w:lang w:val="en-US"/>
              </w:rPr>
            </w:pPr>
          </w:p>
        </w:tc>
      </w:tr>
      <w:tr w:rsidR="009F33CD" w14:paraId="301F4EFC" w14:textId="77777777" w:rsidTr="001E3129">
        <w:trPr>
          <w:cantSplit/>
          <w:trHeight w:val="80"/>
        </w:trPr>
        <w:tc>
          <w:tcPr>
            <w:tcW w:w="717" w:type="dxa"/>
            <w:vMerge w:val="restart"/>
          </w:tcPr>
          <w:p w14:paraId="2366A922" w14:textId="77777777" w:rsidR="009F33CD" w:rsidRDefault="00E40740" w:rsidP="00E53B8A">
            <w:pPr>
              <w:spacing w:after="240" w:line="240" w:lineRule="auto"/>
              <w:rPr>
                <w:rFonts w:cs="Times New Roman"/>
                <w:bCs/>
                <w:lang w:val="en-US"/>
              </w:rPr>
            </w:pPr>
            <w:r>
              <w:rPr>
                <w:rFonts w:cs="Times New Roman"/>
                <w:bCs/>
                <w:lang w:val="en-US"/>
              </w:rPr>
              <w:t>Y</w:t>
            </w:r>
          </w:p>
        </w:tc>
        <w:tc>
          <w:tcPr>
            <w:tcW w:w="1951" w:type="dxa"/>
          </w:tcPr>
          <w:p w14:paraId="347348E1" w14:textId="77777777" w:rsidR="009F33CD" w:rsidRDefault="00E40740" w:rsidP="00E53B8A">
            <w:pPr>
              <w:spacing w:after="240" w:line="240" w:lineRule="auto"/>
              <w:rPr>
                <w:rFonts w:cs="Times New Roman"/>
                <w:bCs/>
                <w:lang w:val="en-US"/>
              </w:rPr>
            </w:pPr>
            <w:r>
              <w:rPr>
                <w:rFonts w:cs="Times New Roman"/>
                <w:bCs/>
                <w:lang w:val="en-US"/>
              </w:rPr>
              <w:t>Pearson Correlation</w:t>
            </w:r>
          </w:p>
        </w:tc>
        <w:tc>
          <w:tcPr>
            <w:tcW w:w="1004" w:type="dxa"/>
          </w:tcPr>
          <w:p w14:paraId="45BFBD2D" w14:textId="77777777" w:rsidR="009F33CD" w:rsidRDefault="00E40740" w:rsidP="00E53B8A">
            <w:pPr>
              <w:spacing w:after="240" w:line="240" w:lineRule="auto"/>
              <w:rPr>
                <w:rFonts w:cs="Times New Roman"/>
                <w:bCs/>
                <w:lang w:val="en-US"/>
              </w:rPr>
            </w:pPr>
            <w:r>
              <w:rPr>
                <w:rFonts w:cs="Times New Roman"/>
                <w:bCs/>
                <w:lang w:val="en-US"/>
              </w:rPr>
              <w:t>.733</w:t>
            </w:r>
            <w:r>
              <w:rPr>
                <w:rFonts w:cs="Times New Roman"/>
                <w:bCs/>
                <w:vertAlign w:val="superscript"/>
                <w:lang w:val="en-US"/>
              </w:rPr>
              <w:t>**</w:t>
            </w:r>
          </w:p>
        </w:tc>
        <w:tc>
          <w:tcPr>
            <w:tcW w:w="1004" w:type="dxa"/>
          </w:tcPr>
          <w:p w14:paraId="67C92E3A" w14:textId="77777777" w:rsidR="009F33CD" w:rsidRDefault="00E40740" w:rsidP="00E53B8A">
            <w:pPr>
              <w:spacing w:after="240" w:line="240" w:lineRule="auto"/>
              <w:rPr>
                <w:rFonts w:cs="Times New Roman"/>
                <w:bCs/>
                <w:lang w:val="en-US"/>
              </w:rPr>
            </w:pPr>
            <w:r>
              <w:rPr>
                <w:rFonts w:cs="Times New Roman"/>
                <w:bCs/>
                <w:lang w:val="en-US"/>
              </w:rPr>
              <w:t>.686</w:t>
            </w:r>
            <w:r>
              <w:rPr>
                <w:rFonts w:cs="Times New Roman"/>
                <w:bCs/>
                <w:vertAlign w:val="superscript"/>
                <w:lang w:val="en-US"/>
              </w:rPr>
              <w:t>**</w:t>
            </w:r>
          </w:p>
        </w:tc>
        <w:tc>
          <w:tcPr>
            <w:tcW w:w="1004" w:type="dxa"/>
          </w:tcPr>
          <w:p w14:paraId="2BFF60D5" w14:textId="77777777" w:rsidR="009F33CD" w:rsidRDefault="00E40740" w:rsidP="00E53B8A">
            <w:pPr>
              <w:spacing w:after="240" w:line="240" w:lineRule="auto"/>
              <w:rPr>
                <w:rFonts w:cs="Times New Roman"/>
                <w:bCs/>
                <w:lang w:val="en-US"/>
              </w:rPr>
            </w:pPr>
            <w:r>
              <w:rPr>
                <w:rFonts w:cs="Times New Roman"/>
                <w:bCs/>
                <w:lang w:val="en-US"/>
              </w:rPr>
              <w:t>.731</w:t>
            </w:r>
            <w:r>
              <w:rPr>
                <w:rFonts w:cs="Times New Roman"/>
                <w:bCs/>
                <w:vertAlign w:val="superscript"/>
                <w:lang w:val="en-US"/>
              </w:rPr>
              <w:t>**</w:t>
            </w:r>
          </w:p>
        </w:tc>
        <w:tc>
          <w:tcPr>
            <w:tcW w:w="1004" w:type="dxa"/>
          </w:tcPr>
          <w:p w14:paraId="7F328538" w14:textId="77777777" w:rsidR="009F33CD" w:rsidRDefault="00E40740" w:rsidP="00E53B8A">
            <w:pPr>
              <w:spacing w:after="240" w:line="240" w:lineRule="auto"/>
              <w:rPr>
                <w:rFonts w:cs="Times New Roman"/>
                <w:bCs/>
                <w:lang w:val="en-US"/>
              </w:rPr>
            </w:pPr>
            <w:r>
              <w:rPr>
                <w:rFonts w:cs="Times New Roman"/>
                <w:bCs/>
                <w:lang w:val="en-US"/>
              </w:rPr>
              <w:t>.605</w:t>
            </w:r>
            <w:r>
              <w:rPr>
                <w:rFonts w:cs="Times New Roman"/>
                <w:bCs/>
                <w:vertAlign w:val="superscript"/>
                <w:lang w:val="en-US"/>
              </w:rPr>
              <w:t>**</w:t>
            </w:r>
          </w:p>
        </w:tc>
        <w:tc>
          <w:tcPr>
            <w:tcW w:w="1004" w:type="dxa"/>
          </w:tcPr>
          <w:p w14:paraId="502DBE3D" w14:textId="77777777" w:rsidR="009F33CD" w:rsidRDefault="00E40740" w:rsidP="00E53B8A">
            <w:pPr>
              <w:spacing w:after="240" w:line="240" w:lineRule="auto"/>
              <w:rPr>
                <w:rFonts w:cs="Times New Roman"/>
                <w:bCs/>
                <w:lang w:val="en-US"/>
              </w:rPr>
            </w:pPr>
            <w:r>
              <w:rPr>
                <w:rFonts w:cs="Times New Roman"/>
                <w:bCs/>
                <w:lang w:val="en-US"/>
              </w:rPr>
              <w:t>.724</w:t>
            </w:r>
            <w:r>
              <w:rPr>
                <w:rFonts w:cs="Times New Roman"/>
                <w:bCs/>
                <w:vertAlign w:val="superscript"/>
                <w:lang w:val="en-US"/>
              </w:rPr>
              <w:t>**</w:t>
            </w:r>
          </w:p>
        </w:tc>
        <w:tc>
          <w:tcPr>
            <w:tcW w:w="865" w:type="dxa"/>
          </w:tcPr>
          <w:p w14:paraId="05E7FE9C" w14:textId="77777777" w:rsidR="009F33CD" w:rsidRDefault="00E40740" w:rsidP="00E53B8A">
            <w:pPr>
              <w:spacing w:after="240" w:line="240" w:lineRule="auto"/>
              <w:rPr>
                <w:rFonts w:cs="Times New Roman"/>
                <w:bCs/>
                <w:lang w:val="en-US"/>
              </w:rPr>
            </w:pPr>
            <w:r>
              <w:rPr>
                <w:rFonts w:cs="Times New Roman"/>
                <w:bCs/>
                <w:lang w:val="en-US"/>
              </w:rPr>
              <w:t>1</w:t>
            </w:r>
          </w:p>
        </w:tc>
      </w:tr>
      <w:tr w:rsidR="009F33CD" w14:paraId="6B699521" w14:textId="77777777" w:rsidTr="001E3129">
        <w:trPr>
          <w:cantSplit/>
          <w:trHeight w:val="80"/>
        </w:trPr>
        <w:tc>
          <w:tcPr>
            <w:tcW w:w="717" w:type="dxa"/>
            <w:vMerge/>
          </w:tcPr>
          <w:p w14:paraId="3C25E8BF" w14:textId="77777777" w:rsidR="009F33CD" w:rsidRDefault="009F33CD" w:rsidP="00E53B8A">
            <w:pPr>
              <w:spacing w:after="240" w:line="240" w:lineRule="auto"/>
              <w:rPr>
                <w:rFonts w:cs="Times New Roman"/>
                <w:bCs/>
                <w:lang w:val="en-US"/>
              </w:rPr>
            </w:pPr>
          </w:p>
        </w:tc>
        <w:tc>
          <w:tcPr>
            <w:tcW w:w="1951" w:type="dxa"/>
          </w:tcPr>
          <w:p w14:paraId="155EC101" w14:textId="77777777" w:rsidR="009F33CD" w:rsidRDefault="00E40740" w:rsidP="00E53B8A">
            <w:pPr>
              <w:spacing w:after="240" w:line="240" w:lineRule="auto"/>
              <w:rPr>
                <w:rFonts w:cs="Times New Roman"/>
                <w:bCs/>
                <w:lang w:val="en-US"/>
              </w:rPr>
            </w:pPr>
            <w:r>
              <w:rPr>
                <w:rFonts w:cs="Times New Roman"/>
                <w:bCs/>
                <w:lang w:val="en-US"/>
              </w:rPr>
              <w:t>Sig. (2-tailed)</w:t>
            </w:r>
          </w:p>
        </w:tc>
        <w:tc>
          <w:tcPr>
            <w:tcW w:w="1004" w:type="dxa"/>
          </w:tcPr>
          <w:p w14:paraId="6F1F0021"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1354D7BE"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38E56146"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52D19EAF" w14:textId="77777777" w:rsidR="009F33CD" w:rsidRDefault="00E40740" w:rsidP="00E53B8A">
            <w:pPr>
              <w:spacing w:after="240" w:line="240" w:lineRule="auto"/>
              <w:rPr>
                <w:rFonts w:cs="Times New Roman"/>
                <w:bCs/>
                <w:lang w:val="en-US"/>
              </w:rPr>
            </w:pPr>
            <w:r>
              <w:rPr>
                <w:rFonts w:cs="Times New Roman"/>
                <w:bCs/>
                <w:lang w:val="en-US"/>
              </w:rPr>
              <w:t>.000</w:t>
            </w:r>
          </w:p>
        </w:tc>
        <w:tc>
          <w:tcPr>
            <w:tcW w:w="1004" w:type="dxa"/>
          </w:tcPr>
          <w:p w14:paraId="4EC17AC3" w14:textId="77777777" w:rsidR="009F33CD" w:rsidRDefault="00E40740" w:rsidP="00E53B8A">
            <w:pPr>
              <w:spacing w:after="240" w:line="240" w:lineRule="auto"/>
              <w:rPr>
                <w:rFonts w:cs="Times New Roman"/>
                <w:bCs/>
                <w:lang w:val="en-US"/>
              </w:rPr>
            </w:pPr>
            <w:r>
              <w:rPr>
                <w:rFonts w:cs="Times New Roman"/>
                <w:bCs/>
                <w:lang w:val="en-US"/>
              </w:rPr>
              <w:t>.000</w:t>
            </w:r>
          </w:p>
        </w:tc>
        <w:tc>
          <w:tcPr>
            <w:tcW w:w="865" w:type="dxa"/>
            <w:vAlign w:val="center"/>
          </w:tcPr>
          <w:p w14:paraId="6F8F66D9" w14:textId="77777777" w:rsidR="009F33CD" w:rsidRDefault="009F33CD" w:rsidP="00E53B8A">
            <w:pPr>
              <w:spacing w:after="240" w:line="240" w:lineRule="auto"/>
              <w:rPr>
                <w:rFonts w:cs="Times New Roman"/>
                <w:bCs/>
                <w:lang w:val="en-US"/>
              </w:rPr>
            </w:pPr>
          </w:p>
        </w:tc>
      </w:tr>
      <w:tr w:rsidR="009F33CD" w14:paraId="3892681B" w14:textId="77777777" w:rsidTr="00E53B8A">
        <w:trPr>
          <w:cantSplit/>
          <w:trHeight w:val="304"/>
        </w:trPr>
        <w:tc>
          <w:tcPr>
            <w:tcW w:w="717" w:type="dxa"/>
            <w:vMerge/>
            <w:tcBorders>
              <w:bottom w:val="single" w:sz="4" w:space="0" w:color="auto"/>
            </w:tcBorders>
          </w:tcPr>
          <w:p w14:paraId="4C8B0E65" w14:textId="77777777" w:rsidR="009F33CD" w:rsidRDefault="009F33CD" w:rsidP="00E53B8A">
            <w:pPr>
              <w:spacing w:after="0" w:afterAutospacing="0" w:line="240" w:lineRule="auto"/>
              <w:rPr>
                <w:rFonts w:cs="Times New Roman"/>
                <w:bCs/>
                <w:lang w:val="en-US"/>
              </w:rPr>
            </w:pPr>
          </w:p>
        </w:tc>
        <w:tc>
          <w:tcPr>
            <w:tcW w:w="1951" w:type="dxa"/>
            <w:tcBorders>
              <w:bottom w:val="single" w:sz="4" w:space="0" w:color="auto"/>
            </w:tcBorders>
          </w:tcPr>
          <w:p w14:paraId="0DB418D4" w14:textId="77777777" w:rsidR="009F33CD" w:rsidRDefault="00E40740" w:rsidP="00E53B8A">
            <w:pPr>
              <w:spacing w:after="0" w:afterAutospacing="0" w:line="240" w:lineRule="auto"/>
              <w:rPr>
                <w:rFonts w:cs="Times New Roman"/>
                <w:bCs/>
                <w:lang w:val="en-US"/>
              </w:rPr>
            </w:pPr>
            <w:r>
              <w:rPr>
                <w:rFonts w:cs="Times New Roman"/>
                <w:bCs/>
                <w:lang w:val="en-US"/>
              </w:rPr>
              <w:t>N</w:t>
            </w:r>
          </w:p>
        </w:tc>
        <w:tc>
          <w:tcPr>
            <w:tcW w:w="1004" w:type="dxa"/>
            <w:tcBorders>
              <w:bottom w:val="single" w:sz="4" w:space="0" w:color="auto"/>
            </w:tcBorders>
          </w:tcPr>
          <w:p w14:paraId="51293237" w14:textId="77777777" w:rsidR="009F33CD" w:rsidRDefault="00E40740" w:rsidP="00E53B8A">
            <w:pPr>
              <w:spacing w:after="0" w:afterAutospacing="0" w:line="240" w:lineRule="auto"/>
              <w:rPr>
                <w:rFonts w:cs="Times New Roman"/>
                <w:bCs/>
                <w:lang w:val="en-US"/>
              </w:rPr>
            </w:pPr>
            <w:r>
              <w:rPr>
                <w:rFonts w:cs="Times New Roman"/>
                <w:bCs/>
                <w:lang w:val="en-US"/>
              </w:rPr>
              <w:t>118</w:t>
            </w:r>
          </w:p>
        </w:tc>
        <w:tc>
          <w:tcPr>
            <w:tcW w:w="1004" w:type="dxa"/>
            <w:tcBorders>
              <w:bottom w:val="single" w:sz="4" w:space="0" w:color="auto"/>
            </w:tcBorders>
          </w:tcPr>
          <w:p w14:paraId="34784079" w14:textId="77777777" w:rsidR="009F33CD" w:rsidRDefault="00E40740" w:rsidP="00E53B8A">
            <w:pPr>
              <w:spacing w:after="0" w:afterAutospacing="0" w:line="240" w:lineRule="auto"/>
              <w:rPr>
                <w:rFonts w:cs="Times New Roman"/>
                <w:bCs/>
                <w:lang w:val="en-US"/>
              </w:rPr>
            </w:pPr>
            <w:r>
              <w:rPr>
                <w:rFonts w:cs="Times New Roman"/>
                <w:bCs/>
                <w:lang w:val="en-US"/>
              </w:rPr>
              <w:t>118</w:t>
            </w:r>
          </w:p>
        </w:tc>
        <w:tc>
          <w:tcPr>
            <w:tcW w:w="1004" w:type="dxa"/>
            <w:tcBorders>
              <w:bottom w:val="single" w:sz="4" w:space="0" w:color="auto"/>
            </w:tcBorders>
          </w:tcPr>
          <w:p w14:paraId="044E294B" w14:textId="77777777" w:rsidR="009F33CD" w:rsidRDefault="00E40740" w:rsidP="00E53B8A">
            <w:pPr>
              <w:spacing w:after="0" w:afterAutospacing="0" w:line="240" w:lineRule="auto"/>
              <w:rPr>
                <w:rFonts w:cs="Times New Roman"/>
                <w:bCs/>
                <w:lang w:val="en-US"/>
              </w:rPr>
            </w:pPr>
            <w:r>
              <w:rPr>
                <w:rFonts w:cs="Times New Roman"/>
                <w:bCs/>
                <w:lang w:val="en-US"/>
              </w:rPr>
              <w:t>118</w:t>
            </w:r>
          </w:p>
        </w:tc>
        <w:tc>
          <w:tcPr>
            <w:tcW w:w="1004" w:type="dxa"/>
            <w:tcBorders>
              <w:bottom w:val="single" w:sz="4" w:space="0" w:color="auto"/>
            </w:tcBorders>
          </w:tcPr>
          <w:p w14:paraId="4592D2BA" w14:textId="77777777" w:rsidR="009F33CD" w:rsidRDefault="00E40740" w:rsidP="00E53B8A">
            <w:pPr>
              <w:spacing w:after="0" w:afterAutospacing="0" w:line="240" w:lineRule="auto"/>
              <w:rPr>
                <w:rFonts w:cs="Times New Roman"/>
                <w:bCs/>
                <w:lang w:val="en-US"/>
              </w:rPr>
            </w:pPr>
            <w:r>
              <w:rPr>
                <w:rFonts w:cs="Times New Roman"/>
                <w:bCs/>
                <w:lang w:val="en-US"/>
              </w:rPr>
              <w:t>118</w:t>
            </w:r>
          </w:p>
        </w:tc>
        <w:tc>
          <w:tcPr>
            <w:tcW w:w="1004" w:type="dxa"/>
            <w:tcBorders>
              <w:bottom w:val="single" w:sz="4" w:space="0" w:color="auto"/>
            </w:tcBorders>
          </w:tcPr>
          <w:p w14:paraId="2CAAF10E" w14:textId="77777777" w:rsidR="009F33CD" w:rsidRDefault="00E40740" w:rsidP="00E53B8A">
            <w:pPr>
              <w:spacing w:after="0" w:afterAutospacing="0" w:line="240" w:lineRule="auto"/>
              <w:rPr>
                <w:rFonts w:cs="Times New Roman"/>
                <w:bCs/>
                <w:lang w:val="en-US"/>
              </w:rPr>
            </w:pPr>
            <w:r>
              <w:rPr>
                <w:rFonts w:cs="Times New Roman"/>
                <w:bCs/>
                <w:lang w:val="en-US"/>
              </w:rPr>
              <w:t>118</w:t>
            </w:r>
          </w:p>
        </w:tc>
        <w:tc>
          <w:tcPr>
            <w:tcW w:w="865" w:type="dxa"/>
            <w:tcBorders>
              <w:bottom w:val="single" w:sz="4" w:space="0" w:color="auto"/>
            </w:tcBorders>
          </w:tcPr>
          <w:p w14:paraId="34EE6481" w14:textId="77777777" w:rsidR="009F33CD" w:rsidRDefault="00E40740" w:rsidP="00E53B8A">
            <w:pPr>
              <w:spacing w:after="0" w:afterAutospacing="0" w:line="240" w:lineRule="auto"/>
              <w:rPr>
                <w:rFonts w:cs="Times New Roman"/>
                <w:bCs/>
                <w:lang w:val="en-US"/>
              </w:rPr>
            </w:pPr>
            <w:r>
              <w:rPr>
                <w:rFonts w:cs="Times New Roman"/>
                <w:bCs/>
                <w:lang w:val="en-US"/>
              </w:rPr>
              <w:t>118</w:t>
            </w:r>
          </w:p>
        </w:tc>
      </w:tr>
      <w:tr w:rsidR="00E53B8A" w14:paraId="08033905" w14:textId="77777777" w:rsidTr="00E53B8A">
        <w:trPr>
          <w:cantSplit/>
          <w:trHeight w:val="304"/>
        </w:trPr>
        <w:tc>
          <w:tcPr>
            <w:tcW w:w="8553" w:type="dxa"/>
            <w:gridSpan w:val="8"/>
            <w:tcBorders>
              <w:top w:val="single" w:sz="4" w:space="0" w:color="auto"/>
              <w:bottom w:val="nil"/>
            </w:tcBorders>
          </w:tcPr>
          <w:p w14:paraId="63B092F9" w14:textId="77777777" w:rsidR="00E53B8A" w:rsidRDefault="00E53B8A" w:rsidP="00E53B8A">
            <w:pPr>
              <w:spacing w:before="0" w:beforeAutospacing="0" w:after="0" w:afterAutospacing="0" w:line="240" w:lineRule="auto"/>
              <w:rPr>
                <w:rFonts w:cs="Times New Roman"/>
                <w:bCs/>
                <w:lang w:val="en-US"/>
              </w:rPr>
            </w:pPr>
            <w:r>
              <w:rPr>
                <w:rFonts w:cs="Times New Roman"/>
                <w:bCs/>
                <w:sz w:val="22"/>
                <w:szCs w:val="22"/>
                <w:lang w:val="en-US"/>
              </w:rPr>
              <w:t>X</w:t>
            </w:r>
            <w:r>
              <w:rPr>
                <w:rFonts w:cs="Times New Roman"/>
                <w:bCs/>
                <w:sz w:val="22"/>
                <w:szCs w:val="22"/>
                <w:vertAlign w:val="subscript"/>
                <w:lang w:val="en-US"/>
              </w:rPr>
              <w:t>1</w:t>
            </w:r>
            <w:r>
              <w:rPr>
                <w:rFonts w:cs="Times New Roman"/>
                <w:bCs/>
                <w:sz w:val="22"/>
                <w:szCs w:val="22"/>
                <w:lang w:val="en-US"/>
              </w:rPr>
              <w:t>= Green Employee Sourcing, X</w:t>
            </w:r>
            <w:r>
              <w:rPr>
                <w:rFonts w:cs="Times New Roman"/>
                <w:bCs/>
                <w:sz w:val="22"/>
                <w:szCs w:val="22"/>
                <w:vertAlign w:val="subscript"/>
                <w:lang w:val="en-US"/>
              </w:rPr>
              <w:t>2</w:t>
            </w:r>
            <w:r>
              <w:rPr>
                <w:rFonts w:cs="Times New Roman"/>
                <w:bCs/>
                <w:sz w:val="22"/>
                <w:szCs w:val="22"/>
                <w:lang w:val="en-US"/>
              </w:rPr>
              <w:t>= Green Training, X</w:t>
            </w:r>
            <w:r>
              <w:rPr>
                <w:rFonts w:cs="Times New Roman"/>
                <w:bCs/>
                <w:sz w:val="22"/>
                <w:szCs w:val="22"/>
                <w:vertAlign w:val="subscript"/>
                <w:lang w:val="en-US"/>
              </w:rPr>
              <w:t>3</w:t>
            </w:r>
            <w:r>
              <w:rPr>
                <w:rFonts w:cs="Times New Roman"/>
                <w:bCs/>
                <w:sz w:val="22"/>
                <w:szCs w:val="22"/>
                <w:lang w:val="en-US"/>
              </w:rPr>
              <w:t>= Green Occupational safety and Health, X</w:t>
            </w:r>
            <w:r>
              <w:rPr>
                <w:rFonts w:cs="Times New Roman"/>
                <w:bCs/>
                <w:sz w:val="22"/>
                <w:szCs w:val="22"/>
                <w:vertAlign w:val="subscript"/>
                <w:lang w:val="en-US"/>
              </w:rPr>
              <w:t>4</w:t>
            </w:r>
            <w:r>
              <w:rPr>
                <w:rFonts w:cs="Times New Roman"/>
                <w:bCs/>
                <w:sz w:val="22"/>
                <w:szCs w:val="22"/>
                <w:lang w:val="en-US"/>
              </w:rPr>
              <w:t>= Green Performance Evaluation, Z= Moderating variable management style, and Y= Performance of devolved healthcare services</w:t>
            </w:r>
          </w:p>
        </w:tc>
      </w:tr>
    </w:tbl>
    <w:p w14:paraId="7EAF3121" w14:textId="77777777" w:rsidR="009F33CD" w:rsidRDefault="00E40740" w:rsidP="00E53B8A">
      <w:pPr>
        <w:pStyle w:val="Heading2"/>
        <w:rPr>
          <w:lang w:val="en-GB"/>
        </w:rPr>
      </w:pPr>
      <w:bookmarkStart w:id="1157" w:name="_Toc224237737"/>
      <w:r>
        <w:rPr>
          <w:lang w:val="en-GB"/>
        </w:rPr>
        <w:t xml:space="preserve">4.6 </w:t>
      </w:r>
      <w:bookmarkStart w:id="1158" w:name="_Toc147950242"/>
      <w:bookmarkEnd w:id="1016"/>
      <w:r>
        <w:rPr>
          <w:lang w:val="en-GB"/>
        </w:rPr>
        <w:t xml:space="preserve">Findings </w:t>
      </w:r>
      <w:r w:rsidRPr="00E53B8A">
        <w:t>for</w:t>
      </w:r>
      <w:r>
        <w:rPr>
          <w:lang w:val="en-GB"/>
        </w:rPr>
        <w:t xml:space="preserve"> Green Employee Resourcing and Performance</w:t>
      </w:r>
      <w:bookmarkEnd w:id="1157"/>
      <w:r>
        <w:rPr>
          <w:lang w:val="en-GB"/>
        </w:rPr>
        <w:t xml:space="preserve"> </w:t>
      </w:r>
      <w:bookmarkEnd w:id="1158"/>
    </w:p>
    <w:p w14:paraId="21FCC7A9" w14:textId="77777777" w:rsidR="009F33CD" w:rsidRDefault="00E40740">
      <w:pPr>
        <w:spacing w:after="240"/>
      </w:pPr>
      <w:r>
        <w:t xml:space="preserve">The first objective was to determine the effect of green employee resourcing </w:t>
      </w:r>
      <w:r>
        <w:rPr>
          <w:lang w:val="en-US"/>
        </w:rPr>
        <w:t>o</w:t>
      </w:r>
      <w:r>
        <w:t xml:space="preserve">n </w:t>
      </w:r>
      <w:r>
        <w:rPr>
          <w:lang w:val="en-US"/>
        </w:rPr>
        <w:t xml:space="preserve">performance of </w:t>
      </w:r>
      <w:r>
        <w:t>devolved healthcare services in Kenya. The findings for green employee resourcing on the performance of devolved healthcare services are presented beginning with descriptive Statistical findings, Correlation Analysis Findings, Simple Linear Regression Findings, and finally analysis of variance findings (ANOVA).</w:t>
      </w:r>
    </w:p>
    <w:p w14:paraId="79845DDB" w14:textId="77777777" w:rsidR="009F33CD" w:rsidRDefault="00E40740" w:rsidP="001E3129">
      <w:pPr>
        <w:pStyle w:val="Heading3"/>
      </w:pPr>
      <w:bookmarkStart w:id="1159" w:name="_Toc188443985"/>
      <w:bookmarkStart w:id="1160" w:name="_Toc187080871"/>
      <w:bookmarkStart w:id="1161" w:name="_Toc188442611"/>
      <w:bookmarkStart w:id="1162" w:name="_Toc188130638"/>
      <w:bookmarkStart w:id="1163" w:name="_Toc185614099"/>
      <w:bookmarkStart w:id="1164" w:name="_Toc224160675"/>
      <w:bookmarkStart w:id="1165" w:name="_Toc224237738"/>
      <w:r>
        <w:t xml:space="preserve">4.6.1 </w:t>
      </w:r>
      <w:r w:rsidRPr="001E3129">
        <w:t>Descriptive</w:t>
      </w:r>
      <w:r>
        <w:t xml:space="preserve"> Statistical Findings for Green Employee Resourcing</w:t>
      </w:r>
      <w:bookmarkEnd w:id="1159"/>
      <w:bookmarkEnd w:id="1160"/>
      <w:bookmarkEnd w:id="1161"/>
      <w:bookmarkEnd w:id="1162"/>
      <w:bookmarkEnd w:id="1163"/>
      <w:bookmarkEnd w:id="1164"/>
      <w:bookmarkEnd w:id="1165"/>
      <w:r>
        <w:t xml:space="preserve"> </w:t>
      </w:r>
    </w:p>
    <w:p w14:paraId="661194FD" w14:textId="77777777" w:rsidR="009F33CD" w:rsidRDefault="00E40740">
      <w:pPr>
        <w:spacing w:after="240"/>
        <w:rPr>
          <w:rFonts w:cs="Times New Roman"/>
          <w:b/>
          <w:bCs/>
          <w:szCs w:val="24"/>
        </w:rPr>
      </w:pPr>
      <w:r>
        <w:t xml:space="preserve">Green employee resourcing is a process of attracting and selecting environmentally aware employees. It is an important practice of green HRM as it affects the extent the hospital can attract and select qualified employees who provide eco-friendly healthcare services. To achieve this objective, the respondents were requested to provide their honest opinion on the following employee resourcing statements based on a scale of: 1- Strongly Disagree (SD); 2- Disagree (D); 3- Undecided (UD); 4- Agree (A); and 5- </w:t>
      </w:r>
      <w:r>
        <w:lastRenderedPageBreak/>
        <w:t>Strongly Agree (SA). The mean (M) and standard deviation (Sd) are also presented. The findings are presented in Table</w:t>
      </w:r>
      <w:r w:rsidR="00300636">
        <w:rPr>
          <w:rFonts w:cs="Times New Roman"/>
          <w:bCs/>
          <w:szCs w:val="24"/>
        </w:rPr>
        <w:t xml:space="preserve"> 4.16</w:t>
      </w:r>
      <w:r>
        <w:t xml:space="preserve">. </w:t>
      </w:r>
      <w:bookmarkStart w:id="1166" w:name="_Toc178942651"/>
      <w:bookmarkStart w:id="1167" w:name="_Toc147950243"/>
      <w:bookmarkStart w:id="1168" w:name="_Toc147946904"/>
      <w:bookmarkStart w:id="1169" w:name="_Toc185614100"/>
      <w:bookmarkStart w:id="1170" w:name="_Toc165623618"/>
      <w:bookmarkStart w:id="1171" w:name="_Toc139987491"/>
      <w:bookmarkStart w:id="1172" w:name="_Toc165626399"/>
      <w:bookmarkStart w:id="1173" w:name="_Toc178944309"/>
      <w:bookmarkStart w:id="1174" w:name="_Toc139986464"/>
      <w:bookmarkStart w:id="1175" w:name="_Toc139981663"/>
      <w:bookmarkStart w:id="1176" w:name="_Toc178945061"/>
      <w:bookmarkStart w:id="1177" w:name="_Toc187080872"/>
    </w:p>
    <w:p w14:paraId="4B8DA69F" w14:textId="77777777" w:rsidR="009F33CD" w:rsidRDefault="000748E0">
      <w:pPr>
        <w:pStyle w:val="Heading6"/>
      </w:pPr>
      <w:bookmarkStart w:id="1178" w:name="_Toc224237445"/>
      <w:r>
        <w:t>Table 4.16</w:t>
      </w:r>
      <w:r w:rsidR="00E40740">
        <w:t>: Descriptive Statistical Findings for Green Employee Resourcing</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p>
    <w:tbl>
      <w:tblPr>
        <w:tblW w:w="5000" w:type="pct"/>
        <w:tblBorders>
          <w:top w:val="single" w:sz="4" w:space="0" w:color="auto"/>
          <w:bottom w:val="single" w:sz="4" w:space="0" w:color="auto"/>
        </w:tblBorders>
        <w:tblLook w:val="04A0" w:firstRow="1" w:lastRow="0" w:firstColumn="1" w:lastColumn="0" w:noHBand="0" w:noVBand="1"/>
      </w:tblPr>
      <w:tblGrid>
        <w:gridCol w:w="2888"/>
        <w:gridCol w:w="716"/>
        <w:gridCol w:w="836"/>
        <w:gridCol w:w="836"/>
        <w:gridCol w:w="836"/>
        <w:gridCol w:w="836"/>
        <w:gridCol w:w="636"/>
        <w:gridCol w:w="636"/>
      </w:tblGrid>
      <w:tr w:rsidR="009F33CD" w14:paraId="35D0B14C" w14:textId="77777777">
        <w:trPr>
          <w:trHeight w:val="83"/>
        </w:trPr>
        <w:tc>
          <w:tcPr>
            <w:tcW w:w="2131" w:type="pct"/>
            <w:tcBorders>
              <w:top w:val="single" w:sz="4" w:space="0" w:color="auto"/>
              <w:bottom w:val="single" w:sz="4" w:space="0" w:color="auto"/>
            </w:tcBorders>
          </w:tcPr>
          <w:p w14:paraId="143DED25" w14:textId="77777777" w:rsidR="009F33CD" w:rsidRDefault="00E40740">
            <w:pPr>
              <w:spacing w:line="240" w:lineRule="auto"/>
              <w:jc w:val="left"/>
              <w:rPr>
                <w:rFonts w:eastAsia="TimesNewRomanPSMT" w:cs="Times New Roman"/>
                <w:b/>
                <w:szCs w:val="24"/>
              </w:rPr>
            </w:pPr>
            <w:r>
              <w:rPr>
                <w:rFonts w:eastAsia="TimesNewRomanPSMT" w:cs="Times New Roman"/>
                <w:b/>
                <w:szCs w:val="24"/>
              </w:rPr>
              <w:t>GER Statements</w:t>
            </w:r>
          </w:p>
        </w:tc>
        <w:tc>
          <w:tcPr>
            <w:tcW w:w="372" w:type="pct"/>
            <w:tcBorders>
              <w:top w:val="single" w:sz="4" w:space="0" w:color="auto"/>
              <w:bottom w:val="single" w:sz="4" w:space="0" w:color="auto"/>
            </w:tcBorders>
          </w:tcPr>
          <w:p w14:paraId="26BF4D94" w14:textId="77777777" w:rsidR="009F33CD" w:rsidRDefault="00E40740">
            <w:pPr>
              <w:spacing w:line="240" w:lineRule="auto"/>
              <w:rPr>
                <w:rFonts w:eastAsia="TimesNewRomanPSMT" w:cs="Times New Roman"/>
                <w:b/>
                <w:szCs w:val="24"/>
              </w:rPr>
            </w:pPr>
            <w:r>
              <w:rPr>
                <w:rFonts w:eastAsia="TimesNewRomanPSMT" w:cs="Times New Roman"/>
                <w:b/>
                <w:szCs w:val="24"/>
              </w:rPr>
              <w:t>1</w:t>
            </w:r>
          </w:p>
        </w:tc>
        <w:tc>
          <w:tcPr>
            <w:tcW w:w="422" w:type="pct"/>
            <w:tcBorders>
              <w:top w:val="single" w:sz="4" w:space="0" w:color="auto"/>
              <w:bottom w:val="single" w:sz="4" w:space="0" w:color="auto"/>
            </w:tcBorders>
          </w:tcPr>
          <w:p w14:paraId="140FF5E5" w14:textId="77777777" w:rsidR="009F33CD" w:rsidRDefault="00E40740">
            <w:pPr>
              <w:spacing w:line="240" w:lineRule="auto"/>
              <w:rPr>
                <w:rFonts w:eastAsia="TimesNewRomanPSMT" w:cs="Times New Roman"/>
                <w:b/>
                <w:szCs w:val="24"/>
              </w:rPr>
            </w:pPr>
            <w:r>
              <w:rPr>
                <w:rFonts w:eastAsia="TimesNewRomanPSMT" w:cs="Times New Roman"/>
                <w:b/>
                <w:szCs w:val="24"/>
              </w:rPr>
              <w:t>2</w:t>
            </w:r>
          </w:p>
        </w:tc>
        <w:tc>
          <w:tcPr>
            <w:tcW w:w="422" w:type="pct"/>
            <w:tcBorders>
              <w:top w:val="single" w:sz="4" w:space="0" w:color="auto"/>
              <w:bottom w:val="single" w:sz="4" w:space="0" w:color="auto"/>
            </w:tcBorders>
          </w:tcPr>
          <w:p w14:paraId="4358FE79" w14:textId="77777777" w:rsidR="009F33CD" w:rsidRDefault="00E40740">
            <w:pPr>
              <w:spacing w:line="240" w:lineRule="auto"/>
              <w:rPr>
                <w:rFonts w:eastAsia="TimesNewRomanPSMT" w:cs="Times New Roman"/>
                <w:b/>
                <w:szCs w:val="24"/>
              </w:rPr>
            </w:pPr>
            <w:r>
              <w:rPr>
                <w:rFonts w:eastAsia="TimesNewRomanPSMT" w:cs="Times New Roman"/>
                <w:b/>
                <w:szCs w:val="24"/>
              </w:rPr>
              <w:t>3</w:t>
            </w:r>
          </w:p>
        </w:tc>
        <w:tc>
          <w:tcPr>
            <w:tcW w:w="422" w:type="pct"/>
            <w:tcBorders>
              <w:top w:val="single" w:sz="4" w:space="0" w:color="auto"/>
              <w:bottom w:val="single" w:sz="4" w:space="0" w:color="auto"/>
            </w:tcBorders>
          </w:tcPr>
          <w:p w14:paraId="48274F35" w14:textId="77777777" w:rsidR="009F33CD" w:rsidRDefault="00E40740">
            <w:pPr>
              <w:spacing w:line="240" w:lineRule="auto"/>
              <w:rPr>
                <w:rFonts w:eastAsia="TimesNewRomanPSMT" w:cs="Times New Roman"/>
                <w:b/>
                <w:szCs w:val="24"/>
              </w:rPr>
            </w:pPr>
            <w:r>
              <w:rPr>
                <w:rFonts w:eastAsia="TimesNewRomanPSMT" w:cs="Times New Roman"/>
                <w:b/>
                <w:szCs w:val="24"/>
              </w:rPr>
              <w:t>4</w:t>
            </w:r>
          </w:p>
        </w:tc>
        <w:tc>
          <w:tcPr>
            <w:tcW w:w="443" w:type="pct"/>
            <w:tcBorders>
              <w:top w:val="single" w:sz="4" w:space="0" w:color="auto"/>
              <w:bottom w:val="single" w:sz="4" w:space="0" w:color="auto"/>
            </w:tcBorders>
          </w:tcPr>
          <w:p w14:paraId="271689A2" w14:textId="77777777" w:rsidR="009F33CD" w:rsidRDefault="00E40740">
            <w:pPr>
              <w:spacing w:line="240" w:lineRule="auto"/>
              <w:rPr>
                <w:rFonts w:eastAsia="TimesNewRomanPSMT" w:cs="Times New Roman"/>
                <w:b/>
                <w:szCs w:val="24"/>
              </w:rPr>
            </w:pPr>
            <w:r>
              <w:rPr>
                <w:rFonts w:eastAsia="TimesNewRomanPSMT" w:cs="Times New Roman"/>
                <w:b/>
                <w:szCs w:val="24"/>
              </w:rPr>
              <w:t>5</w:t>
            </w:r>
          </w:p>
        </w:tc>
        <w:tc>
          <w:tcPr>
            <w:tcW w:w="466" w:type="pct"/>
            <w:tcBorders>
              <w:top w:val="single" w:sz="4" w:space="0" w:color="auto"/>
              <w:bottom w:val="single" w:sz="4" w:space="0" w:color="auto"/>
            </w:tcBorders>
          </w:tcPr>
          <w:p w14:paraId="26AADC7A" w14:textId="77777777" w:rsidR="009F33CD" w:rsidRDefault="00E40740">
            <w:pPr>
              <w:spacing w:line="240" w:lineRule="auto"/>
              <w:rPr>
                <w:rFonts w:eastAsia="TimesNewRomanPSMT" w:cs="Times New Roman"/>
                <w:b/>
                <w:szCs w:val="24"/>
              </w:rPr>
            </w:pPr>
            <w:r>
              <w:rPr>
                <w:rFonts w:eastAsia="TimesNewRomanPSMT" w:cs="Times New Roman"/>
                <w:b/>
                <w:szCs w:val="24"/>
              </w:rPr>
              <w:t>M</w:t>
            </w:r>
          </w:p>
        </w:tc>
        <w:tc>
          <w:tcPr>
            <w:tcW w:w="321" w:type="pct"/>
            <w:tcBorders>
              <w:top w:val="single" w:sz="4" w:space="0" w:color="auto"/>
              <w:bottom w:val="single" w:sz="4" w:space="0" w:color="auto"/>
            </w:tcBorders>
          </w:tcPr>
          <w:p w14:paraId="03D8F8E2" w14:textId="77777777" w:rsidR="009F33CD" w:rsidRDefault="00E40740">
            <w:pPr>
              <w:spacing w:line="240" w:lineRule="auto"/>
              <w:rPr>
                <w:rFonts w:eastAsia="TimesNewRomanPSMT" w:cs="Times New Roman"/>
                <w:b/>
                <w:szCs w:val="24"/>
              </w:rPr>
            </w:pPr>
            <w:r>
              <w:rPr>
                <w:rFonts w:eastAsia="TimesNewRomanPSMT" w:cs="Times New Roman"/>
                <w:b/>
                <w:szCs w:val="24"/>
              </w:rPr>
              <w:t>Sd</w:t>
            </w:r>
          </w:p>
        </w:tc>
      </w:tr>
      <w:tr w:rsidR="009F33CD" w14:paraId="0286410F" w14:textId="77777777">
        <w:trPr>
          <w:trHeight w:val="456"/>
        </w:trPr>
        <w:tc>
          <w:tcPr>
            <w:tcW w:w="2131" w:type="pct"/>
            <w:tcBorders>
              <w:top w:val="single" w:sz="4" w:space="0" w:color="auto"/>
            </w:tcBorders>
          </w:tcPr>
          <w:p w14:paraId="222E771E" w14:textId="77777777" w:rsidR="009F33CD" w:rsidRDefault="00E40740">
            <w:pPr>
              <w:spacing w:line="240" w:lineRule="auto"/>
              <w:jc w:val="left"/>
              <w:rPr>
                <w:rFonts w:eastAsia="TimesNewRomanPSMT" w:cs="Times New Roman"/>
                <w:szCs w:val="24"/>
              </w:rPr>
            </w:pPr>
            <w:r>
              <w:rPr>
                <w:rFonts w:eastAsia="TimesNewRomanPSMT" w:cs="Times New Roman"/>
                <w:szCs w:val="24"/>
              </w:rPr>
              <w:t>This hospital adheres to the policy which guides public service employee resourcing activities</w:t>
            </w:r>
          </w:p>
        </w:tc>
        <w:tc>
          <w:tcPr>
            <w:tcW w:w="372" w:type="pct"/>
            <w:tcBorders>
              <w:top w:val="single" w:sz="4" w:space="0" w:color="auto"/>
            </w:tcBorders>
          </w:tcPr>
          <w:p w14:paraId="6B9C90D0" w14:textId="77777777" w:rsidR="009F33CD" w:rsidRDefault="00E40740">
            <w:pPr>
              <w:spacing w:line="240" w:lineRule="auto"/>
              <w:rPr>
                <w:rFonts w:eastAsia="TimesNewRomanPSMT" w:cs="Times New Roman"/>
                <w:szCs w:val="24"/>
              </w:rPr>
            </w:pPr>
            <w:r>
              <w:rPr>
                <w:rFonts w:eastAsia="TimesNewRomanPSMT" w:cs="Times New Roman"/>
                <w:szCs w:val="24"/>
              </w:rPr>
              <w:t>0%</w:t>
            </w:r>
          </w:p>
        </w:tc>
        <w:tc>
          <w:tcPr>
            <w:tcW w:w="422" w:type="pct"/>
            <w:tcBorders>
              <w:top w:val="single" w:sz="4" w:space="0" w:color="auto"/>
            </w:tcBorders>
          </w:tcPr>
          <w:p w14:paraId="706C7060" w14:textId="77777777" w:rsidR="009F33CD" w:rsidRDefault="00E40740">
            <w:pPr>
              <w:spacing w:line="240" w:lineRule="auto"/>
              <w:rPr>
                <w:rFonts w:eastAsia="TimesNewRomanPSMT" w:cs="Times New Roman"/>
                <w:szCs w:val="24"/>
              </w:rPr>
            </w:pPr>
            <w:r>
              <w:rPr>
                <w:rFonts w:eastAsia="TimesNewRomanPSMT" w:cs="Times New Roman"/>
                <w:szCs w:val="24"/>
              </w:rPr>
              <w:t>1.7%</w:t>
            </w:r>
          </w:p>
        </w:tc>
        <w:tc>
          <w:tcPr>
            <w:tcW w:w="422" w:type="pct"/>
            <w:tcBorders>
              <w:top w:val="single" w:sz="4" w:space="0" w:color="auto"/>
            </w:tcBorders>
          </w:tcPr>
          <w:p w14:paraId="0B1FF39C" w14:textId="77777777" w:rsidR="009F33CD" w:rsidRDefault="00E40740">
            <w:pPr>
              <w:spacing w:line="240" w:lineRule="auto"/>
              <w:rPr>
                <w:rFonts w:eastAsia="TimesNewRomanPSMT" w:cs="Times New Roman"/>
                <w:szCs w:val="24"/>
              </w:rPr>
            </w:pPr>
            <w:r>
              <w:rPr>
                <w:rFonts w:eastAsia="TimesNewRomanPSMT" w:cs="Times New Roman"/>
                <w:szCs w:val="24"/>
              </w:rPr>
              <w:t>11.9%</w:t>
            </w:r>
          </w:p>
        </w:tc>
        <w:tc>
          <w:tcPr>
            <w:tcW w:w="422" w:type="pct"/>
            <w:tcBorders>
              <w:top w:val="single" w:sz="4" w:space="0" w:color="auto"/>
            </w:tcBorders>
          </w:tcPr>
          <w:p w14:paraId="63D16E54" w14:textId="77777777" w:rsidR="009F33CD" w:rsidRDefault="00E40740">
            <w:pPr>
              <w:spacing w:line="240" w:lineRule="auto"/>
              <w:rPr>
                <w:rFonts w:eastAsia="TimesNewRomanPSMT" w:cs="Times New Roman"/>
                <w:szCs w:val="24"/>
              </w:rPr>
            </w:pPr>
            <w:r>
              <w:rPr>
                <w:rFonts w:eastAsia="TimesNewRomanPSMT" w:cs="Times New Roman"/>
                <w:szCs w:val="24"/>
              </w:rPr>
              <w:t>46.6%</w:t>
            </w:r>
          </w:p>
        </w:tc>
        <w:tc>
          <w:tcPr>
            <w:tcW w:w="443" w:type="pct"/>
            <w:tcBorders>
              <w:top w:val="single" w:sz="4" w:space="0" w:color="auto"/>
            </w:tcBorders>
          </w:tcPr>
          <w:p w14:paraId="7482715E" w14:textId="77777777" w:rsidR="009F33CD" w:rsidRDefault="00E40740">
            <w:pPr>
              <w:spacing w:line="240" w:lineRule="auto"/>
              <w:rPr>
                <w:rFonts w:eastAsia="TimesNewRomanPSMT" w:cs="Times New Roman"/>
                <w:szCs w:val="24"/>
              </w:rPr>
            </w:pPr>
            <w:r>
              <w:rPr>
                <w:rFonts w:eastAsia="TimesNewRomanPSMT" w:cs="Times New Roman"/>
                <w:szCs w:val="24"/>
              </w:rPr>
              <w:t>39.8%</w:t>
            </w:r>
          </w:p>
        </w:tc>
        <w:tc>
          <w:tcPr>
            <w:tcW w:w="466" w:type="pct"/>
            <w:tcBorders>
              <w:top w:val="single" w:sz="4" w:space="0" w:color="auto"/>
            </w:tcBorders>
          </w:tcPr>
          <w:p w14:paraId="4B440FB8" w14:textId="77777777" w:rsidR="009F33CD" w:rsidRDefault="00E40740">
            <w:pPr>
              <w:spacing w:line="240" w:lineRule="auto"/>
              <w:rPr>
                <w:rFonts w:eastAsia="TimesNewRomanPSMT" w:cs="Times New Roman"/>
                <w:szCs w:val="24"/>
              </w:rPr>
            </w:pPr>
            <w:r>
              <w:rPr>
                <w:rFonts w:eastAsia="Times New Roman" w:cs="Times New Roman"/>
                <w:bCs/>
                <w:szCs w:val="24"/>
              </w:rPr>
              <w:t>4.25</w:t>
            </w:r>
          </w:p>
        </w:tc>
        <w:tc>
          <w:tcPr>
            <w:tcW w:w="321" w:type="pct"/>
            <w:tcBorders>
              <w:top w:val="single" w:sz="4" w:space="0" w:color="auto"/>
            </w:tcBorders>
          </w:tcPr>
          <w:p w14:paraId="0D1BE754" w14:textId="77777777" w:rsidR="009F33CD" w:rsidRDefault="00E40740">
            <w:pPr>
              <w:spacing w:line="240" w:lineRule="auto"/>
              <w:rPr>
                <w:rFonts w:eastAsia="TimesNewRomanPSMT" w:cs="Times New Roman"/>
                <w:szCs w:val="24"/>
              </w:rPr>
            </w:pPr>
            <w:r>
              <w:rPr>
                <w:rFonts w:eastAsia="Times New Roman" w:cs="Times New Roman"/>
                <w:bCs/>
                <w:szCs w:val="24"/>
              </w:rPr>
              <w:t>0.73</w:t>
            </w:r>
          </w:p>
        </w:tc>
      </w:tr>
      <w:tr w:rsidR="009F33CD" w14:paraId="2B46A099" w14:textId="77777777" w:rsidTr="001E3129">
        <w:trPr>
          <w:trHeight w:val="142"/>
        </w:trPr>
        <w:tc>
          <w:tcPr>
            <w:tcW w:w="2131" w:type="pct"/>
          </w:tcPr>
          <w:p w14:paraId="737A911F" w14:textId="77777777" w:rsidR="009F33CD" w:rsidRDefault="00E40740">
            <w:pPr>
              <w:spacing w:line="240" w:lineRule="auto"/>
              <w:jc w:val="left"/>
              <w:rPr>
                <w:rFonts w:eastAsia="TimesNewRomanPSMT" w:cs="Times New Roman"/>
                <w:szCs w:val="24"/>
              </w:rPr>
            </w:pPr>
            <w:r>
              <w:rPr>
                <w:rFonts w:eastAsia="TimesNewRomanPSMT" w:cs="Times New Roman"/>
                <w:szCs w:val="24"/>
              </w:rPr>
              <w:t>Advertisement for job openings is mostly posted on hospital website with some element of greening.</w:t>
            </w:r>
          </w:p>
        </w:tc>
        <w:tc>
          <w:tcPr>
            <w:tcW w:w="372" w:type="pct"/>
          </w:tcPr>
          <w:p w14:paraId="401E46B4" w14:textId="77777777" w:rsidR="009F33CD" w:rsidRDefault="00E40740">
            <w:pPr>
              <w:spacing w:line="240" w:lineRule="auto"/>
              <w:rPr>
                <w:rFonts w:eastAsia="TimesNewRomanPSMT" w:cs="Times New Roman"/>
                <w:szCs w:val="24"/>
              </w:rPr>
            </w:pPr>
            <w:r>
              <w:rPr>
                <w:rFonts w:eastAsia="TimesNewRomanPSMT" w:cs="Times New Roman"/>
                <w:szCs w:val="24"/>
              </w:rPr>
              <w:t>0.9%</w:t>
            </w:r>
          </w:p>
        </w:tc>
        <w:tc>
          <w:tcPr>
            <w:tcW w:w="422" w:type="pct"/>
          </w:tcPr>
          <w:p w14:paraId="648B3C48" w14:textId="77777777" w:rsidR="009F33CD" w:rsidRDefault="00E40740">
            <w:pPr>
              <w:spacing w:line="240" w:lineRule="auto"/>
              <w:rPr>
                <w:rFonts w:eastAsia="TimesNewRomanPSMT" w:cs="Times New Roman"/>
                <w:szCs w:val="24"/>
              </w:rPr>
            </w:pPr>
            <w:r>
              <w:rPr>
                <w:rFonts w:eastAsia="TimesNewRomanPSMT" w:cs="Times New Roman"/>
                <w:szCs w:val="24"/>
              </w:rPr>
              <w:t>2.5%</w:t>
            </w:r>
          </w:p>
        </w:tc>
        <w:tc>
          <w:tcPr>
            <w:tcW w:w="422" w:type="pct"/>
          </w:tcPr>
          <w:p w14:paraId="4C948EA4" w14:textId="77777777" w:rsidR="009F33CD" w:rsidRDefault="00E40740">
            <w:pPr>
              <w:spacing w:line="240" w:lineRule="auto"/>
              <w:rPr>
                <w:rFonts w:eastAsia="TimesNewRomanPSMT" w:cs="Times New Roman"/>
                <w:szCs w:val="24"/>
              </w:rPr>
            </w:pPr>
            <w:r>
              <w:rPr>
                <w:rFonts w:eastAsia="TimesNewRomanPSMT" w:cs="Times New Roman"/>
                <w:szCs w:val="24"/>
              </w:rPr>
              <w:t>13.6%</w:t>
            </w:r>
          </w:p>
        </w:tc>
        <w:tc>
          <w:tcPr>
            <w:tcW w:w="422" w:type="pct"/>
          </w:tcPr>
          <w:p w14:paraId="7A310669" w14:textId="77777777" w:rsidR="009F33CD" w:rsidRDefault="00E40740">
            <w:pPr>
              <w:spacing w:line="240" w:lineRule="auto"/>
              <w:rPr>
                <w:rFonts w:eastAsia="TimesNewRomanPSMT" w:cs="Times New Roman"/>
                <w:szCs w:val="24"/>
              </w:rPr>
            </w:pPr>
            <w:r>
              <w:rPr>
                <w:rFonts w:eastAsia="TimesNewRomanPSMT" w:cs="Times New Roman"/>
                <w:szCs w:val="24"/>
              </w:rPr>
              <w:t>39.8%</w:t>
            </w:r>
          </w:p>
        </w:tc>
        <w:tc>
          <w:tcPr>
            <w:tcW w:w="443" w:type="pct"/>
          </w:tcPr>
          <w:p w14:paraId="45CFEC5F" w14:textId="77777777" w:rsidR="009F33CD" w:rsidRDefault="00E40740">
            <w:pPr>
              <w:spacing w:line="240" w:lineRule="auto"/>
              <w:rPr>
                <w:rFonts w:eastAsia="TimesNewRomanPSMT" w:cs="Times New Roman"/>
                <w:szCs w:val="24"/>
              </w:rPr>
            </w:pPr>
            <w:r>
              <w:rPr>
                <w:rFonts w:eastAsia="TimesNewRomanPSMT" w:cs="Times New Roman"/>
                <w:szCs w:val="24"/>
              </w:rPr>
              <w:t>43.2%</w:t>
            </w:r>
          </w:p>
        </w:tc>
        <w:tc>
          <w:tcPr>
            <w:tcW w:w="466" w:type="pct"/>
          </w:tcPr>
          <w:p w14:paraId="54ABC6A9" w14:textId="77777777" w:rsidR="009F33CD" w:rsidRDefault="00E40740">
            <w:pPr>
              <w:spacing w:line="240" w:lineRule="auto"/>
              <w:rPr>
                <w:rFonts w:eastAsia="TimesNewRomanPSMT" w:cs="Times New Roman"/>
                <w:szCs w:val="24"/>
              </w:rPr>
            </w:pPr>
            <w:r>
              <w:rPr>
                <w:rFonts w:eastAsia="Times New Roman" w:cs="Times New Roman"/>
                <w:bCs/>
                <w:szCs w:val="24"/>
              </w:rPr>
              <w:t>4.22</w:t>
            </w:r>
          </w:p>
        </w:tc>
        <w:tc>
          <w:tcPr>
            <w:tcW w:w="321" w:type="pct"/>
          </w:tcPr>
          <w:p w14:paraId="5CF12C8A" w14:textId="77777777" w:rsidR="009F33CD" w:rsidRDefault="00E40740">
            <w:pPr>
              <w:spacing w:line="240" w:lineRule="auto"/>
              <w:rPr>
                <w:rFonts w:eastAsia="TimesNewRomanPSMT" w:cs="Times New Roman"/>
                <w:szCs w:val="24"/>
              </w:rPr>
            </w:pPr>
            <w:r>
              <w:rPr>
                <w:rFonts w:eastAsia="Times New Roman" w:cs="Times New Roman"/>
                <w:bCs/>
                <w:szCs w:val="24"/>
              </w:rPr>
              <w:t>0.84</w:t>
            </w:r>
          </w:p>
        </w:tc>
      </w:tr>
      <w:tr w:rsidR="009F33CD" w14:paraId="4756BADD" w14:textId="77777777">
        <w:trPr>
          <w:trHeight w:val="993"/>
        </w:trPr>
        <w:tc>
          <w:tcPr>
            <w:tcW w:w="2131" w:type="pct"/>
          </w:tcPr>
          <w:p w14:paraId="4F8BC7BA" w14:textId="77777777" w:rsidR="009F33CD" w:rsidRDefault="00E40740">
            <w:pPr>
              <w:spacing w:line="240" w:lineRule="auto"/>
              <w:jc w:val="left"/>
              <w:rPr>
                <w:rFonts w:eastAsia="TimesNewRomanPSMT" w:cs="Times New Roman"/>
                <w:szCs w:val="24"/>
              </w:rPr>
            </w:pPr>
            <w:bookmarkStart w:id="1179" w:name="_Hlk139549459"/>
            <w:r>
              <w:rPr>
                <w:rFonts w:eastAsia="TimesNewRomanPSMT" w:cs="Times New Roman"/>
                <w:szCs w:val="24"/>
              </w:rPr>
              <w:t>Applications are usually invited for interview through e-mail and online application forms to reduce paper usage and cost.</w:t>
            </w:r>
          </w:p>
        </w:tc>
        <w:tc>
          <w:tcPr>
            <w:tcW w:w="372" w:type="pct"/>
          </w:tcPr>
          <w:p w14:paraId="407A029D" w14:textId="77777777" w:rsidR="009F33CD" w:rsidRDefault="00E40740">
            <w:pPr>
              <w:spacing w:line="240" w:lineRule="auto"/>
              <w:rPr>
                <w:rFonts w:eastAsia="TimesNewRomanPSMT" w:cs="Times New Roman"/>
                <w:szCs w:val="24"/>
              </w:rPr>
            </w:pPr>
            <w:r>
              <w:rPr>
                <w:rFonts w:eastAsia="TimesNewRomanPSMT" w:cs="Times New Roman"/>
                <w:szCs w:val="24"/>
              </w:rPr>
              <w:t>1.7%</w:t>
            </w:r>
          </w:p>
        </w:tc>
        <w:tc>
          <w:tcPr>
            <w:tcW w:w="422" w:type="pct"/>
          </w:tcPr>
          <w:p w14:paraId="23C304EC" w14:textId="77777777" w:rsidR="009F33CD" w:rsidRDefault="00E40740">
            <w:pPr>
              <w:spacing w:line="240" w:lineRule="auto"/>
              <w:rPr>
                <w:rFonts w:eastAsia="TimesNewRomanPSMT" w:cs="Times New Roman"/>
                <w:szCs w:val="24"/>
              </w:rPr>
            </w:pPr>
            <w:r>
              <w:rPr>
                <w:rFonts w:eastAsia="TimesNewRomanPSMT" w:cs="Times New Roman"/>
                <w:szCs w:val="24"/>
              </w:rPr>
              <w:t>3.4%</w:t>
            </w:r>
          </w:p>
        </w:tc>
        <w:tc>
          <w:tcPr>
            <w:tcW w:w="422" w:type="pct"/>
          </w:tcPr>
          <w:p w14:paraId="0BA09AF1" w14:textId="77777777" w:rsidR="009F33CD" w:rsidRDefault="00E40740">
            <w:pPr>
              <w:spacing w:line="240" w:lineRule="auto"/>
              <w:rPr>
                <w:rFonts w:eastAsia="TimesNewRomanPSMT" w:cs="Times New Roman"/>
                <w:szCs w:val="24"/>
              </w:rPr>
            </w:pPr>
            <w:r>
              <w:rPr>
                <w:rFonts w:eastAsia="TimesNewRomanPSMT" w:cs="Times New Roman"/>
                <w:szCs w:val="24"/>
              </w:rPr>
              <w:t>17.8%</w:t>
            </w:r>
          </w:p>
        </w:tc>
        <w:tc>
          <w:tcPr>
            <w:tcW w:w="422" w:type="pct"/>
          </w:tcPr>
          <w:p w14:paraId="2B64D4C9" w14:textId="77777777" w:rsidR="009F33CD" w:rsidRDefault="00E40740">
            <w:pPr>
              <w:spacing w:line="240" w:lineRule="auto"/>
              <w:rPr>
                <w:rFonts w:eastAsia="TimesNewRomanPSMT" w:cs="Times New Roman"/>
                <w:szCs w:val="24"/>
              </w:rPr>
            </w:pPr>
            <w:r>
              <w:rPr>
                <w:rFonts w:eastAsia="TimesNewRomanPSMT" w:cs="Times New Roman"/>
                <w:szCs w:val="24"/>
              </w:rPr>
              <w:t>32.5%</w:t>
            </w:r>
          </w:p>
        </w:tc>
        <w:tc>
          <w:tcPr>
            <w:tcW w:w="443" w:type="pct"/>
          </w:tcPr>
          <w:p w14:paraId="5643F690" w14:textId="77777777" w:rsidR="009F33CD" w:rsidRDefault="00E40740">
            <w:pPr>
              <w:spacing w:line="240" w:lineRule="auto"/>
              <w:rPr>
                <w:rFonts w:eastAsia="TimesNewRomanPSMT" w:cs="Times New Roman"/>
                <w:szCs w:val="24"/>
              </w:rPr>
            </w:pPr>
            <w:r>
              <w:rPr>
                <w:rFonts w:eastAsia="TimesNewRomanPSMT" w:cs="Times New Roman"/>
                <w:szCs w:val="24"/>
              </w:rPr>
              <w:t>44.6%</w:t>
            </w:r>
          </w:p>
        </w:tc>
        <w:tc>
          <w:tcPr>
            <w:tcW w:w="466" w:type="pct"/>
          </w:tcPr>
          <w:p w14:paraId="0856E076" w14:textId="77777777" w:rsidR="009F33CD" w:rsidRDefault="00E40740">
            <w:pPr>
              <w:spacing w:line="240" w:lineRule="auto"/>
              <w:rPr>
                <w:rFonts w:eastAsia="TimesNewRomanPSMT" w:cs="Times New Roman"/>
                <w:szCs w:val="24"/>
              </w:rPr>
            </w:pPr>
            <w:r>
              <w:rPr>
                <w:rFonts w:eastAsia="Times New Roman" w:cs="Times New Roman"/>
                <w:bCs/>
                <w:szCs w:val="24"/>
              </w:rPr>
              <w:t>4.15</w:t>
            </w:r>
          </w:p>
        </w:tc>
        <w:tc>
          <w:tcPr>
            <w:tcW w:w="321" w:type="pct"/>
          </w:tcPr>
          <w:p w14:paraId="07EDC2CC" w14:textId="77777777" w:rsidR="009F33CD" w:rsidRDefault="00E40740">
            <w:pPr>
              <w:spacing w:line="240" w:lineRule="auto"/>
              <w:rPr>
                <w:rFonts w:eastAsia="TimesNewRomanPSMT" w:cs="Times New Roman"/>
                <w:szCs w:val="24"/>
              </w:rPr>
            </w:pPr>
            <w:r>
              <w:rPr>
                <w:rFonts w:eastAsia="Times New Roman" w:cs="Times New Roman"/>
                <w:bCs/>
                <w:szCs w:val="24"/>
              </w:rPr>
              <w:t>0.95</w:t>
            </w:r>
          </w:p>
        </w:tc>
      </w:tr>
      <w:bookmarkEnd w:id="1179"/>
      <w:tr w:rsidR="009F33CD" w14:paraId="0761EF2C" w14:textId="77777777">
        <w:trPr>
          <w:trHeight w:val="442"/>
        </w:trPr>
        <w:tc>
          <w:tcPr>
            <w:tcW w:w="2131" w:type="pct"/>
          </w:tcPr>
          <w:p w14:paraId="654B974F" w14:textId="77777777" w:rsidR="009F33CD" w:rsidRDefault="00E40740">
            <w:pPr>
              <w:spacing w:line="240" w:lineRule="auto"/>
              <w:jc w:val="left"/>
              <w:rPr>
                <w:rFonts w:eastAsia="Calibri" w:cs="Times New Roman"/>
                <w:color w:val="000000"/>
                <w:szCs w:val="24"/>
              </w:rPr>
            </w:pPr>
            <w:r>
              <w:rPr>
                <w:rFonts w:eastAsia="Calibri" w:cs="Times New Roman"/>
                <w:color w:val="000000"/>
                <w:szCs w:val="24"/>
              </w:rPr>
              <w:t xml:space="preserve">This hospital practices online-video interviews which enhances performance. </w:t>
            </w:r>
          </w:p>
        </w:tc>
        <w:tc>
          <w:tcPr>
            <w:tcW w:w="372" w:type="pct"/>
          </w:tcPr>
          <w:p w14:paraId="1FF8A88A" w14:textId="77777777" w:rsidR="009F33CD" w:rsidRDefault="00E40740">
            <w:pPr>
              <w:spacing w:line="240" w:lineRule="auto"/>
              <w:rPr>
                <w:rFonts w:eastAsia="TimesNewRomanPSMT" w:cs="Times New Roman"/>
                <w:szCs w:val="24"/>
              </w:rPr>
            </w:pPr>
            <w:r>
              <w:rPr>
                <w:rFonts w:eastAsia="TimesNewRomanPSMT" w:cs="Times New Roman"/>
                <w:szCs w:val="24"/>
              </w:rPr>
              <w:t>11%</w:t>
            </w:r>
          </w:p>
        </w:tc>
        <w:tc>
          <w:tcPr>
            <w:tcW w:w="422" w:type="pct"/>
          </w:tcPr>
          <w:p w14:paraId="21666CC2" w14:textId="77777777" w:rsidR="009F33CD" w:rsidRDefault="00E40740">
            <w:pPr>
              <w:spacing w:line="240" w:lineRule="auto"/>
              <w:rPr>
                <w:rFonts w:eastAsia="TimesNewRomanPSMT" w:cs="Times New Roman"/>
                <w:szCs w:val="24"/>
              </w:rPr>
            </w:pPr>
            <w:r>
              <w:rPr>
                <w:rFonts w:eastAsia="TimesNewRomanPSMT" w:cs="Times New Roman"/>
                <w:szCs w:val="24"/>
              </w:rPr>
              <w:t>13.6%</w:t>
            </w:r>
          </w:p>
        </w:tc>
        <w:tc>
          <w:tcPr>
            <w:tcW w:w="422" w:type="pct"/>
          </w:tcPr>
          <w:p w14:paraId="716711E9" w14:textId="77777777" w:rsidR="009F33CD" w:rsidRDefault="00E40740">
            <w:pPr>
              <w:spacing w:line="240" w:lineRule="auto"/>
              <w:rPr>
                <w:rFonts w:eastAsia="TimesNewRomanPSMT" w:cs="Times New Roman"/>
                <w:szCs w:val="24"/>
              </w:rPr>
            </w:pPr>
            <w:r>
              <w:rPr>
                <w:rFonts w:eastAsia="TimesNewRomanPSMT" w:cs="Times New Roman"/>
                <w:szCs w:val="24"/>
              </w:rPr>
              <w:t>11.9%</w:t>
            </w:r>
          </w:p>
        </w:tc>
        <w:tc>
          <w:tcPr>
            <w:tcW w:w="422" w:type="pct"/>
          </w:tcPr>
          <w:p w14:paraId="1A2703C5" w14:textId="77777777" w:rsidR="009F33CD" w:rsidRDefault="00E40740">
            <w:pPr>
              <w:spacing w:line="240" w:lineRule="auto"/>
              <w:rPr>
                <w:rFonts w:eastAsia="TimesNewRomanPSMT" w:cs="Times New Roman"/>
                <w:szCs w:val="24"/>
              </w:rPr>
            </w:pPr>
            <w:r>
              <w:rPr>
                <w:rFonts w:eastAsia="TimesNewRomanPSMT" w:cs="Times New Roman"/>
                <w:szCs w:val="24"/>
              </w:rPr>
              <w:t>33.9%</w:t>
            </w:r>
          </w:p>
        </w:tc>
        <w:tc>
          <w:tcPr>
            <w:tcW w:w="443" w:type="pct"/>
          </w:tcPr>
          <w:p w14:paraId="65C8543C" w14:textId="77777777" w:rsidR="009F33CD" w:rsidRDefault="00E40740">
            <w:pPr>
              <w:spacing w:line="240" w:lineRule="auto"/>
              <w:rPr>
                <w:rFonts w:eastAsia="TimesNewRomanPSMT" w:cs="Times New Roman"/>
                <w:szCs w:val="24"/>
              </w:rPr>
            </w:pPr>
            <w:r>
              <w:rPr>
                <w:rFonts w:eastAsia="TimesNewRomanPSMT" w:cs="Times New Roman"/>
                <w:szCs w:val="24"/>
              </w:rPr>
              <w:t>29.7%</w:t>
            </w:r>
          </w:p>
        </w:tc>
        <w:tc>
          <w:tcPr>
            <w:tcW w:w="466" w:type="pct"/>
          </w:tcPr>
          <w:p w14:paraId="5154806D" w14:textId="77777777" w:rsidR="009F33CD" w:rsidRDefault="00E40740">
            <w:pPr>
              <w:spacing w:line="240" w:lineRule="auto"/>
              <w:rPr>
                <w:rFonts w:eastAsia="TimesNewRomanPSMT" w:cs="Times New Roman"/>
                <w:szCs w:val="24"/>
              </w:rPr>
            </w:pPr>
            <w:r>
              <w:rPr>
                <w:rFonts w:eastAsia="Times New Roman" w:cs="Times New Roman"/>
                <w:bCs/>
                <w:szCs w:val="24"/>
              </w:rPr>
              <w:t>3.58</w:t>
            </w:r>
          </w:p>
        </w:tc>
        <w:tc>
          <w:tcPr>
            <w:tcW w:w="321" w:type="pct"/>
          </w:tcPr>
          <w:p w14:paraId="31CFAE64" w14:textId="77777777" w:rsidR="009F33CD" w:rsidRDefault="00E40740">
            <w:pPr>
              <w:spacing w:line="240" w:lineRule="auto"/>
              <w:rPr>
                <w:rFonts w:eastAsia="TimesNewRomanPSMT" w:cs="Times New Roman"/>
                <w:szCs w:val="24"/>
              </w:rPr>
            </w:pPr>
            <w:r>
              <w:rPr>
                <w:rFonts w:eastAsia="Times New Roman" w:cs="Times New Roman"/>
                <w:bCs/>
                <w:szCs w:val="24"/>
              </w:rPr>
              <w:t>1.34</w:t>
            </w:r>
          </w:p>
        </w:tc>
      </w:tr>
      <w:tr w:rsidR="009F33CD" w14:paraId="60978578" w14:textId="77777777">
        <w:trPr>
          <w:trHeight w:val="747"/>
        </w:trPr>
        <w:tc>
          <w:tcPr>
            <w:tcW w:w="2131" w:type="pct"/>
          </w:tcPr>
          <w:p w14:paraId="53213157" w14:textId="77777777" w:rsidR="009F33CD" w:rsidRDefault="00E40740">
            <w:pPr>
              <w:spacing w:line="240" w:lineRule="auto"/>
              <w:jc w:val="left"/>
              <w:rPr>
                <w:rFonts w:eastAsia="Calibri" w:cs="Times New Roman"/>
                <w:color w:val="000000"/>
                <w:szCs w:val="24"/>
              </w:rPr>
            </w:pPr>
            <w:r>
              <w:rPr>
                <w:rFonts w:eastAsia="Calibri" w:cs="Times New Roman"/>
                <w:color w:val="000000"/>
                <w:szCs w:val="24"/>
              </w:rPr>
              <w:t xml:space="preserve">An environmental awareness criterion is included in employee selection procedure of the hospital. </w:t>
            </w:r>
          </w:p>
        </w:tc>
        <w:tc>
          <w:tcPr>
            <w:tcW w:w="372" w:type="pct"/>
          </w:tcPr>
          <w:p w14:paraId="3B6EC5F3" w14:textId="77777777" w:rsidR="009F33CD" w:rsidRDefault="00E40740">
            <w:pPr>
              <w:spacing w:line="240" w:lineRule="auto"/>
              <w:rPr>
                <w:rFonts w:eastAsia="TimesNewRomanPSMT" w:cs="Times New Roman"/>
                <w:szCs w:val="24"/>
              </w:rPr>
            </w:pPr>
            <w:r>
              <w:rPr>
                <w:rFonts w:eastAsia="TimesNewRomanPSMT" w:cs="Times New Roman"/>
                <w:szCs w:val="24"/>
              </w:rPr>
              <w:t>0.8%</w:t>
            </w:r>
          </w:p>
        </w:tc>
        <w:tc>
          <w:tcPr>
            <w:tcW w:w="422" w:type="pct"/>
          </w:tcPr>
          <w:p w14:paraId="23ACD1F9" w14:textId="77777777" w:rsidR="009F33CD" w:rsidRDefault="00E40740">
            <w:pPr>
              <w:spacing w:line="240" w:lineRule="auto"/>
              <w:rPr>
                <w:rFonts w:eastAsia="TimesNewRomanPSMT" w:cs="Times New Roman"/>
                <w:szCs w:val="24"/>
              </w:rPr>
            </w:pPr>
            <w:r>
              <w:rPr>
                <w:rFonts w:eastAsia="TimesNewRomanPSMT" w:cs="Times New Roman"/>
                <w:szCs w:val="24"/>
              </w:rPr>
              <w:t>6.8%</w:t>
            </w:r>
          </w:p>
        </w:tc>
        <w:tc>
          <w:tcPr>
            <w:tcW w:w="422" w:type="pct"/>
          </w:tcPr>
          <w:p w14:paraId="37FFF701" w14:textId="77777777" w:rsidR="009F33CD" w:rsidRDefault="00E40740">
            <w:pPr>
              <w:spacing w:line="240" w:lineRule="auto"/>
              <w:rPr>
                <w:rFonts w:eastAsia="TimesNewRomanPSMT" w:cs="Times New Roman"/>
                <w:szCs w:val="24"/>
              </w:rPr>
            </w:pPr>
            <w:r>
              <w:rPr>
                <w:rFonts w:eastAsia="TimesNewRomanPSMT" w:cs="Times New Roman"/>
                <w:szCs w:val="24"/>
              </w:rPr>
              <w:t>17.8%</w:t>
            </w:r>
          </w:p>
        </w:tc>
        <w:tc>
          <w:tcPr>
            <w:tcW w:w="422" w:type="pct"/>
          </w:tcPr>
          <w:p w14:paraId="71B3A805" w14:textId="77777777" w:rsidR="009F33CD" w:rsidRDefault="00E40740">
            <w:pPr>
              <w:spacing w:line="240" w:lineRule="auto"/>
              <w:rPr>
                <w:rFonts w:eastAsia="TimesNewRomanPSMT" w:cs="Times New Roman"/>
                <w:szCs w:val="24"/>
              </w:rPr>
            </w:pPr>
            <w:r>
              <w:rPr>
                <w:rFonts w:eastAsia="TimesNewRomanPSMT" w:cs="Times New Roman"/>
                <w:szCs w:val="24"/>
              </w:rPr>
              <w:t>38.1%</w:t>
            </w:r>
          </w:p>
        </w:tc>
        <w:tc>
          <w:tcPr>
            <w:tcW w:w="443" w:type="pct"/>
          </w:tcPr>
          <w:p w14:paraId="1441ACAC" w14:textId="77777777" w:rsidR="009F33CD" w:rsidRDefault="00E40740">
            <w:pPr>
              <w:spacing w:line="240" w:lineRule="auto"/>
              <w:rPr>
                <w:rFonts w:eastAsia="TimesNewRomanPSMT" w:cs="Times New Roman"/>
                <w:szCs w:val="24"/>
              </w:rPr>
            </w:pPr>
            <w:r>
              <w:rPr>
                <w:rFonts w:eastAsia="TimesNewRomanPSMT" w:cs="Times New Roman"/>
                <w:szCs w:val="24"/>
              </w:rPr>
              <w:t>36.4%</w:t>
            </w:r>
          </w:p>
        </w:tc>
        <w:tc>
          <w:tcPr>
            <w:tcW w:w="466" w:type="pct"/>
          </w:tcPr>
          <w:p w14:paraId="368A08D8" w14:textId="77777777" w:rsidR="009F33CD" w:rsidRDefault="00E40740">
            <w:pPr>
              <w:spacing w:line="240" w:lineRule="auto"/>
              <w:rPr>
                <w:rFonts w:eastAsia="TimesNewRomanPSMT" w:cs="Times New Roman"/>
                <w:szCs w:val="24"/>
              </w:rPr>
            </w:pPr>
            <w:r>
              <w:rPr>
                <w:rFonts w:eastAsia="Times New Roman" w:cs="Times New Roman"/>
                <w:bCs/>
                <w:szCs w:val="24"/>
              </w:rPr>
              <w:t>4.03</w:t>
            </w:r>
          </w:p>
        </w:tc>
        <w:tc>
          <w:tcPr>
            <w:tcW w:w="321" w:type="pct"/>
          </w:tcPr>
          <w:p w14:paraId="68820F72" w14:textId="77777777" w:rsidR="009F33CD" w:rsidRDefault="00E40740">
            <w:pPr>
              <w:spacing w:line="240" w:lineRule="auto"/>
              <w:rPr>
                <w:rFonts w:eastAsia="TimesNewRomanPSMT" w:cs="Times New Roman"/>
                <w:szCs w:val="24"/>
              </w:rPr>
            </w:pPr>
            <w:r>
              <w:rPr>
                <w:rFonts w:eastAsia="Times New Roman" w:cs="Times New Roman"/>
                <w:bCs/>
                <w:szCs w:val="24"/>
              </w:rPr>
              <w:t>0.94</w:t>
            </w:r>
          </w:p>
        </w:tc>
      </w:tr>
      <w:tr w:rsidR="009F33CD" w14:paraId="0340D3AD" w14:textId="77777777">
        <w:trPr>
          <w:trHeight w:val="772"/>
        </w:trPr>
        <w:tc>
          <w:tcPr>
            <w:tcW w:w="2131" w:type="pct"/>
          </w:tcPr>
          <w:p w14:paraId="2FE82C81" w14:textId="77777777" w:rsidR="009F33CD" w:rsidRDefault="00E40740">
            <w:pPr>
              <w:spacing w:line="240" w:lineRule="auto"/>
              <w:jc w:val="left"/>
              <w:rPr>
                <w:rFonts w:eastAsia="Calibri" w:cs="Times New Roman"/>
                <w:szCs w:val="24"/>
              </w:rPr>
            </w:pPr>
            <w:r>
              <w:rPr>
                <w:rFonts w:eastAsia="Calibri" w:cs="Times New Roman"/>
                <w:szCs w:val="24"/>
              </w:rPr>
              <w:t xml:space="preserve">Employees who have contributed towards environmental management are usually selected to fill vacancies. </w:t>
            </w:r>
          </w:p>
        </w:tc>
        <w:tc>
          <w:tcPr>
            <w:tcW w:w="372" w:type="pct"/>
          </w:tcPr>
          <w:p w14:paraId="79001784" w14:textId="77777777" w:rsidR="009F33CD" w:rsidRDefault="00E40740">
            <w:pPr>
              <w:spacing w:line="240" w:lineRule="auto"/>
              <w:rPr>
                <w:rFonts w:eastAsia="TimesNewRomanPSMT" w:cs="Times New Roman"/>
                <w:szCs w:val="24"/>
              </w:rPr>
            </w:pPr>
            <w:r>
              <w:rPr>
                <w:rFonts w:eastAsia="TimesNewRomanPSMT" w:cs="Times New Roman"/>
                <w:szCs w:val="24"/>
              </w:rPr>
              <w:t>0.7%</w:t>
            </w:r>
          </w:p>
        </w:tc>
        <w:tc>
          <w:tcPr>
            <w:tcW w:w="422" w:type="pct"/>
          </w:tcPr>
          <w:p w14:paraId="13932E2C" w14:textId="77777777" w:rsidR="009F33CD" w:rsidRDefault="00E40740">
            <w:pPr>
              <w:spacing w:line="240" w:lineRule="auto"/>
              <w:rPr>
                <w:rFonts w:eastAsia="TimesNewRomanPSMT" w:cs="Times New Roman"/>
                <w:szCs w:val="24"/>
              </w:rPr>
            </w:pPr>
            <w:r>
              <w:rPr>
                <w:rFonts w:eastAsia="TimesNewRomanPSMT" w:cs="Times New Roman"/>
                <w:szCs w:val="24"/>
              </w:rPr>
              <w:t>5.2%</w:t>
            </w:r>
          </w:p>
        </w:tc>
        <w:tc>
          <w:tcPr>
            <w:tcW w:w="422" w:type="pct"/>
          </w:tcPr>
          <w:p w14:paraId="105F1458" w14:textId="77777777" w:rsidR="009F33CD" w:rsidRDefault="00E40740">
            <w:pPr>
              <w:spacing w:line="240" w:lineRule="auto"/>
              <w:rPr>
                <w:rFonts w:eastAsia="TimesNewRomanPSMT" w:cs="Times New Roman"/>
                <w:szCs w:val="24"/>
              </w:rPr>
            </w:pPr>
            <w:r>
              <w:rPr>
                <w:rFonts w:eastAsia="TimesNewRomanPSMT" w:cs="Times New Roman"/>
                <w:szCs w:val="24"/>
              </w:rPr>
              <w:t>12.7%</w:t>
            </w:r>
          </w:p>
        </w:tc>
        <w:tc>
          <w:tcPr>
            <w:tcW w:w="422" w:type="pct"/>
          </w:tcPr>
          <w:p w14:paraId="2A9C3CF3" w14:textId="77777777" w:rsidR="009F33CD" w:rsidRDefault="00E40740">
            <w:pPr>
              <w:spacing w:line="240" w:lineRule="auto"/>
              <w:rPr>
                <w:rFonts w:eastAsia="TimesNewRomanPSMT" w:cs="Times New Roman"/>
                <w:szCs w:val="24"/>
              </w:rPr>
            </w:pPr>
            <w:r>
              <w:rPr>
                <w:rFonts w:eastAsia="TimesNewRomanPSMT" w:cs="Times New Roman"/>
                <w:szCs w:val="24"/>
              </w:rPr>
              <w:t>34.7%</w:t>
            </w:r>
          </w:p>
        </w:tc>
        <w:tc>
          <w:tcPr>
            <w:tcW w:w="443" w:type="pct"/>
          </w:tcPr>
          <w:p w14:paraId="46DB0CF8" w14:textId="77777777" w:rsidR="009F33CD" w:rsidRDefault="00E40740">
            <w:pPr>
              <w:spacing w:line="240" w:lineRule="auto"/>
              <w:rPr>
                <w:rFonts w:eastAsia="TimesNewRomanPSMT" w:cs="Times New Roman"/>
                <w:szCs w:val="24"/>
              </w:rPr>
            </w:pPr>
            <w:r>
              <w:rPr>
                <w:rFonts w:eastAsia="TimesNewRomanPSMT" w:cs="Times New Roman"/>
                <w:szCs w:val="24"/>
              </w:rPr>
              <w:t>46.6%</w:t>
            </w:r>
          </w:p>
        </w:tc>
        <w:tc>
          <w:tcPr>
            <w:tcW w:w="466" w:type="pct"/>
          </w:tcPr>
          <w:p w14:paraId="5C8D6600" w14:textId="77777777" w:rsidR="009F33CD" w:rsidRDefault="00E40740">
            <w:pPr>
              <w:spacing w:line="240" w:lineRule="auto"/>
              <w:rPr>
                <w:rFonts w:eastAsia="TimesNewRomanPSMT" w:cs="Times New Roman"/>
                <w:szCs w:val="24"/>
              </w:rPr>
            </w:pPr>
            <w:r>
              <w:rPr>
                <w:rFonts w:eastAsia="Times New Roman" w:cs="Times New Roman"/>
                <w:bCs/>
                <w:szCs w:val="24"/>
              </w:rPr>
              <w:t>4.21</w:t>
            </w:r>
          </w:p>
        </w:tc>
        <w:tc>
          <w:tcPr>
            <w:tcW w:w="321" w:type="pct"/>
          </w:tcPr>
          <w:p w14:paraId="378EFB06" w14:textId="77777777" w:rsidR="009F33CD" w:rsidRDefault="00E40740">
            <w:pPr>
              <w:spacing w:line="240" w:lineRule="auto"/>
              <w:rPr>
                <w:rFonts w:eastAsia="TimesNewRomanPSMT" w:cs="Times New Roman"/>
                <w:szCs w:val="24"/>
              </w:rPr>
            </w:pPr>
            <w:r>
              <w:rPr>
                <w:rFonts w:eastAsia="Times New Roman" w:cs="Times New Roman"/>
                <w:bCs/>
                <w:szCs w:val="24"/>
              </w:rPr>
              <w:t>0.91</w:t>
            </w:r>
          </w:p>
        </w:tc>
      </w:tr>
      <w:tr w:rsidR="009F33CD" w14:paraId="7234E802" w14:textId="77777777">
        <w:trPr>
          <w:trHeight w:val="74"/>
        </w:trPr>
        <w:tc>
          <w:tcPr>
            <w:tcW w:w="2131" w:type="pct"/>
          </w:tcPr>
          <w:p w14:paraId="690533B1" w14:textId="77777777" w:rsidR="009F33CD" w:rsidRDefault="00E40740">
            <w:pPr>
              <w:spacing w:line="240" w:lineRule="auto"/>
              <w:jc w:val="left"/>
              <w:rPr>
                <w:rFonts w:eastAsia="TimesNewRomanPSMT" w:cs="Times New Roman"/>
                <w:szCs w:val="24"/>
              </w:rPr>
            </w:pPr>
            <w:r>
              <w:rPr>
                <w:rFonts w:eastAsia="TimesNewRomanPSMT" w:cs="Times New Roman"/>
                <w:szCs w:val="24"/>
              </w:rPr>
              <w:t>Green employee resourcing has an effect on performance of this hospital</w:t>
            </w:r>
          </w:p>
        </w:tc>
        <w:tc>
          <w:tcPr>
            <w:tcW w:w="372" w:type="pct"/>
          </w:tcPr>
          <w:p w14:paraId="079CEEB7" w14:textId="77777777" w:rsidR="009F33CD" w:rsidRDefault="00E40740">
            <w:pPr>
              <w:spacing w:line="240" w:lineRule="auto"/>
              <w:rPr>
                <w:rFonts w:eastAsia="TimesNewRomanPSMT" w:cs="Times New Roman"/>
                <w:szCs w:val="24"/>
              </w:rPr>
            </w:pPr>
            <w:r>
              <w:rPr>
                <w:rFonts w:eastAsia="TimesNewRomanPSMT" w:cs="Times New Roman"/>
                <w:szCs w:val="24"/>
              </w:rPr>
              <w:t>1.7%</w:t>
            </w:r>
          </w:p>
        </w:tc>
        <w:tc>
          <w:tcPr>
            <w:tcW w:w="422" w:type="pct"/>
          </w:tcPr>
          <w:p w14:paraId="2A7E8BB1" w14:textId="77777777" w:rsidR="009F33CD" w:rsidRDefault="00E40740">
            <w:pPr>
              <w:spacing w:line="240" w:lineRule="auto"/>
              <w:rPr>
                <w:rFonts w:eastAsia="TimesNewRomanPSMT" w:cs="Times New Roman"/>
                <w:szCs w:val="24"/>
              </w:rPr>
            </w:pPr>
            <w:r>
              <w:rPr>
                <w:rFonts w:eastAsia="TimesNewRomanPSMT" w:cs="Times New Roman"/>
                <w:szCs w:val="24"/>
              </w:rPr>
              <w:t>3.4%</w:t>
            </w:r>
          </w:p>
        </w:tc>
        <w:tc>
          <w:tcPr>
            <w:tcW w:w="422" w:type="pct"/>
          </w:tcPr>
          <w:p w14:paraId="53C1DB64" w14:textId="77777777" w:rsidR="009F33CD" w:rsidRDefault="00E40740">
            <w:pPr>
              <w:spacing w:line="240" w:lineRule="auto"/>
              <w:rPr>
                <w:rFonts w:eastAsia="TimesNewRomanPSMT" w:cs="Times New Roman"/>
                <w:szCs w:val="24"/>
              </w:rPr>
            </w:pPr>
            <w:r>
              <w:rPr>
                <w:rFonts w:eastAsia="TimesNewRomanPSMT" w:cs="Times New Roman"/>
                <w:szCs w:val="24"/>
              </w:rPr>
              <w:t>11%</w:t>
            </w:r>
          </w:p>
        </w:tc>
        <w:tc>
          <w:tcPr>
            <w:tcW w:w="422" w:type="pct"/>
          </w:tcPr>
          <w:p w14:paraId="4F0A8037" w14:textId="77777777" w:rsidR="009F33CD" w:rsidRDefault="00E40740">
            <w:pPr>
              <w:spacing w:line="240" w:lineRule="auto"/>
              <w:rPr>
                <w:rFonts w:eastAsia="TimesNewRomanPSMT" w:cs="Times New Roman"/>
                <w:szCs w:val="24"/>
              </w:rPr>
            </w:pPr>
            <w:r>
              <w:rPr>
                <w:rFonts w:eastAsia="TimesNewRomanPSMT" w:cs="Times New Roman"/>
                <w:szCs w:val="24"/>
              </w:rPr>
              <w:t>45.8%</w:t>
            </w:r>
          </w:p>
        </w:tc>
        <w:tc>
          <w:tcPr>
            <w:tcW w:w="443" w:type="pct"/>
          </w:tcPr>
          <w:p w14:paraId="60E5A59B" w14:textId="77777777" w:rsidR="009F33CD" w:rsidRDefault="00E40740">
            <w:pPr>
              <w:spacing w:line="240" w:lineRule="auto"/>
              <w:rPr>
                <w:rFonts w:eastAsia="TimesNewRomanPSMT" w:cs="Times New Roman"/>
                <w:szCs w:val="24"/>
              </w:rPr>
            </w:pPr>
            <w:r>
              <w:rPr>
                <w:rFonts w:eastAsia="TimesNewRomanPSMT" w:cs="Times New Roman"/>
                <w:szCs w:val="24"/>
              </w:rPr>
              <w:t>38.1%</w:t>
            </w:r>
          </w:p>
        </w:tc>
        <w:tc>
          <w:tcPr>
            <w:tcW w:w="466" w:type="pct"/>
          </w:tcPr>
          <w:p w14:paraId="650F0D2A" w14:textId="77777777" w:rsidR="009F33CD" w:rsidRDefault="00E40740">
            <w:pPr>
              <w:spacing w:line="240" w:lineRule="auto"/>
              <w:rPr>
                <w:rFonts w:eastAsia="TimesNewRomanPSMT" w:cs="Times New Roman"/>
                <w:szCs w:val="24"/>
              </w:rPr>
            </w:pPr>
            <w:r>
              <w:rPr>
                <w:rFonts w:eastAsia="Times New Roman" w:cs="Times New Roman"/>
                <w:bCs/>
                <w:szCs w:val="24"/>
              </w:rPr>
              <w:t>4.15</w:t>
            </w:r>
          </w:p>
        </w:tc>
        <w:tc>
          <w:tcPr>
            <w:tcW w:w="321" w:type="pct"/>
          </w:tcPr>
          <w:p w14:paraId="0D78E6A4" w14:textId="77777777" w:rsidR="009F33CD" w:rsidRDefault="00E40740">
            <w:pPr>
              <w:spacing w:line="240" w:lineRule="auto"/>
              <w:rPr>
                <w:rFonts w:eastAsia="TimesNewRomanPSMT" w:cs="Times New Roman"/>
                <w:szCs w:val="24"/>
              </w:rPr>
            </w:pPr>
            <w:r>
              <w:rPr>
                <w:rFonts w:eastAsia="Times New Roman" w:cs="Times New Roman"/>
                <w:bCs/>
                <w:szCs w:val="24"/>
              </w:rPr>
              <w:t>0.87</w:t>
            </w:r>
          </w:p>
        </w:tc>
      </w:tr>
    </w:tbl>
    <w:p w14:paraId="72B58B09" w14:textId="77777777" w:rsidR="009F33CD" w:rsidRDefault="00300636">
      <w:pPr>
        <w:rPr>
          <w:rFonts w:cs="Times New Roman"/>
          <w:bCs/>
          <w:szCs w:val="24"/>
        </w:rPr>
      </w:pPr>
      <w:r>
        <w:rPr>
          <w:rFonts w:cs="Times New Roman"/>
          <w:bCs/>
          <w:szCs w:val="24"/>
        </w:rPr>
        <w:t>The findings in Table 4.16</w:t>
      </w:r>
      <w:r w:rsidR="00E40740">
        <w:rPr>
          <w:rFonts w:cs="Times New Roman"/>
          <w:bCs/>
          <w:szCs w:val="24"/>
        </w:rPr>
        <w:t xml:space="preserve"> revealed that the Level Five Hospitals</w:t>
      </w:r>
      <w:r w:rsidR="00E40740">
        <w:rPr>
          <w:rFonts w:eastAsia="TimesNewRomanPSMT" w:cs="Times New Roman"/>
          <w:szCs w:val="24"/>
        </w:rPr>
        <w:t xml:space="preserve"> adhere to the policy which guides public service employee resourcing activities</w:t>
      </w:r>
      <w:r w:rsidR="00E40740">
        <w:rPr>
          <w:rFonts w:cs="Times New Roman"/>
          <w:bCs/>
          <w:szCs w:val="24"/>
        </w:rPr>
        <w:t xml:space="preserve"> as the majority of the respondents 86.4% (M=4.25, Sd=0.73) agreed with the statement. </w:t>
      </w:r>
      <w:r w:rsidR="00E40740">
        <w:rPr>
          <w:rFonts w:eastAsia="Calibri" w:cs="Times New Roman"/>
          <w:bCs/>
          <w:color w:val="000000"/>
          <w:szCs w:val="24"/>
        </w:rPr>
        <w:t xml:space="preserve">This implies that County Public Service Board members and managers are properly oriented on public service policy on employment because it enables them to have the ability to project healthcare service green values and determine which job applicant has the needed </w:t>
      </w:r>
      <w:r w:rsidR="00E40740">
        <w:rPr>
          <w:rFonts w:eastAsia="Calibri" w:cs="Times New Roman"/>
          <w:bCs/>
          <w:color w:val="000000"/>
          <w:szCs w:val="24"/>
        </w:rPr>
        <w:lastRenderedPageBreak/>
        <w:t xml:space="preserve">qualifications to work and has environmental knowledge compatible with that of the healthcare service values. This finding is aligned with that of </w:t>
      </w:r>
      <w:r w:rsidR="00E40740">
        <w:rPr>
          <w:color w:val="241F21"/>
        </w:rPr>
        <w:t>Priya and Kamlesh (2016</w:t>
      </w:r>
      <w:r w:rsidR="00E40740">
        <w:rPr>
          <w:rFonts w:eastAsia="TimesNewRomanPSMT"/>
          <w:bCs/>
        </w:rPr>
        <w:t>) who found that in materializing the established environmental policies and practices, companies should put in place an environmentally-oriented workforce</w:t>
      </w:r>
      <w:r w:rsidR="00E40740">
        <w:rPr>
          <w:rFonts w:cs="Times New Roman"/>
          <w:bCs/>
          <w:szCs w:val="24"/>
        </w:rPr>
        <w:t>. Of other respondents, 11.9% were undecided, while the remaining 1.7% disagreed. The respondents who were undecided or disagreed imply that they were not familiar with the policy of the Public Service Board regarding employee resourcing practice.</w:t>
      </w:r>
      <w:r w:rsidR="00E40740">
        <w:rPr>
          <w:rFonts w:eastAsia="Calibri" w:cs="Times New Roman"/>
          <w:bCs/>
          <w:color w:val="000000"/>
          <w:szCs w:val="24"/>
        </w:rPr>
        <w:t xml:space="preserve"> </w:t>
      </w:r>
    </w:p>
    <w:p w14:paraId="39A3D148" w14:textId="77777777" w:rsidR="009F33CD" w:rsidRDefault="00E40740">
      <w:pPr>
        <w:rPr>
          <w:rFonts w:cs="Times New Roman"/>
          <w:bCs/>
          <w:szCs w:val="24"/>
        </w:rPr>
      </w:pPr>
      <w:r>
        <w:rPr>
          <w:rFonts w:cs="Times New Roman"/>
          <w:bCs/>
          <w:szCs w:val="24"/>
        </w:rPr>
        <w:t xml:space="preserve">Regarding the opinions on whether hospitals </w:t>
      </w:r>
      <w:r>
        <w:rPr>
          <w:rFonts w:eastAsia="TimesNewRomanPSMT" w:cs="Times New Roman"/>
          <w:szCs w:val="24"/>
        </w:rPr>
        <w:t xml:space="preserve">advertised job openings on hospital websites with some element of greening, the </w:t>
      </w:r>
      <w:r>
        <w:rPr>
          <w:rFonts w:cs="Times New Roman"/>
          <w:bCs/>
          <w:szCs w:val="24"/>
        </w:rPr>
        <w:t xml:space="preserve">majority of the respondents 83.8% (M=4.22, Sd=0.84) agreed with the statement. This finding implies that when Level Five Hospitals use their websites to advertise job vacancies, </w:t>
      </w:r>
      <w:r>
        <w:rPr>
          <w:rFonts w:cs="Times New Roman"/>
          <w:bCs/>
          <w:szCs w:val="24"/>
          <w:lang w:val="en-US"/>
        </w:rPr>
        <w:t xml:space="preserve">as </w:t>
      </w:r>
      <w:r>
        <w:rPr>
          <w:rFonts w:cs="Times New Roman"/>
          <w:bCs/>
          <w:szCs w:val="24"/>
        </w:rPr>
        <w:t xml:space="preserve">it saves time and resources for staffing employees (recruiters) and in turn increases their job satisfaction for increased performance. Further, advertising jobs or vacancies online with green information attracts a wider pool of environmentally-conscious candidates who align with the hospital’s green goals, while it also leads to reduced costs of printing paper. This practice protects and conserves the work environment for the sustained performance of employees. </w:t>
      </w:r>
      <w:r>
        <w:rPr>
          <w:rFonts w:eastAsia="TimesNewRoman" w:cs="Times New Roman"/>
          <w:bCs/>
          <w:szCs w:val="24"/>
        </w:rPr>
        <w:t xml:space="preserve">This finding concurs with that of Guerci </w:t>
      </w:r>
      <w:r>
        <w:rPr>
          <w:rFonts w:eastAsia="TimesNewRoman" w:cs="Times New Roman"/>
          <w:bCs/>
          <w:i/>
          <w:szCs w:val="24"/>
        </w:rPr>
        <w:t>et al</w:t>
      </w:r>
      <w:r>
        <w:rPr>
          <w:rFonts w:eastAsia="TimesNewRoman" w:cs="Times New Roman"/>
          <w:bCs/>
          <w:szCs w:val="24"/>
        </w:rPr>
        <w:t xml:space="preserve"> (2016) who found that the amount and quality of green information provided on the website of an organization regarding green recruitment practices play a major role in attracting qualified job applicants. </w:t>
      </w:r>
      <w:r>
        <w:rPr>
          <w:rFonts w:cs="Times New Roman"/>
          <w:bCs/>
          <w:szCs w:val="24"/>
        </w:rPr>
        <w:t xml:space="preserve">Of other respondents, 13.6% were undecided, while 3.4% disagreed with the statement. Respondents who disagreed or remained undecided were either unaware or had not properly interacted with the hospital website. </w:t>
      </w:r>
    </w:p>
    <w:p w14:paraId="5CA0781E" w14:textId="77777777" w:rsidR="009F33CD" w:rsidRDefault="00E40740">
      <w:pPr>
        <w:rPr>
          <w:bCs/>
        </w:rPr>
      </w:pPr>
      <w:r>
        <w:rPr>
          <w:rFonts w:cs="Times New Roman"/>
          <w:bCs/>
          <w:szCs w:val="24"/>
        </w:rPr>
        <w:t>The majority of respondents 77.4% (M=4.15, Sd=0.95) agreed that job applications at the Level Five hospitals are invited through emails, and other online forms thus reducing paperwork. This finding implies that when prospective employees prepare their Job application documents and apply through online mediums to the recruiting department or prospective employer. Therefore, time and resources are saved, the cost of printing paper and travel is reduced and this boosts employee morale who apply for promotions through online mediums.</w:t>
      </w:r>
      <w:r>
        <w:rPr>
          <w:bCs/>
        </w:rPr>
        <w:t xml:space="preserve"> The findings agree with Mishra (2017) who stated that the best HR practice in greening a company is the use of online applications to reduce paper usage and costs through computerized human resource information </w:t>
      </w:r>
      <w:r>
        <w:rPr>
          <w:bCs/>
        </w:rPr>
        <w:lastRenderedPageBreak/>
        <w:t xml:space="preserve">systems, and applicant tracking systems that streamline hiring efforts. </w:t>
      </w:r>
      <w:r>
        <w:rPr>
          <w:rFonts w:cs="Times New Roman"/>
          <w:bCs/>
          <w:szCs w:val="24"/>
        </w:rPr>
        <w:t xml:space="preserve">Of other respondents, 17.8% were undecided, and 5.1% disagreed with the statement either because their applications were not received through emails or they were unaware. </w:t>
      </w:r>
    </w:p>
    <w:p w14:paraId="132D033F" w14:textId="77777777" w:rsidR="009F33CD" w:rsidRDefault="00E40740">
      <w:pPr>
        <w:rPr>
          <w:rFonts w:eastAsia="Calibri" w:cs="Times New Roman"/>
          <w:color w:val="000000"/>
          <w:szCs w:val="24"/>
        </w:rPr>
      </w:pPr>
      <w:r>
        <w:rPr>
          <w:rFonts w:eastAsia="Calibri" w:cs="Times New Roman"/>
          <w:color w:val="000000"/>
          <w:szCs w:val="24"/>
        </w:rPr>
        <w:t xml:space="preserve">According to the study findings, the majority of the respondents 63.6% (M=3.58, Sd=1.34) agreed that hospitals improve their performance by conducting online video interviews. This finding suggests that conducting online video interviews saves time and resources, leading to more efficient hiring processes. This allows HR teams to focus more on selecting the best-fit candidates, potentially improving overall employee performance. This indicates that Level Five hospitals adopting eco-friendly and cost-saving processes particularly the use of technology in the employee resourcing process can reduce environmental pollution thus protecting the employee's health. Additionally, the adoption of digital technology in recruitment and selection reduces paperwork and other natural resources when advertising job vacancies on hospital websites, receiving online applications, interviewing candidates through webcams, checking references, releasing job offer letters, and drawing up contract of employment </w:t>
      </w:r>
      <w:r>
        <w:rPr>
          <w:rFonts w:eastAsia="Calibri" w:cs="Times New Roman"/>
          <w:szCs w:val="24"/>
        </w:rPr>
        <w:t>letters online</w:t>
      </w:r>
      <w:r>
        <w:rPr>
          <w:rFonts w:eastAsia="Calibri" w:cs="Times New Roman"/>
          <w:color w:val="000000"/>
          <w:szCs w:val="24"/>
        </w:rPr>
        <w:t xml:space="preserve">. This study finding concurs with </w:t>
      </w:r>
      <w:r>
        <w:rPr>
          <w:rFonts w:eastAsia="TimesNewRomanPSMT"/>
          <w:bCs/>
        </w:rPr>
        <w:t xml:space="preserve">Ragas </w:t>
      </w:r>
      <w:r>
        <w:rPr>
          <w:rFonts w:eastAsia="TimesNewRomanPSMT"/>
          <w:bCs/>
          <w:i/>
          <w:iCs/>
        </w:rPr>
        <w:t>et al</w:t>
      </w:r>
      <w:r>
        <w:rPr>
          <w:rFonts w:eastAsia="TimesNewRomanPSMT"/>
          <w:bCs/>
        </w:rPr>
        <w:t xml:space="preserve"> (2017) who asserted that the process of recruitment can assist firms in producing effective performance including performance related to the environment. Further, t</w:t>
      </w:r>
      <w:r>
        <w:rPr>
          <w:rFonts w:eastAsia="Calibri" w:cs="Times New Roman"/>
          <w:color w:val="000000"/>
          <w:szCs w:val="24"/>
        </w:rPr>
        <w:t xml:space="preserve">hese results agreed with the findings of </w:t>
      </w:r>
      <w:bookmarkStart w:id="1180" w:name="_Hlk174876927"/>
      <w:r>
        <w:t>Mishra (2017)</w:t>
      </w:r>
      <w:bookmarkEnd w:id="1180"/>
      <w:r>
        <w:rPr>
          <w:rFonts w:eastAsia="TimesNewRomanPSMT"/>
          <w:bCs/>
        </w:rPr>
        <w:t xml:space="preserve"> </w:t>
      </w:r>
      <w:r>
        <w:rPr>
          <w:rFonts w:eastAsia="TimesNewRomanPSMT"/>
          <w:bCs/>
          <w:lang w:val="en-US"/>
        </w:rPr>
        <w:t xml:space="preserve">who </w:t>
      </w:r>
      <w:r>
        <w:rPr>
          <w:rFonts w:eastAsia="TimesNewRomanPSMT"/>
          <w:bCs/>
        </w:rPr>
        <w:t>suggested that g</w:t>
      </w:r>
      <w:r>
        <w:t>reen activities which comprise online recruiting and the use of online and video interviews were meant to reduce paper usage and minimize the travel requirements of job candidates</w:t>
      </w:r>
      <w:r>
        <w:rPr>
          <w:bCs/>
        </w:rPr>
        <w:t xml:space="preserve">. </w:t>
      </w:r>
      <w:r>
        <w:rPr>
          <w:rFonts w:eastAsia="Calibri" w:cs="Times New Roman"/>
          <w:szCs w:val="24"/>
        </w:rPr>
        <w:t>Of other respondents</w:t>
      </w:r>
      <w:r>
        <w:rPr>
          <w:rFonts w:eastAsia="Calibri" w:cs="Times New Roman"/>
          <w:color w:val="000000"/>
          <w:szCs w:val="24"/>
        </w:rPr>
        <w:t xml:space="preserve">, 11.9% were undecided, and 24.6% disagreed implying a lack of knowledge and interaction with the current recruiting and selection methods. </w:t>
      </w:r>
    </w:p>
    <w:p w14:paraId="40E25464" w14:textId="77777777" w:rsidR="009F33CD" w:rsidRDefault="00E40740">
      <w:pPr>
        <w:rPr>
          <w:rFonts w:cs="Times New Roman"/>
          <w:bCs/>
          <w:szCs w:val="24"/>
        </w:rPr>
      </w:pPr>
      <w:r>
        <w:rPr>
          <w:rFonts w:eastAsia="Calibri" w:cs="Times New Roman"/>
          <w:color w:val="000000"/>
          <w:szCs w:val="24"/>
        </w:rPr>
        <w:t xml:space="preserve">Additionally, the majority of the respondents 74.5% (M=4.03, Sd=0.94) agreed that hospitals do include environmental awareness as a criterion in their employee selection process. This result implies that a new employee who has environmental management knowledge and commitment exhibits green behaviour that supports the sustainable use of resources for organizational performance. </w:t>
      </w:r>
      <w:r>
        <w:rPr>
          <w:bCs/>
        </w:rPr>
        <w:t xml:space="preserve">This finding is supported by Masri and Jaaron (2017) who alluded that a job applicant’s overall suitability criteria for the job should be based on the candidate’s green qualifications. </w:t>
      </w:r>
      <w:r>
        <w:rPr>
          <w:rFonts w:cs="Times New Roman"/>
        </w:rPr>
        <w:t xml:space="preserve">The finding, also, agrees with that of </w:t>
      </w:r>
      <w:r>
        <w:rPr>
          <w:rFonts w:cs="Times New Roman"/>
          <w:bCs/>
        </w:rPr>
        <w:t xml:space="preserve">Tang </w:t>
      </w:r>
      <w:r>
        <w:rPr>
          <w:rFonts w:cs="Times New Roman"/>
          <w:bCs/>
          <w:i/>
        </w:rPr>
        <w:t>et al</w:t>
      </w:r>
      <w:r>
        <w:rPr>
          <w:rFonts w:cs="Times New Roman"/>
          <w:bCs/>
        </w:rPr>
        <w:t xml:space="preserve"> (2018) who opine that GHRM can enhance the green skills of </w:t>
      </w:r>
      <w:r>
        <w:rPr>
          <w:rFonts w:cs="Times New Roman"/>
          <w:bCs/>
        </w:rPr>
        <w:lastRenderedPageBreak/>
        <w:t xml:space="preserve">workers by recruiting individuals who have an awareness of environmental protection and motivation to engage in green initiatives and activities. </w:t>
      </w:r>
      <w:r>
        <w:rPr>
          <w:rFonts w:eastAsia="Calibri" w:cs="Times New Roman"/>
          <w:color w:val="000000"/>
          <w:szCs w:val="24"/>
        </w:rPr>
        <w:t>Another, 17.8% were undecided, and 7.6% disagreed.</w:t>
      </w:r>
      <w:r>
        <w:rPr>
          <w:bCs/>
        </w:rPr>
        <w:t xml:space="preserve"> </w:t>
      </w:r>
      <w:r>
        <w:rPr>
          <w:rFonts w:eastAsia="Calibri" w:cs="Times New Roman"/>
          <w:bCs/>
          <w:color w:val="000000"/>
          <w:szCs w:val="24"/>
        </w:rPr>
        <w:t xml:space="preserve">This finding of a small segment of undecided and disagreed respondents implies that they were either unsure or </w:t>
      </w:r>
      <w:r w:rsidR="001C3D4C">
        <w:rPr>
          <w:rFonts w:eastAsia="Calibri" w:cs="Times New Roman"/>
          <w:bCs/>
          <w:color w:val="000000"/>
          <w:szCs w:val="24"/>
        </w:rPr>
        <w:t>sceptical</w:t>
      </w:r>
      <w:r>
        <w:rPr>
          <w:rFonts w:eastAsia="Calibri" w:cs="Times New Roman"/>
          <w:bCs/>
          <w:color w:val="000000"/>
          <w:szCs w:val="24"/>
        </w:rPr>
        <w:t xml:space="preserve"> about the statement, which could be addressed through targeted initiatives to increase awareness and engagement.</w:t>
      </w:r>
      <w:r>
        <w:rPr>
          <w:rFonts w:eastAsia="Calibri" w:cs="Times New Roman"/>
          <w:color w:val="000000"/>
          <w:szCs w:val="24"/>
        </w:rPr>
        <w:t xml:space="preserve"> This study's findings, however, contrast with a study </w:t>
      </w:r>
      <w:r>
        <w:rPr>
          <w:rFonts w:cs="Times New Roman"/>
          <w:bCs/>
          <w:szCs w:val="24"/>
        </w:rPr>
        <w:t xml:space="preserve">conducted by Langat and Kwasira (2016) who found that recruitment of employees at Kenyatta University did not include green issues and, therefore, the employees had little involvement in environmental issues. </w:t>
      </w:r>
    </w:p>
    <w:p w14:paraId="45CC4543" w14:textId="77777777" w:rsidR="009F33CD" w:rsidRDefault="00E40740">
      <w:pPr>
        <w:rPr>
          <w:rFonts w:eastAsia="Calibri" w:cs="Times New Roman"/>
          <w:color w:val="000000"/>
          <w:szCs w:val="24"/>
        </w:rPr>
      </w:pPr>
      <w:r>
        <w:rPr>
          <w:rFonts w:eastAsia="Calibri" w:cs="Times New Roman"/>
          <w:color w:val="000000"/>
          <w:szCs w:val="24"/>
        </w:rPr>
        <w:t>Further, the majority of the respondents, 81.3% (M=4.21, Sd=0.91), agreed with the statement that hospitals filled job vacancies in devolved healthcare by hiring employees who contributed to environmental management.</w:t>
      </w:r>
      <w:r>
        <w:rPr>
          <w:rFonts w:eastAsia="Calibri" w:cs="Times New Roman"/>
          <w:color w:val="000000"/>
          <w:szCs w:val="24"/>
          <w:lang w:val="en-US"/>
        </w:rPr>
        <w:t xml:space="preserve"> </w:t>
      </w:r>
      <w:r>
        <w:rPr>
          <w:rFonts w:eastAsia="Calibri" w:cs="Times New Roman"/>
          <w:color w:val="000000"/>
          <w:szCs w:val="24"/>
        </w:rPr>
        <w:t>This result implies that acquiring green employees will help organizations have more human resources that are the source of competitive advantage for better organizational performance as noted by resource-based theory. This is further supported by Mwita and Kinemo (2018) who opine that green employee resourcing is crucial in ensuring that firms have human resources with sufficient green knowledge and skills that cannot be imitated by rival firms. Other respondents, 12.7% were undecided, and 5.9% disagreed, with the statement.</w:t>
      </w:r>
      <w:r>
        <w:rPr>
          <w:bCs/>
        </w:rPr>
        <w:t xml:space="preserve"> </w:t>
      </w:r>
      <w:r>
        <w:rPr>
          <w:rFonts w:eastAsia="Calibri" w:cs="Times New Roman"/>
          <w:bCs/>
          <w:color w:val="000000"/>
          <w:szCs w:val="24"/>
        </w:rPr>
        <w:t xml:space="preserve">This finding of a small segment of undecided and disagreed respondents implies that they are either unsure or </w:t>
      </w:r>
      <w:r w:rsidR="001C3D4C">
        <w:rPr>
          <w:rFonts w:eastAsia="Calibri" w:cs="Times New Roman"/>
          <w:bCs/>
          <w:color w:val="000000"/>
          <w:szCs w:val="24"/>
        </w:rPr>
        <w:t>sceptical</w:t>
      </w:r>
      <w:r>
        <w:rPr>
          <w:rFonts w:eastAsia="Calibri" w:cs="Times New Roman"/>
          <w:bCs/>
          <w:color w:val="000000"/>
          <w:szCs w:val="24"/>
        </w:rPr>
        <w:t xml:space="preserve"> about the statement and this could be addressed through targeted initiatives to increase awareness and engagement.</w:t>
      </w:r>
    </w:p>
    <w:p w14:paraId="4889F960" w14:textId="77777777" w:rsidR="009F33CD" w:rsidRDefault="00E40740">
      <w:pPr>
        <w:rPr>
          <w:rFonts w:eastAsia="TimesNewRomanPSMT" w:cs="Times New Roman"/>
          <w:sz w:val="22"/>
          <w:szCs w:val="22"/>
        </w:rPr>
      </w:pPr>
      <w:r>
        <w:rPr>
          <w:rFonts w:eastAsia="Calibri" w:cs="Times New Roman"/>
          <w:color w:val="000000"/>
          <w:szCs w:val="24"/>
        </w:rPr>
        <w:t xml:space="preserve">Finally, the majority of the respondents, 83.9% (M=4.15, Sd=0.87), agreed with the statement that green employee resourcing affects employee performance </w:t>
      </w:r>
      <w:r>
        <w:rPr>
          <w:rFonts w:eastAsia="Calibri" w:cs="Times New Roman"/>
          <w:color w:val="000000"/>
          <w:szCs w:val="24"/>
          <w:lang w:val="en-US"/>
        </w:rPr>
        <w:t xml:space="preserve">at </w:t>
      </w:r>
      <w:r>
        <w:rPr>
          <w:rFonts w:eastAsia="Calibri" w:cs="Times New Roman"/>
          <w:color w:val="000000"/>
          <w:szCs w:val="24"/>
        </w:rPr>
        <w:t>the Level Five hospital. This finding reveals that a</w:t>
      </w:r>
      <w:r>
        <w:rPr>
          <w:rFonts w:eastAsia="TimesNewRomanPSMT" w:cs="Times New Roman"/>
          <w:szCs w:val="24"/>
        </w:rPr>
        <w:t xml:space="preserve">ttracting and hiring a qualified employee who is aware of the environmental culture of the hospital and placing that employee in the right job maintains environmental values and increases the employee’s performance including performance related to the environment </w:t>
      </w:r>
      <w:r>
        <w:rPr>
          <w:rFonts w:eastAsia="TimesNewRomanPSMT" w:cs="Times New Roman"/>
          <w:sz w:val="22"/>
          <w:szCs w:val="22"/>
        </w:rPr>
        <w:t>(</w:t>
      </w:r>
      <w:r>
        <w:rPr>
          <w:rFonts w:cs="Times New Roman"/>
          <w:bCs/>
          <w:sz w:val="22"/>
          <w:szCs w:val="22"/>
        </w:rPr>
        <w:t>Tareq &amp; Rosima, 2015)</w:t>
      </w:r>
      <w:r>
        <w:rPr>
          <w:rFonts w:eastAsia="TimesNewRomanPSMT" w:cs="Times New Roman"/>
          <w:szCs w:val="24"/>
        </w:rPr>
        <w:t>.</w:t>
      </w:r>
      <w:r>
        <w:rPr>
          <w:rFonts w:eastAsia="TimesNewRomanPSMT" w:cs="Times New Roman"/>
          <w:sz w:val="22"/>
          <w:szCs w:val="22"/>
        </w:rPr>
        <w:t xml:space="preserve"> These results align with a study by </w:t>
      </w:r>
      <w:r>
        <w:rPr>
          <w:rFonts w:eastAsia="TimesNewRomanPSMT" w:cs="Times New Roman"/>
          <w:bCs/>
          <w:sz w:val="22"/>
          <w:szCs w:val="22"/>
        </w:rPr>
        <w:t xml:space="preserve">Huma </w:t>
      </w:r>
      <w:r>
        <w:rPr>
          <w:rFonts w:eastAsia="TimesNewRomanPSMT" w:cs="Times New Roman"/>
          <w:bCs/>
          <w:i/>
          <w:sz w:val="22"/>
          <w:szCs w:val="22"/>
        </w:rPr>
        <w:t>et al.</w:t>
      </w:r>
      <w:r>
        <w:rPr>
          <w:rFonts w:eastAsia="TimesNewRomanPSMT" w:cs="Times New Roman"/>
          <w:bCs/>
          <w:sz w:val="22"/>
          <w:szCs w:val="22"/>
        </w:rPr>
        <w:t xml:space="preserve"> (2017) who found that green HRM practices had a positive influence on job seekers’ attraction and employer good reputation.</w:t>
      </w:r>
      <w:r>
        <w:rPr>
          <w:rFonts w:eastAsia="TimesNewRomanPSMT" w:cs="Times New Roman"/>
          <w:sz w:val="22"/>
          <w:szCs w:val="22"/>
        </w:rPr>
        <w:t xml:space="preserve"> </w:t>
      </w:r>
      <w:r>
        <w:rPr>
          <w:rFonts w:cs="Times New Roman"/>
          <w:szCs w:val="24"/>
        </w:rPr>
        <w:t xml:space="preserve">Each employee's green performance usually leads to group green performance which is referred to as organization green performance (Arulrajah </w:t>
      </w:r>
      <w:r>
        <w:rPr>
          <w:rFonts w:cs="Times New Roman"/>
          <w:i/>
          <w:szCs w:val="24"/>
        </w:rPr>
        <w:t>et al.,</w:t>
      </w:r>
      <w:r>
        <w:rPr>
          <w:rFonts w:cs="Times New Roman"/>
          <w:szCs w:val="24"/>
        </w:rPr>
        <w:t xml:space="preserve"> 2016). </w:t>
      </w:r>
      <w:r>
        <w:rPr>
          <w:rFonts w:eastAsia="Calibri" w:cs="Times New Roman"/>
          <w:color w:val="000000"/>
          <w:szCs w:val="24"/>
        </w:rPr>
        <w:t xml:space="preserve">This result aligns with </w:t>
      </w:r>
      <w:r>
        <w:rPr>
          <w:bCs/>
        </w:rPr>
        <w:t xml:space="preserve">Mwita </w:t>
      </w:r>
      <w:r>
        <w:rPr>
          <w:bCs/>
        </w:rPr>
        <w:lastRenderedPageBreak/>
        <w:t>and Kinemo (2018) who found the existence of a positively linear relationship between green recruiting, selection, and performance of firms. T</w:t>
      </w:r>
      <w:r>
        <w:rPr>
          <w:rFonts w:eastAsia="Calibri" w:cs="Times New Roman"/>
          <w:bCs/>
          <w:color w:val="000000"/>
          <w:szCs w:val="24"/>
        </w:rPr>
        <w:t xml:space="preserve">his finding is in line with Sharifa and Mohammed (2019) whose study revealed that green hiring and green training and involvement had the most effect on sustainable performance. </w:t>
      </w:r>
      <w:r>
        <w:rPr>
          <w:rFonts w:eastAsia="Calibri" w:cs="Times New Roman"/>
          <w:color w:val="000000"/>
          <w:szCs w:val="24"/>
        </w:rPr>
        <w:t xml:space="preserve">Further, this study result concurs with </w:t>
      </w:r>
      <w:r>
        <w:rPr>
          <w:rFonts w:eastAsia="Times New Roman" w:cs="Times New Roman"/>
          <w:szCs w:val="24"/>
        </w:rPr>
        <w:t>Okeyo and Ragui (2017) who noted that effective execution of green recruitment strategies and development can help companies improve their environmental reputation, reinforce their key abilities, and attain greater efficiency, resulting in long-term organizational sustainability</w:t>
      </w:r>
      <w:r>
        <w:rPr>
          <w:rFonts w:eastAsia="Calibri" w:cs="Times New Roman"/>
          <w:color w:val="000000"/>
          <w:szCs w:val="24"/>
        </w:rPr>
        <w:t>.</w:t>
      </w:r>
      <w:r>
        <w:rPr>
          <w:bCs/>
        </w:rPr>
        <w:t xml:space="preserve"> </w:t>
      </w:r>
      <w:r>
        <w:rPr>
          <w:rFonts w:eastAsia="Calibri" w:cs="Times New Roman"/>
          <w:color w:val="000000"/>
          <w:szCs w:val="24"/>
        </w:rPr>
        <w:t xml:space="preserve">This implies that Level Five Hospitals should vigorously use green employee resourcing for enhanced performance. Other respondents, 11% were undecided, and 5.1% disagreed, with the statement. This category of employees who were undecided or disagreed implies that they were not aware of the phenomenon under study. </w:t>
      </w:r>
    </w:p>
    <w:p w14:paraId="7030B023" w14:textId="77777777" w:rsidR="009F33CD" w:rsidRDefault="00E40740">
      <w:pPr>
        <w:spacing w:before="240" w:after="240"/>
      </w:pPr>
      <w:r>
        <w:t>Respondents were also asked to suggest possible ways in which green employee resourcing practices can be improved in devolved healthcare services. A total of thirty-five (35) respondents made suggestions that were arranged in themes, analy</w:t>
      </w:r>
      <w:r w:rsidR="00300636">
        <w:t>zed, and presented in Table 4.17</w:t>
      </w:r>
      <w:r>
        <w:t>.</w:t>
      </w:r>
    </w:p>
    <w:p w14:paraId="16E22DDF" w14:textId="77777777" w:rsidR="009F33CD" w:rsidRDefault="000748E0">
      <w:pPr>
        <w:pStyle w:val="Heading6"/>
      </w:pPr>
      <w:bookmarkStart w:id="1181" w:name="_Toc165623619"/>
      <w:bookmarkStart w:id="1182" w:name="_Toc178942652"/>
      <w:bookmarkStart w:id="1183" w:name="_Toc185614101"/>
      <w:bookmarkStart w:id="1184" w:name="_Toc165626400"/>
      <w:bookmarkStart w:id="1185" w:name="_Toc147946905"/>
      <w:bookmarkStart w:id="1186" w:name="_Toc178945062"/>
      <w:bookmarkStart w:id="1187" w:name="_Toc147950244"/>
      <w:bookmarkStart w:id="1188" w:name="_Toc178944310"/>
      <w:bookmarkStart w:id="1189" w:name="_Toc187080873"/>
      <w:bookmarkStart w:id="1190" w:name="_Toc224237446"/>
      <w:r>
        <w:t>Table 4.17</w:t>
      </w:r>
      <w:r w:rsidR="00E40740">
        <w:t>: Suggestions for Improvement of Green Employee Resourcing Practice</w:t>
      </w:r>
      <w:bookmarkEnd w:id="1181"/>
      <w:bookmarkEnd w:id="1182"/>
      <w:bookmarkEnd w:id="1183"/>
      <w:bookmarkEnd w:id="1184"/>
      <w:bookmarkEnd w:id="1185"/>
      <w:bookmarkEnd w:id="1186"/>
      <w:bookmarkEnd w:id="1187"/>
      <w:bookmarkEnd w:id="1188"/>
      <w:bookmarkEnd w:id="1189"/>
      <w:bookmarkEnd w:id="1190"/>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904"/>
        <w:gridCol w:w="2043"/>
        <w:gridCol w:w="1253"/>
        <w:gridCol w:w="20"/>
      </w:tblGrid>
      <w:tr w:rsidR="009F33CD" w14:paraId="513DB297" w14:textId="77777777" w:rsidTr="00300636">
        <w:trPr>
          <w:cantSplit/>
          <w:trHeight w:val="71"/>
        </w:trPr>
        <w:tc>
          <w:tcPr>
            <w:tcW w:w="2983" w:type="pct"/>
            <w:tcBorders>
              <w:top w:val="single" w:sz="4" w:space="0" w:color="auto"/>
              <w:bottom w:val="single" w:sz="4" w:space="0" w:color="auto"/>
            </w:tcBorders>
            <w:shd w:val="clear" w:color="auto" w:fill="FFFFFF"/>
          </w:tcPr>
          <w:p w14:paraId="7E0680ED" w14:textId="77777777" w:rsidR="009F33CD" w:rsidRDefault="00E40740">
            <w:pPr>
              <w:spacing w:after="240" w:line="240" w:lineRule="auto"/>
              <w:rPr>
                <w:b/>
                <w:bCs/>
              </w:rPr>
            </w:pPr>
            <w:r>
              <w:rPr>
                <w:b/>
                <w:bCs/>
              </w:rPr>
              <w:t>Responses</w:t>
            </w:r>
          </w:p>
        </w:tc>
        <w:tc>
          <w:tcPr>
            <w:tcW w:w="1243" w:type="pct"/>
            <w:tcBorders>
              <w:top w:val="single" w:sz="4" w:space="0" w:color="auto"/>
              <w:bottom w:val="single" w:sz="4" w:space="0" w:color="auto"/>
            </w:tcBorders>
            <w:shd w:val="clear" w:color="auto" w:fill="FFFFFF"/>
          </w:tcPr>
          <w:p w14:paraId="5A8CF7C9" w14:textId="77777777" w:rsidR="009F33CD" w:rsidRDefault="00E40740" w:rsidP="00300636">
            <w:pPr>
              <w:spacing w:after="240" w:line="240" w:lineRule="auto"/>
              <w:jc w:val="center"/>
              <w:rPr>
                <w:b/>
                <w:bCs/>
              </w:rPr>
            </w:pPr>
            <w:r>
              <w:rPr>
                <w:b/>
                <w:bCs/>
              </w:rPr>
              <w:t>Frequency</w:t>
            </w:r>
          </w:p>
        </w:tc>
        <w:tc>
          <w:tcPr>
            <w:tcW w:w="774" w:type="pct"/>
            <w:gridSpan w:val="2"/>
            <w:tcBorders>
              <w:top w:val="single" w:sz="4" w:space="0" w:color="auto"/>
              <w:bottom w:val="single" w:sz="4" w:space="0" w:color="auto"/>
            </w:tcBorders>
            <w:shd w:val="clear" w:color="auto" w:fill="FFFFFF"/>
          </w:tcPr>
          <w:p w14:paraId="6D0AC53D" w14:textId="77777777" w:rsidR="009F33CD" w:rsidRDefault="00E40740" w:rsidP="00300636">
            <w:pPr>
              <w:spacing w:after="240" w:line="240" w:lineRule="auto"/>
              <w:jc w:val="center"/>
              <w:rPr>
                <w:b/>
                <w:bCs/>
              </w:rPr>
            </w:pPr>
            <w:r>
              <w:rPr>
                <w:b/>
                <w:bCs/>
              </w:rPr>
              <w:t>Percentage</w:t>
            </w:r>
          </w:p>
        </w:tc>
      </w:tr>
      <w:tr w:rsidR="009F33CD" w14:paraId="6B274A60" w14:textId="77777777" w:rsidTr="00300636">
        <w:trPr>
          <w:gridAfter w:val="1"/>
          <w:wAfter w:w="12" w:type="pct"/>
          <w:cantSplit/>
          <w:trHeight w:val="770"/>
        </w:trPr>
        <w:tc>
          <w:tcPr>
            <w:tcW w:w="2983" w:type="pct"/>
            <w:tcBorders>
              <w:top w:val="single" w:sz="4" w:space="0" w:color="auto"/>
            </w:tcBorders>
            <w:shd w:val="clear" w:color="auto" w:fill="FFFFFF"/>
            <w:vAlign w:val="center"/>
          </w:tcPr>
          <w:p w14:paraId="46F92764" w14:textId="77777777" w:rsidR="009F33CD" w:rsidRDefault="00E40740">
            <w:pPr>
              <w:spacing w:after="240" w:line="240" w:lineRule="auto"/>
              <w:rPr>
                <w:bCs/>
              </w:rPr>
            </w:pPr>
            <w:r>
              <w:rPr>
                <w:bCs/>
              </w:rPr>
              <w:t xml:space="preserve">Make green awareness information mandatory in job advertisements, interviews, and selection not only for clinicians but also for administrative employees. </w:t>
            </w:r>
          </w:p>
        </w:tc>
        <w:tc>
          <w:tcPr>
            <w:tcW w:w="1243" w:type="pct"/>
            <w:tcBorders>
              <w:top w:val="single" w:sz="4" w:space="0" w:color="auto"/>
            </w:tcBorders>
            <w:shd w:val="clear" w:color="auto" w:fill="FFFFFF"/>
          </w:tcPr>
          <w:p w14:paraId="5F690DAE" w14:textId="77777777" w:rsidR="009F33CD" w:rsidRDefault="00E40740" w:rsidP="00300636">
            <w:pPr>
              <w:spacing w:after="240" w:line="240" w:lineRule="auto"/>
              <w:jc w:val="center"/>
              <w:rPr>
                <w:bCs/>
              </w:rPr>
            </w:pPr>
            <w:r>
              <w:rPr>
                <w:bCs/>
              </w:rPr>
              <w:t>17</w:t>
            </w:r>
          </w:p>
        </w:tc>
        <w:tc>
          <w:tcPr>
            <w:tcW w:w="762" w:type="pct"/>
            <w:tcBorders>
              <w:top w:val="single" w:sz="4" w:space="0" w:color="auto"/>
            </w:tcBorders>
            <w:shd w:val="clear" w:color="auto" w:fill="FFFFFF"/>
          </w:tcPr>
          <w:p w14:paraId="5C3EAAB2" w14:textId="77777777" w:rsidR="009F33CD" w:rsidRDefault="00E40740" w:rsidP="00300636">
            <w:pPr>
              <w:spacing w:after="240" w:line="240" w:lineRule="auto"/>
              <w:jc w:val="center"/>
              <w:rPr>
                <w:bCs/>
              </w:rPr>
            </w:pPr>
            <w:r>
              <w:rPr>
                <w:bCs/>
              </w:rPr>
              <w:t>48.6</w:t>
            </w:r>
          </w:p>
        </w:tc>
      </w:tr>
      <w:tr w:rsidR="009F33CD" w14:paraId="662DD921" w14:textId="77777777" w:rsidTr="00300636">
        <w:trPr>
          <w:gridAfter w:val="1"/>
          <w:wAfter w:w="12" w:type="pct"/>
          <w:cantSplit/>
          <w:trHeight w:val="801"/>
        </w:trPr>
        <w:tc>
          <w:tcPr>
            <w:tcW w:w="2983" w:type="pct"/>
            <w:shd w:val="clear" w:color="auto" w:fill="FFFFFF"/>
            <w:vAlign w:val="center"/>
          </w:tcPr>
          <w:p w14:paraId="5D5D2B4D" w14:textId="77777777" w:rsidR="009F33CD" w:rsidRDefault="00E40740">
            <w:pPr>
              <w:spacing w:after="240" w:line="240" w:lineRule="auto"/>
              <w:rPr>
                <w:bCs/>
              </w:rPr>
            </w:pPr>
            <w:r>
              <w:rPr>
                <w:bCs/>
              </w:rPr>
              <w:t xml:space="preserve">Level Five hospital should buy eco-friendly electronic equipment that save energy and expand intranet to reduce paper use in service provision. </w:t>
            </w:r>
          </w:p>
        </w:tc>
        <w:tc>
          <w:tcPr>
            <w:tcW w:w="1243" w:type="pct"/>
            <w:shd w:val="clear" w:color="auto" w:fill="FFFFFF"/>
          </w:tcPr>
          <w:p w14:paraId="5A530E80" w14:textId="77777777" w:rsidR="009F33CD" w:rsidRDefault="00E40740" w:rsidP="00300636">
            <w:pPr>
              <w:spacing w:after="240" w:line="240" w:lineRule="auto"/>
              <w:jc w:val="center"/>
              <w:rPr>
                <w:bCs/>
              </w:rPr>
            </w:pPr>
            <w:r>
              <w:rPr>
                <w:bCs/>
              </w:rPr>
              <w:t>12</w:t>
            </w:r>
          </w:p>
        </w:tc>
        <w:tc>
          <w:tcPr>
            <w:tcW w:w="762" w:type="pct"/>
            <w:shd w:val="clear" w:color="auto" w:fill="FFFFFF"/>
          </w:tcPr>
          <w:p w14:paraId="3F60230F" w14:textId="77777777" w:rsidR="009F33CD" w:rsidRDefault="00E40740" w:rsidP="00300636">
            <w:pPr>
              <w:spacing w:after="240" w:line="240" w:lineRule="auto"/>
              <w:jc w:val="center"/>
              <w:rPr>
                <w:bCs/>
              </w:rPr>
            </w:pPr>
            <w:r>
              <w:rPr>
                <w:bCs/>
              </w:rPr>
              <w:t>34.3</w:t>
            </w:r>
          </w:p>
        </w:tc>
      </w:tr>
      <w:tr w:rsidR="009F33CD" w14:paraId="26EC66A8" w14:textId="77777777" w:rsidTr="00300636">
        <w:trPr>
          <w:gridAfter w:val="1"/>
          <w:wAfter w:w="12" w:type="pct"/>
          <w:cantSplit/>
          <w:trHeight w:val="427"/>
        </w:trPr>
        <w:tc>
          <w:tcPr>
            <w:tcW w:w="2983" w:type="pct"/>
            <w:tcBorders>
              <w:bottom w:val="nil"/>
            </w:tcBorders>
            <w:shd w:val="clear" w:color="auto" w:fill="FFFFFF"/>
          </w:tcPr>
          <w:p w14:paraId="07EFA94C" w14:textId="77777777" w:rsidR="009F33CD" w:rsidRDefault="00E40740">
            <w:pPr>
              <w:spacing w:after="240" w:line="240" w:lineRule="auto"/>
              <w:rPr>
                <w:bCs/>
              </w:rPr>
            </w:pPr>
            <w:r>
              <w:rPr>
                <w:rFonts w:eastAsia="Calibri"/>
                <w:szCs w:val="24"/>
              </w:rPr>
              <w:t>Management to embrace online job applications and video interviews through zoom and webinar.</w:t>
            </w:r>
          </w:p>
        </w:tc>
        <w:tc>
          <w:tcPr>
            <w:tcW w:w="1243" w:type="pct"/>
            <w:tcBorders>
              <w:bottom w:val="nil"/>
            </w:tcBorders>
            <w:shd w:val="clear" w:color="auto" w:fill="FFFFFF"/>
          </w:tcPr>
          <w:p w14:paraId="103E8814" w14:textId="77777777" w:rsidR="009F33CD" w:rsidRDefault="00E40740" w:rsidP="00300636">
            <w:pPr>
              <w:spacing w:after="240" w:line="240" w:lineRule="auto"/>
              <w:jc w:val="center"/>
              <w:rPr>
                <w:bCs/>
              </w:rPr>
            </w:pPr>
            <w:r>
              <w:rPr>
                <w:bCs/>
              </w:rPr>
              <w:t>6</w:t>
            </w:r>
          </w:p>
        </w:tc>
        <w:tc>
          <w:tcPr>
            <w:tcW w:w="762" w:type="pct"/>
            <w:tcBorders>
              <w:bottom w:val="nil"/>
            </w:tcBorders>
            <w:shd w:val="clear" w:color="auto" w:fill="FFFFFF"/>
          </w:tcPr>
          <w:p w14:paraId="49F714F9" w14:textId="77777777" w:rsidR="009F33CD" w:rsidRDefault="00E40740" w:rsidP="00300636">
            <w:pPr>
              <w:spacing w:after="240" w:line="240" w:lineRule="auto"/>
              <w:jc w:val="center"/>
              <w:rPr>
                <w:bCs/>
              </w:rPr>
            </w:pPr>
            <w:r>
              <w:rPr>
                <w:bCs/>
              </w:rPr>
              <w:t>17.1</w:t>
            </w:r>
          </w:p>
        </w:tc>
      </w:tr>
      <w:tr w:rsidR="009F33CD" w14:paraId="73251F1B" w14:textId="77777777" w:rsidTr="00300636">
        <w:trPr>
          <w:gridAfter w:val="1"/>
          <w:wAfter w:w="12" w:type="pct"/>
          <w:cantSplit/>
          <w:trHeight w:val="158"/>
        </w:trPr>
        <w:tc>
          <w:tcPr>
            <w:tcW w:w="2983" w:type="pct"/>
            <w:tcBorders>
              <w:top w:val="nil"/>
              <w:bottom w:val="single" w:sz="4" w:space="0" w:color="auto"/>
            </w:tcBorders>
            <w:shd w:val="clear" w:color="auto" w:fill="FFFFFF"/>
            <w:vAlign w:val="center"/>
          </w:tcPr>
          <w:p w14:paraId="562AF879" w14:textId="77777777" w:rsidR="009F33CD" w:rsidRDefault="00E40740">
            <w:pPr>
              <w:spacing w:after="240" w:line="240" w:lineRule="auto"/>
              <w:rPr>
                <w:b/>
                <w:bCs/>
              </w:rPr>
            </w:pPr>
            <w:r>
              <w:rPr>
                <w:b/>
                <w:bCs/>
              </w:rPr>
              <w:t>Total</w:t>
            </w:r>
          </w:p>
        </w:tc>
        <w:tc>
          <w:tcPr>
            <w:tcW w:w="1243" w:type="pct"/>
            <w:tcBorders>
              <w:top w:val="nil"/>
              <w:bottom w:val="single" w:sz="4" w:space="0" w:color="auto"/>
            </w:tcBorders>
            <w:shd w:val="clear" w:color="auto" w:fill="FFFFFF"/>
          </w:tcPr>
          <w:p w14:paraId="498B11B3" w14:textId="77777777" w:rsidR="009F33CD" w:rsidRDefault="00E40740" w:rsidP="00300636">
            <w:pPr>
              <w:spacing w:after="240" w:line="240" w:lineRule="auto"/>
              <w:jc w:val="center"/>
              <w:rPr>
                <w:b/>
                <w:bCs/>
              </w:rPr>
            </w:pPr>
            <w:r>
              <w:rPr>
                <w:b/>
                <w:bCs/>
              </w:rPr>
              <w:t>35</w:t>
            </w:r>
          </w:p>
        </w:tc>
        <w:tc>
          <w:tcPr>
            <w:tcW w:w="762" w:type="pct"/>
            <w:tcBorders>
              <w:top w:val="nil"/>
              <w:bottom w:val="single" w:sz="4" w:space="0" w:color="auto"/>
            </w:tcBorders>
            <w:shd w:val="clear" w:color="auto" w:fill="FFFFFF"/>
          </w:tcPr>
          <w:p w14:paraId="7732CE66" w14:textId="77777777" w:rsidR="009F33CD" w:rsidRDefault="00E40740" w:rsidP="00300636">
            <w:pPr>
              <w:spacing w:after="240" w:line="240" w:lineRule="auto"/>
              <w:jc w:val="center"/>
              <w:rPr>
                <w:b/>
                <w:bCs/>
              </w:rPr>
            </w:pPr>
            <w:r>
              <w:rPr>
                <w:b/>
                <w:bCs/>
              </w:rPr>
              <w:t>100.0</w:t>
            </w:r>
          </w:p>
        </w:tc>
      </w:tr>
    </w:tbl>
    <w:p w14:paraId="722738FB" w14:textId="77777777" w:rsidR="009F33CD" w:rsidRDefault="00300636">
      <w:r>
        <w:rPr>
          <w:bCs/>
        </w:rPr>
        <w:t>The findings in Table 4.17</w:t>
      </w:r>
      <w:r w:rsidR="00E40740">
        <w:rPr>
          <w:bCs/>
        </w:rPr>
        <w:t xml:space="preserve"> show that the m</w:t>
      </w:r>
      <w:r w:rsidR="00E40740">
        <w:t>ajority of the respondents, 48.6% suggested the need to emphasize environmental awareness information in job advertisements, interviews, and selection not just for clinicians but also for administrative employees.</w:t>
      </w:r>
      <w:r w:rsidR="00E40740">
        <w:rPr>
          <w:rFonts w:eastAsia="TimesNewRomanPSMT"/>
          <w:bCs/>
        </w:rPr>
        <w:t xml:space="preserve"> This finding implies that all employees should be subjected to knowledge on green </w:t>
      </w:r>
      <w:r w:rsidR="00E40740">
        <w:rPr>
          <w:rFonts w:eastAsia="TimesNewRomanPSMT"/>
          <w:bCs/>
        </w:rPr>
        <w:lastRenderedPageBreak/>
        <w:t xml:space="preserve">employee resourcing for effective performance of healthcare services. This finding concurs with </w:t>
      </w:r>
      <w:r w:rsidR="00E40740">
        <w:rPr>
          <w:bCs/>
        </w:rPr>
        <w:t>Ragas et al. (2017) who asserted that the process of recruitment can assist firms in producing effective performance including performance related to the environment by ensuring that newly hired staff is aware of the environmental culture of the organization and he/she can maintain the environmental values followed by the organization.</w:t>
      </w:r>
      <w:r w:rsidR="00E40740">
        <w:t xml:space="preserve"> Other 34.3% reported the need to buy eco-friendly electronic equipment that saves energy and expand online service connectivity within the hospital to reduce paper use and improve the quality of service, while 17.1% suggested the provision of more awareness among staff and management to embrace online job applications and interviews through zoom and webinar. The results imply that devolved healthcare should fully embrace green employee resourcing because it is paperless, saves employee time, reduces the cost of travel, and minimizes interruption to those who work in the hospital thus enhancing performance. </w:t>
      </w:r>
    </w:p>
    <w:p w14:paraId="65C1DDDB" w14:textId="77777777" w:rsidR="009F33CD" w:rsidRDefault="00E40740">
      <w:r>
        <w:t xml:space="preserve">The current study also used document analysis to record the number of green recruitments, the number of employees selected online and the number of employees promoted due to their green activities for the past six years. </w:t>
      </w:r>
      <w:r>
        <w:rPr>
          <w:rFonts w:eastAsia="Calibri" w:cs="Times New Roman"/>
          <w:color w:val="000000"/>
          <w:szCs w:val="24"/>
        </w:rPr>
        <w:t xml:space="preserve">The findings showed that Level Five Hospitals usually advertise job openings on their websites and partly in print media. While there was no evidence of any employee being selected through online interviews or promoted because of championing green activities, devolved healthcare services in Kenya are practicing green employee resourcing by ensuring that hospitals reduce printing paper and associated costs involved in employee resourcing. </w:t>
      </w:r>
    </w:p>
    <w:p w14:paraId="59691152" w14:textId="77777777" w:rsidR="009F33CD" w:rsidRDefault="00E40740">
      <w:pPr>
        <w:rPr>
          <w:rFonts w:eastAsia="Calibri" w:cs="Times New Roman"/>
          <w:color w:val="000000"/>
          <w:szCs w:val="24"/>
        </w:rPr>
      </w:pPr>
      <w:r>
        <w:rPr>
          <w:rFonts w:eastAsia="Calibri" w:cs="Times New Roman"/>
          <w:szCs w:val="24"/>
        </w:rPr>
        <w:t>The study further interviewed three key respondents from each hospital regarding green employee resourcing.</w:t>
      </w:r>
      <w:r>
        <w:rPr>
          <w:rFonts w:cs="Times New Roman"/>
          <w:szCs w:val="24"/>
        </w:rPr>
        <w:t xml:space="preserve"> Respondents were asked to explain if the </w:t>
      </w:r>
      <w:r>
        <w:rPr>
          <w:rFonts w:eastAsia="Calibri" w:cs="Times New Roman"/>
          <w:szCs w:val="24"/>
        </w:rPr>
        <w:t xml:space="preserve">hospital during its recruitment process includes information </w:t>
      </w:r>
      <w:r>
        <w:rPr>
          <w:rFonts w:eastAsia="Calibri" w:cs="Times New Roman"/>
          <w:color w:val="000000"/>
          <w:szCs w:val="24"/>
        </w:rPr>
        <w:t>about its environmental concerns, for example, the hospital is environmentally responsible. All 12 respondents said that their hospitals do not include information about their environmental concerns in the advertisement for vacancies. This finding implies that the absence of environmental information in job advertisements could affect the hospitals’ reputation</w:t>
      </w:r>
      <w:r>
        <w:t xml:space="preserve"> and the h</w:t>
      </w:r>
      <w:r>
        <w:rPr>
          <w:rFonts w:eastAsia="Calibri" w:cs="Times New Roman"/>
          <w:color w:val="000000"/>
          <w:szCs w:val="24"/>
        </w:rPr>
        <w:t xml:space="preserve">ospitals may also miss opportunities to align with regulatory requirements or industry standards that emphasize sustainability and environmental reporting. The respondents, </w:t>
      </w:r>
      <w:r>
        <w:rPr>
          <w:rFonts w:eastAsia="Calibri" w:cs="Times New Roman"/>
          <w:color w:val="000000"/>
          <w:szCs w:val="24"/>
        </w:rPr>
        <w:lastRenderedPageBreak/>
        <w:t>however, argued that because hospitals are known to generate a lot of healthcare waste</w:t>
      </w:r>
      <w:r>
        <w:t xml:space="preserve"> (Bouzid et al., 2021; World Health Organization, 2017) </w:t>
      </w:r>
      <w:r>
        <w:rPr>
          <w:rFonts w:eastAsia="Calibri" w:cs="Times New Roman"/>
          <w:color w:val="000000"/>
          <w:szCs w:val="24"/>
        </w:rPr>
        <w:t>to the environment, the management has put in place a healthcare management system that promotes the health of employees and communities.</w:t>
      </w:r>
    </w:p>
    <w:p w14:paraId="2ECA4CCF" w14:textId="77777777" w:rsidR="009F33CD" w:rsidRDefault="00E40740">
      <w:pPr>
        <w:rPr>
          <w:rFonts w:eastAsia="Calibri" w:cs="Times New Roman"/>
          <w:color w:val="000000"/>
          <w:szCs w:val="24"/>
        </w:rPr>
      </w:pPr>
      <w:r>
        <w:rPr>
          <w:rFonts w:eastAsia="Calibri" w:cs="Times New Roman"/>
          <w:color w:val="000000"/>
          <w:szCs w:val="24"/>
        </w:rPr>
        <w:t xml:space="preserve">Twelve respondents were required to confirm if the hospital management interviewed job candidates on questions connected with a safe and healthy environment. Respondents said that </w:t>
      </w:r>
      <w:r>
        <w:rPr>
          <w:rFonts w:eastAsia="Calibri" w:cs="Times New Roman"/>
          <w:color w:val="000000"/>
          <w:szCs w:val="24"/>
          <w:lang w:val="en-US"/>
        </w:rPr>
        <w:t xml:space="preserve">only </w:t>
      </w:r>
      <w:r>
        <w:rPr>
          <w:rFonts w:eastAsia="Calibri" w:cs="Times New Roman"/>
          <w:color w:val="000000"/>
          <w:szCs w:val="24"/>
        </w:rPr>
        <w:t>candidates for</w:t>
      </w:r>
      <w:r>
        <w:rPr>
          <w:rFonts w:eastAsia="Calibri" w:cs="Times New Roman"/>
          <w:color w:val="000000"/>
          <w:szCs w:val="24"/>
          <w:lang w:val="en-US"/>
        </w:rPr>
        <w:t xml:space="preserve"> clinical </w:t>
      </w:r>
      <w:r>
        <w:rPr>
          <w:rFonts w:eastAsia="Calibri" w:cs="Times New Roman"/>
          <w:color w:val="000000"/>
          <w:szCs w:val="24"/>
        </w:rPr>
        <w:t xml:space="preserve">employment are asked questions related to a safe and healthy environment in a health facility. The results revealed that although the Level Five Hospitals do not include information about their environmental concerns in their recruitment programs; they believe that they have a responsibility to protect their staff and the environment through effective eco-friendly employee resourcing practices. </w:t>
      </w:r>
    </w:p>
    <w:p w14:paraId="21F168C2" w14:textId="77777777" w:rsidR="009F33CD" w:rsidRDefault="00E40740">
      <w:pPr>
        <w:pStyle w:val="Heading3"/>
      </w:pPr>
      <w:bookmarkStart w:id="1191" w:name="_Toc178942653"/>
      <w:bookmarkStart w:id="1192" w:name="_Toc165626401"/>
      <w:bookmarkStart w:id="1193" w:name="_Toc185614102"/>
      <w:bookmarkStart w:id="1194" w:name="_Toc187080874"/>
      <w:bookmarkStart w:id="1195" w:name="_Toc188442612"/>
      <w:bookmarkStart w:id="1196" w:name="_Toc165623620"/>
      <w:bookmarkStart w:id="1197" w:name="_Toc178945063"/>
      <w:bookmarkStart w:id="1198" w:name="_Toc178944311"/>
      <w:bookmarkStart w:id="1199" w:name="_Toc188443986"/>
      <w:bookmarkStart w:id="1200" w:name="_Toc188130639"/>
      <w:bookmarkStart w:id="1201" w:name="_Toc224160676"/>
      <w:bookmarkStart w:id="1202" w:name="_Toc224237739"/>
      <w:r>
        <w:t>4.6.2 Correlation Analysis Findings for Green Employee Resourcing and Performance</w:t>
      </w:r>
      <w:bookmarkEnd w:id="1191"/>
      <w:bookmarkEnd w:id="1192"/>
      <w:bookmarkEnd w:id="1193"/>
      <w:bookmarkEnd w:id="1194"/>
      <w:bookmarkEnd w:id="1195"/>
      <w:bookmarkEnd w:id="1196"/>
      <w:bookmarkEnd w:id="1197"/>
      <w:bookmarkEnd w:id="1198"/>
      <w:bookmarkEnd w:id="1199"/>
      <w:bookmarkEnd w:id="1200"/>
      <w:bookmarkEnd w:id="1201"/>
      <w:bookmarkEnd w:id="1202"/>
    </w:p>
    <w:p w14:paraId="454C9FDC" w14:textId="77777777" w:rsidR="009F33CD" w:rsidRDefault="00E40740">
      <w:pPr>
        <w:spacing w:after="240"/>
        <w:rPr>
          <w:rFonts w:cs="Times New Roman"/>
        </w:rPr>
      </w:pPr>
      <w:r>
        <w:rPr>
          <w:rFonts w:cs="Times New Roman"/>
          <w:bCs/>
        </w:rPr>
        <w:t>The correlation coefficient measures the degree and direction of the relationship between two or more statistical variables (Kothari, 2019). The correlation coefficient ranges between negative (-1) and positive (+1). A negative coefficient reveals a negative correlation, while a positive coefficient implies a positive one. If there is a high degree of correlation between two variables, then there is a close association between those two variables. The variables have no association if the correlation coefficient is 0.00 (Creswell, 2017). Pearson’s product-moment correlation (r) is the most popular correlation coefficient developed by Karl Pearson. This analysis requires that the variables be measured using at least an interval scale (Kothari, 2019).</w:t>
      </w:r>
      <w:r>
        <w:rPr>
          <w:rFonts w:cs="Times New Roman"/>
        </w:rPr>
        <w:t xml:space="preserve"> A Pearson’s correlation two-tailed test was run on SPSS version 22.0 to determine the strength and direction of the relationship between green employee resourcing practices (independent variable) and the performance of devolved healthcare services in Kenya (dependent variable). The find</w:t>
      </w:r>
      <w:r w:rsidR="00300636">
        <w:rPr>
          <w:rFonts w:cs="Times New Roman"/>
        </w:rPr>
        <w:t>ings are presented in Table 4.18</w:t>
      </w:r>
      <w:r>
        <w:rPr>
          <w:rFonts w:cs="Times New Roman"/>
        </w:rPr>
        <w:t>.</w:t>
      </w:r>
    </w:p>
    <w:p w14:paraId="279D9C68" w14:textId="77777777" w:rsidR="009F33CD" w:rsidRDefault="000748E0">
      <w:pPr>
        <w:pStyle w:val="Heading6"/>
      </w:pPr>
      <w:bookmarkStart w:id="1203" w:name="_Toc185614103"/>
      <w:bookmarkStart w:id="1204" w:name="_Toc187080875"/>
      <w:bookmarkStart w:id="1205" w:name="_Toc224237447"/>
      <w:r>
        <w:lastRenderedPageBreak/>
        <w:t>Table 4.18</w:t>
      </w:r>
      <w:r w:rsidR="00E40740">
        <w:t>: Correlation Findings for Green Employee Resourcing and Performance</w:t>
      </w:r>
      <w:bookmarkEnd w:id="1203"/>
      <w:bookmarkEnd w:id="1204"/>
      <w:bookmarkEnd w:id="120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122"/>
        <w:gridCol w:w="2254"/>
        <w:gridCol w:w="1591"/>
      </w:tblGrid>
      <w:tr w:rsidR="009F33CD" w14:paraId="3BC689FD" w14:textId="77777777">
        <w:trPr>
          <w:trHeight w:val="47"/>
        </w:trPr>
        <w:tc>
          <w:tcPr>
            <w:tcW w:w="2592" w:type="dxa"/>
            <w:tcBorders>
              <w:top w:val="single" w:sz="4" w:space="0" w:color="auto"/>
              <w:bottom w:val="single" w:sz="4" w:space="0" w:color="auto"/>
            </w:tcBorders>
          </w:tcPr>
          <w:p w14:paraId="64860152" w14:textId="77777777" w:rsidR="009F33CD" w:rsidRDefault="009F33CD">
            <w:pPr>
              <w:spacing w:line="240" w:lineRule="auto"/>
              <w:rPr>
                <w:bCs/>
                <w:szCs w:val="24"/>
              </w:rPr>
            </w:pPr>
            <w:bookmarkStart w:id="1206" w:name="_Hlk183571482"/>
          </w:p>
        </w:tc>
        <w:tc>
          <w:tcPr>
            <w:tcW w:w="2512" w:type="dxa"/>
            <w:tcBorders>
              <w:top w:val="single" w:sz="4" w:space="0" w:color="auto"/>
              <w:bottom w:val="single" w:sz="4" w:space="0" w:color="auto"/>
            </w:tcBorders>
          </w:tcPr>
          <w:p w14:paraId="03ED81D5" w14:textId="77777777" w:rsidR="009F33CD" w:rsidRDefault="009F33CD">
            <w:pPr>
              <w:spacing w:line="240" w:lineRule="auto"/>
              <w:rPr>
                <w:b/>
                <w:szCs w:val="24"/>
              </w:rPr>
            </w:pPr>
          </w:p>
        </w:tc>
        <w:tc>
          <w:tcPr>
            <w:tcW w:w="2592" w:type="dxa"/>
            <w:tcBorders>
              <w:top w:val="single" w:sz="4" w:space="0" w:color="auto"/>
              <w:bottom w:val="single" w:sz="4" w:space="0" w:color="auto"/>
            </w:tcBorders>
          </w:tcPr>
          <w:p w14:paraId="499A7017" w14:textId="77777777" w:rsidR="009F33CD" w:rsidRDefault="00E40740">
            <w:pPr>
              <w:spacing w:line="240" w:lineRule="auto"/>
              <w:rPr>
                <w:b/>
                <w:szCs w:val="24"/>
              </w:rPr>
            </w:pPr>
            <w:r>
              <w:rPr>
                <w:b/>
                <w:szCs w:val="24"/>
              </w:rPr>
              <w:t>Performance</w:t>
            </w:r>
          </w:p>
        </w:tc>
        <w:tc>
          <w:tcPr>
            <w:tcW w:w="2193" w:type="dxa"/>
            <w:tcBorders>
              <w:top w:val="single" w:sz="4" w:space="0" w:color="auto"/>
              <w:bottom w:val="single" w:sz="4" w:space="0" w:color="auto"/>
            </w:tcBorders>
          </w:tcPr>
          <w:p w14:paraId="44CB0689" w14:textId="77777777" w:rsidR="009F33CD" w:rsidRDefault="009F33CD">
            <w:pPr>
              <w:spacing w:line="240" w:lineRule="auto"/>
              <w:rPr>
                <w:bCs/>
                <w:szCs w:val="24"/>
              </w:rPr>
            </w:pPr>
          </w:p>
        </w:tc>
      </w:tr>
      <w:tr w:rsidR="009F33CD" w14:paraId="07B7DE72" w14:textId="77777777">
        <w:trPr>
          <w:trHeight w:val="288"/>
        </w:trPr>
        <w:tc>
          <w:tcPr>
            <w:tcW w:w="2592" w:type="dxa"/>
            <w:tcBorders>
              <w:top w:val="single" w:sz="4" w:space="0" w:color="auto"/>
            </w:tcBorders>
          </w:tcPr>
          <w:p w14:paraId="4AA88F0B" w14:textId="77777777" w:rsidR="009F33CD" w:rsidRDefault="00E40740">
            <w:pPr>
              <w:spacing w:line="240" w:lineRule="auto"/>
              <w:rPr>
                <w:b/>
                <w:szCs w:val="24"/>
              </w:rPr>
            </w:pPr>
            <w:r>
              <w:rPr>
                <w:b/>
                <w:szCs w:val="24"/>
              </w:rPr>
              <w:t>Performance</w:t>
            </w:r>
          </w:p>
        </w:tc>
        <w:tc>
          <w:tcPr>
            <w:tcW w:w="2512" w:type="dxa"/>
            <w:tcBorders>
              <w:top w:val="single" w:sz="4" w:space="0" w:color="auto"/>
            </w:tcBorders>
          </w:tcPr>
          <w:p w14:paraId="3F84748F" w14:textId="77777777" w:rsidR="009F33CD" w:rsidRDefault="009F33CD">
            <w:pPr>
              <w:spacing w:line="240" w:lineRule="auto"/>
              <w:rPr>
                <w:b/>
                <w:szCs w:val="24"/>
              </w:rPr>
            </w:pPr>
          </w:p>
        </w:tc>
        <w:tc>
          <w:tcPr>
            <w:tcW w:w="2592" w:type="dxa"/>
            <w:tcBorders>
              <w:top w:val="single" w:sz="4" w:space="0" w:color="auto"/>
            </w:tcBorders>
          </w:tcPr>
          <w:p w14:paraId="57786A70" w14:textId="77777777" w:rsidR="009F33CD" w:rsidRDefault="00E40740">
            <w:pPr>
              <w:spacing w:line="240" w:lineRule="auto"/>
              <w:rPr>
                <w:bCs/>
                <w:szCs w:val="24"/>
              </w:rPr>
            </w:pPr>
            <w:r>
              <w:rPr>
                <w:bCs/>
                <w:szCs w:val="24"/>
              </w:rPr>
              <w:t>1</w:t>
            </w:r>
          </w:p>
        </w:tc>
        <w:tc>
          <w:tcPr>
            <w:tcW w:w="2193" w:type="dxa"/>
            <w:tcBorders>
              <w:top w:val="single" w:sz="4" w:space="0" w:color="auto"/>
            </w:tcBorders>
          </w:tcPr>
          <w:p w14:paraId="41983862" w14:textId="77777777" w:rsidR="009F33CD" w:rsidRDefault="009F33CD">
            <w:pPr>
              <w:spacing w:line="240" w:lineRule="auto"/>
              <w:rPr>
                <w:bCs/>
                <w:szCs w:val="24"/>
              </w:rPr>
            </w:pPr>
          </w:p>
        </w:tc>
      </w:tr>
      <w:tr w:rsidR="009F33CD" w14:paraId="27FA325D" w14:textId="77777777">
        <w:trPr>
          <w:trHeight w:val="300"/>
        </w:trPr>
        <w:tc>
          <w:tcPr>
            <w:tcW w:w="2592" w:type="dxa"/>
          </w:tcPr>
          <w:p w14:paraId="33DD82E6" w14:textId="77777777" w:rsidR="009F33CD" w:rsidRDefault="00E40740">
            <w:pPr>
              <w:spacing w:line="240" w:lineRule="auto"/>
              <w:rPr>
                <w:b/>
                <w:szCs w:val="24"/>
              </w:rPr>
            </w:pPr>
            <w:r>
              <w:rPr>
                <w:b/>
                <w:szCs w:val="24"/>
              </w:rPr>
              <w:t>GER</w:t>
            </w:r>
          </w:p>
        </w:tc>
        <w:tc>
          <w:tcPr>
            <w:tcW w:w="2512" w:type="dxa"/>
          </w:tcPr>
          <w:p w14:paraId="53F36FF8" w14:textId="77777777" w:rsidR="009F33CD" w:rsidRDefault="00E40740">
            <w:pPr>
              <w:spacing w:line="240" w:lineRule="auto"/>
              <w:rPr>
                <w:bCs/>
                <w:szCs w:val="24"/>
              </w:rPr>
            </w:pPr>
            <w:r>
              <w:rPr>
                <w:bCs/>
                <w:szCs w:val="24"/>
              </w:rPr>
              <w:t>Pearson Correlation</w:t>
            </w:r>
          </w:p>
        </w:tc>
        <w:tc>
          <w:tcPr>
            <w:tcW w:w="2592" w:type="dxa"/>
          </w:tcPr>
          <w:p w14:paraId="3D1B62B2" w14:textId="77777777" w:rsidR="009F33CD" w:rsidRDefault="00E40740">
            <w:pPr>
              <w:spacing w:line="240" w:lineRule="auto"/>
              <w:rPr>
                <w:bCs/>
                <w:szCs w:val="24"/>
              </w:rPr>
            </w:pPr>
            <w:r>
              <w:rPr>
                <w:bCs/>
                <w:szCs w:val="24"/>
              </w:rPr>
              <w:t>0.733**</w:t>
            </w:r>
          </w:p>
        </w:tc>
        <w:tc>
          <w:tcPr>
            <w:tcW w:w="2193" w:type="dxa"/>
          </w:tcPr>
          <w:p w14:paraId="5EA62C31" w14:textId="77777777" w:rsidR="009F33CD" w:rsidRDefault="00E40740">
            <w:pPr>
              <w:spacing w:line="240" w:lineRule="auto"/>
              <w:rPr>
                <w:bCs/>
                <w:szCs w:val="24"/>
              </w:rPr>
            </w:pPr>
            <w:r>
              <w:rPr>
                <w:bCs/>
                <w:szCs w:val="24"/>
              </w:rPr>
              <w:t>1</w:t>
            </w:r>
          </w:p>
        </w:tc>
      </w:tr>
      <w:tr w:rsidR="009F33CD" w14:paraId="141F1CF1" w14:textId="77777777">
        <w:trPr>
          <w:trHeight w:val="288"/>
        </w:trPr>
        <w:tc>
          <w:tcPr>
            <w:tcW w:w="2592" w:type="dxa"/>
          </w:tcPr>
          <w:p w14:paraId="446AD61A" w14:textId="77777777" w:rsidR="009F33CD" w:rsidRDefault="009F33CD">
            <w:pPr>
              <w:spacing w:line="240" w:lineRule="auto"/>
              <w:rPr>
                <w:b/>
                <w:szCs w:val="24"/>
              </w:rPr>
            </w:pPr>
          </w:p>
        </w:tc>
        <w:tc>
          <w:tcPr>
            <w:tcW w:w="2512" w:type="dxa"/>
          </w:tcPr>
          <w:p w14:paraId="51A485C0" w14:textId="77777777" w:rsidR="009F33CD" w:rsidRDefault="00E40740">
            <w:pPr>
              <w:spacing w:line="240" w:lineRule="auto"/>
              <w:rPr>
                <w:bCs/>
                <w:szCs w:val="24"/>
              </w:rPr>
            </w:pPr>
            <w:r>
              <w:rPr>
                <w:bCs/>
                <w:szCs w:val="24"/>
              </w:rPr>
              <w:t>Sig. (2-tailed)</w:t>
            </w:r>
          </w:p>
        </w:tc>
        <w:tc>
          <w:tcPr>
            <w:tcW w:w="2592" w:type="dxa"/>
          </w:tcPr>
          <w:p w14:paraId="2FABFC94" w14:textId="77777777" w:rsidR="009F33CD" w:rsidRDefault="00E40740">
            <w:pPr>
              <w:spacing w:line="240" w:lineRule="auto"/>
              <w:rPr>
                <w:bCs/>
                <w:szCs w:val="24"/>
              </w:rPr>
            </w:pPr>
            <w:r>
              <w:rPr>
                <w:bCs/>
                <w:szCs w:val="24"/>
              </w:rPr>
              <w:t>0.000</w:t>
            </w:r>
          </w:p>
        </w:tc>
        <w:tc>
          <w:tcPr>
            <w:tcW w:w="2193" w:type="dxa"/>
          </w:tcPr>
          <w:p w14:paraId="74058DD5" w14:textId="77777777" w:rsidR="009F33CD" w:rsidRDefault="009F33CD">
            <w:pPr>
              <w:spacing w:line="240" w:lineRule="auto"/>
              <w:rPr>
                <w:bCs/>
                <w:szCs w:val="24"/>
              </w:rPr>
            </w:pPr>
          </w:p>
        </w:tc>
      </w:tr>
      <w:tr w:rsidR="009F33CD" w14:paraId="3D366DDC" w14:textId="77777777">
        <w:trPr>
          <w:trHeight w:val="288"/>
        </w:trPr>
        <w:tc>
          <w:tcPr>
            <w:tcW w:w="2592" w:type="dxa"/>
            <w:tcBorders>
              <w:bottom w:val="single" w:sz="4" w:space="0" w:color="auto"/>
            </w:tcBorders>
          </w:tcPr>
          <w:p w14:paraId="08A60712" w14:textId="77777777" w:rsidR="009F33CD" w:rsidRDefault="009F33CD">
            <w:pPr>
              <w:spacing w:line="240" w:lineRule="auto"/>
              <w:rPr>
                <w:bCs/>
                <w:szCs w:val="24"/>
              </w:rPr>
            </w:pPr>
          </w:p>
        </w:tc>
        <w:tc>
          <w:tcPr>
            <w:tcW w:w="2512" w:type="dxa"/>
            <w:tcBorders>
              <w:bottom w:val="single" w:sz="4" w:space="0" w:color="auto"/>
            </w:tcBorders>
          </w:tcPr>
          <w:p w14:paraId="6469F5E2" w14:textId="77777777" w:rsidR="009F33CD" w:rsidRDefault="00E40740">
            <w:pPr>
              <w:spacing w:line="240" w:lineRule="auto"/>
              <w:rPr>
                <w:bCs/>
                <w:szCs w:val="24"/>
              </w:rPr>
            </w:pPr>
            <w:r>
              <w:rPr>
                <w:bCs/>
                <w:szCs w:val="24"/>
              </w:rPr>
              <w:t>N</w:t>
            </w:r>
          </w:p>
        </w:tc>
        <w:tc>
          <w:tcPr>
            <w:tcW w:w="2592" w:type="dxa"/>
            <w:tcBorders>
              <w:bottom w:val="single" w:sz="4" w:space="0" w:color="auto"/>
            </w:tcBorders>
          </w:tcPr>
          <w:p w14:paraId="500ACFB8" w14:textId="77777777" w:rsidR="009F33CD" w:rsidRDefault="00E40740">
            <w:pPr>
              <w:spacing w:line="240" w:lineRule="auto"/>
              <w:rPr>
                <w:bCs/>
                <w:szCs w:val="24"/>
              </w:rPr>
            </w:pPr>
            <w:r>
              <w:rPr>
                <w:bCs/>
                <w:szCs w:val="24"/>
              </w:rPr>
              <w:t>118</w:t>
            </w:r>
          </w:p>
        </w:tc>
        <w:tc>
          <w:tcPr>
            <w:tcW w:w="2193" w:type="dxa"/>
            <w:tcBorders>
              <w:bottom w:val="single" w:sz="4" w:space="0" w:color="auto"/>
            </w:tcBorders>
          </w:tcPr>
          <w:p w14:paraId="49CF9FE8" w14:textId="77777777" w:rsidR="009F33CD" w:rsidRDefault="009F33CD">
            <w:pPr>
              <w:spacing w:line="240" w:lineRule="auto"/>
              <w:rPr>
                <w:bCs/>
                <w:szCs w:val="24"/>
              </w:rPr>
            </w:pPr>
          </w:p>
        </w:tc>
      </w:tr>
      <w:tr w:rsidR="009F33CD" w:rsidRPr="001E3129" w14:paraId="571E02A0" w14:textId="77777777">
        <w:trPr>
          <w:trHeight w:val="244"/>
        </w:trPr>
        <w:tc>
          <w:tcPr>
            <w:tcW w:w="9890" w:type="dxa"/>
            <w:gridSpan w:val="4"/>
            <w:tcBorders>
              <w:top w:val="single" w:sz="4" w:space="0" w:color="auto"/>
              <w:bottom w:val="nil"/>
            </w:tcBorders>
          </w:tcPr>
          <w:p w14:paraId="6C215DF2" w14:textId="77777777" w:rsidR="009F33CD" w:rsidRPr="001E3129" w:rsidRDefault="00E40740">
            <w:pPr>
              <w:spacing w:after="240" w:line="240" w:lineRule="auto"/>
              <w:rPr>
                <w:bCs/>
                <w:szCs w:val="24"/>
              </w:rPr>
            </w:pPr>
            <w:r w:rsidRPr="001E3129">
              <w:rPr>
                <w:bCs/>
                <w:szCs w:val="24"/>
              </w:rPr>
              <w:t>** Correlation is significant at the 0.01 level (2-tailed).</w:t>
            </w:r>
          </w:p>
        </w:tc>
      </w:tr>
    </w:tbl>
    <w:bookmarkEnd w:id="1206"/>
    <w:p w14:paraId="35579BC0" w14:textId="77777777" w:rsidR="009F33CD" w:rsidRDefault="00494588">
      <w:pPr>
        <w:rPr>
          <w:rFonts w:cs="Times New Roman"/>
        </w:rPr>
      </w:pPr>
      <w:r>
        <w:rPr>
          <w:rFonts w:cs="Times New Roman"/>
        </w:rPr>
        <w:t>From the findings in Table 4.18</w:t>
      </w:r>
      <w:r w:rsidR="00E40740">
        <w:rPr>
          <w:rFonts w:cs="Times New Roman"/>
        </w:rPr>
        <w:t>, green employee resourcing has a statistically significant positive and strong relationship with the performance of devolved healthcare services in Kenya (r</w:t>
      </w:r>
      <w:r w:rsidR="00E40740">
        <w:rPr>
          <w:rFonts w:cs="Times New Roman"/>
          <w:vertAlign w:val="subscript"/>
        </w:rPr>
        <w:t xml:space="preserve"> </w:t>
      </w:r>
      <w:r w:rsidR="00E40740">
        <w:rPr>
          <w:rFonts w:cs="Times New Roman"/>
        </w:rPr>
        <w:t>= 0.733, n = 118, p = 0.000&lt;0.05). The correlation coefficient of 0.733 connotes a strong positive relationship between green employee resourcing and the performance of devolved healthcare services. This means that as green employee resourcing increases, the performance of devolved healthcare services also tends to improve significantly. The findings are consistent with Catherine (2016) who emphasized that electronic-recruiting saves energy in mailing, filing, and general paperwork tasks. Further, the result implies that pollution associated with the process of making, delivering, and recycling paper products is also reduced when management embraces e-resourcing for workers. This study finding is in alignment with that of Mwita and Kinemo (2018) who found the existence of a positively linear relationship between green recruiting, selection, and performance of firms. Also, the findings agreed with that of Kuria and Mose (2019), who found</w:t>
      </w:r>
      <w:r w:rsidR="00E40740">
        <w:rPr>
          <w:rFonts w:cs="Times New Roman"/>
          <w:lang w:val="en-US"/>
        </w:rPr>
        <w:t xml:space="preserve"> </w:t>
      </w:r>
      <w:r w:rsidR="00E40740">
        <w:rPr>
          <w:rFonts w:cs="Times New Roman"/>
        </w:rPr>
        <w:t xml:space="preserve">a statistically significant </w:t>
      </w:r>
      <w:r w:rsidR="00E40740">
        <w:rPr>
          <w:rFonts w:cs="Times New Roman"/>
          <w:lang w:val="en-US"/>
        </w:rPr>
        <w:t xml:space="preserve">positive </w:t>
      </w:r>
      <w:r w:rsidR="00E40740">
        <w:rPr>
          <w:rFonts w:cs="Times New Roman"/>
        </w:rPr>
        <w:t xml:space="preserve">relationship </w:t>
      </w:r>
      <w:r w:rsidR="00E40740">
        <w:rPr>
          <w:rFonts w:cs="Times New Roman"/>
          <w:lang w:val="en-US"/>
        </w:rPr>
        <w:t xml:space="preserve">between </w:t>
      </w:r>
      <w:r w:rsidR="00E40740">
        <w:rPr>
          <w:rFonts w:cs="Times New Roman"/>
        </w:rPr>
        <w:t xml:space="preserve">green recruitment </w:t>
      </w:r>
      <w:r w:rsidR="00E40740">
        <w:rPr>
          <w:rFonts w:cs="Times New Roman"/>
          <w:lang w:val="en-US"/>
        </w:rPr>
        <w:t>and the</w:t>
      </w:r>
      <w:r w:rsidR="00E40740">
        <w:rPr>
          <w:rFonts w:cs="Times New Roman"/>
        </w:rPr>
        <w:t xml:space="preserve"> organizational effectiveness of universities</w:t>
      </w:r>
      <w:r w:rsidR="00E40740">
        <w:rPr>
          <w:rFonts w:cs="Times New Roman"/>
          <w:lang w:val="en-US"/>
        </w:rPr>
        <w:t>. Further</w:t>
      </w:r>
      <w:r w:rsidR="00E40740">
        <w:rPr>
          <w:rFonts w:cs="Times New Roman"/>
        </w:rPr>
        <w:t xml:space="preserve">, </w:t>
      </w:r>
      <w:r w:rsidR="00E40740">
        <w:rPr>
          <w:rFonts w:cs="Times New Roman"/>
          <w:bCs/>
        </w:rPr>
        <w:t xml:space="preserve">Kiplangat </w:t>
      </w:r>
      <w:r w:rsidR="00E40740">
        <w:rPr>
          <w:rFonts w:cs="Times New Roman"/>
          <w:bCs/>
          <w:i/>
        </w:rPr>
        <w:t>et al</w:t>
      </w:r>
      <w:r w:rsidR="00E40740">
        <w:rPr>
          <w:rFonts w:cs="Times New Roman"/>
          <w:bCs/>
        </w:rPr>
        <w:t xml:space="preserve"> </w:t>
      </w:r>
      <w:r w:rsidR="00E40740">
        <w:rPr>
          <w:rFonts w:cs="Times New Roman"/>
        </w:rPr>
        <w:t xml:space="preserve">(2022) </w:t>
      </w:r>
      <w:r w:rsidR="00E40740">
        <w:rPr>
          <w:rFonts w:cs="Times New Roman"/>
          <w:lang w:val="en-US"/>
        </w:rPr>
        <w:t>f</w:t>
      </w:r>
      <w:r w:rsidR="009E34E0">
        <w:rPr>
          <w:rFonts w:cs="Times New Roman"/>
        </w:rPr>
        <w:t>found</w:t>
      </w:r>
      <w:r w:rsidR="00E40740">
        <w:rPr>
          <w:rFonts w:cs="Times New Roman"/>
        </w:rPr>
        <w:t xml:space="preserve"> a significant positive relationship between recruitment</w:t>
      </w:r>
      <w:r w:rsidR="00E40740">
        <w:rPr>
          <w:rFonts w:cs="Times New Roman"/>
          <w:lang w:val="en-US"/>
        </w:rPr>
        <w:t xml:space="preserve">, </w:t>
      </w:r>
      <w:r w:rsidR="00E40740">
        <w:rPr>
          <w:rFonts w:cs="Times New Roman"/>
        </w:rPr>
        <w:t>selection and sustainability of tea factories in Kenya.</w:t>
      </w:r>
    </w:p>
    <w:p w14:paraId="7CFEF69A" w14:textId="77777777" w:rsidR="009F33CD" w:rsidRDefault="00E40740">
      <w:pPr>
        <w:rPr>
          <w:rFonts w:cs="Times New Roman"/>
        </w:rPr>
      </w:pPr>
      <w:r>
        <w:rPr>
          <w:rFonts w:cs="Times New Roman"/>
        </w:rPr>
        <w:t xml:space="preserve">In addition, Okeyo and Ragui (2017) noted that effective development and execution of green recruitment strategies can help companies improve their environmental reputation, reinforce their key abilities, and attain greater efficiency, resulting in long-term organizational sustainability. The study findings are aligned with AMO theory since green recruitment will attract individuals who have the needed skills and abilities that motivate them to engage in green initiatives and activities.   </w:t>
      </w:r>
    </w:p>
    <w:p w14:paraId="5C477AB0" w14:textId="77777777" w:rsidR="009F33CD" w:rsidRDefault="00E40740">
      <w:pPr>
        <w:pStyle w:val="Heading3"/>
      </w:pPr>
      <w:bookmarkStart w:id="1207" w:name="_Toc187080876"/>
      <w:bookmarkStart w:id="1208" w:name="_Toc185614104"/>
      <w:bookmarkStart w:id="1209" w:name="_Toc188443987"/>
      <w:bookmarkStart w:id="1210" w:name="_Toc188442613"/>
      <w:bookmarkStart w:id="1211" w:name="_Toc188130640"/>
      <w:bookmarkStart w:id="1212" w:name="_Toc224160677"/>
      <w:bookmarkStart w:id="1213" w:name="_Toc224237740"/>
      <w:bookmarkStart w:id="1214" w:name="_Toc165626403"/>
      <w:bookmarkStart w:id="1215" w:name="_Toc165623622"/>
      <w:bookmarkStart w:id="1216" w:name="_Toc178944313"/>
      <w:bookmarkStart w:id="1217" w:name="_Toc178942655"/>
      <w:bookmarkStart w:id="1218" w:name="_Toc178945065"/>
      <w:bookmarkStart w:id="1219" w:name="_Toc147950245"/>
      <w:r>
        <w:lastRenderedPageBreak/>
        <w:t>4.6.3 Simple Linear Regression Analysis Findings for Green Employee Resourcing and Performance</w:t>
      </w:r>
      <w:bookmarkEnd w:id="1207"/>
      <w:bookmarkEnd w:id="1208"/>
      <w:bookmarkEnd w:id="1209"/>
      <w:bookmarkEnd w:id="1210"/>
      <w:bookmarkEnd w:id="1211"/>
      <w:bookmarkEnd w:id="1212"/>
      <w:bookmarkEnd w:id="1213"/>
      <w:r>
        <w:t xml:space="preserve"> </w:t>
      </w:r>
      <w:bookmarkEnd w:id="1214"/>
      <w:bookmarkEnd w:id="1215"/>
      <w:bookmarkEnd w:id="1216"/>
      <w:bookmarkEnd w:id="1217"/>
      <w:bookmarkEnd w:id="1218"/>
    </w:p>
    <w:p w14:paraId="3D3A9ECF" w14:textId="77777777" w:rsidR="009F33CD" w:rsidRDefault="00E40740">
      <w:pPr>
        <w:rPr>
          <w:rFonts w:cs="Times New Roman"/>
          <w:bCs/>
          <w:szCs w:val="24"/>
        </w:rPr>
      </w:pPr>
      <w:r>
        <w:rPr>
          <w:rFonts w:cs="Times New Roman"/>
        </w:rPr>
        <w:t xml:space="preserve">According to a study by Omondi (2018), there is empirical evidence to support the use of regression analysis as a statistical tool in data analysis. </w:t>
      </w:r>
      <w:r>
        <w:rPr>
          <w:rFonts w:cs="Times New Roman"/>
          <w:bCs/>
        </w:rPr>
        <w:t>The analysis focused on the dependent variable, and t</w:t>
      </w:r>
      <w:r>
        <w:rPr>
          <w:rFonts w:cs="Times New Roman"/>
          <w:bCs/>
          <w:szCs w:val="24"/>
        </w:rPr>
        <w:t xml:space="preserve">herefore, a simple linear regression model for green employee resourcing and performance took the following format: </w:t>
      </w:r>
    </w:p>
    <w:p w14:paraId="0CEB421F" w14:textId="77777777" w:rsidR="009F33CD" w:rsidRDefault="00E40740">
      <w:pPr>
        <w:ind w:left="720"/>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1</w:t>
      </w:r>
      <w:r>
        <w:rPr>
          <w:rFonts w:cs="Times New Roman"/>
          <w:bCs/>
          <w:szCs w:val="24"/>
        </w:rPr>
        <w:t>X</w:t>
      </w:r>
      <w:r>
        <w:rPr>
          <w:rFonts w:cs="Times New Roman"/>
          <w:bCs/>
          <w:szCs w:val="24"/>
          <w:vertAlign w:val="subscript"/>
        </w:rPr>
        <w:t>1</w:t>
      </w:r>
      <w:r>
        <w:rPr>
          <w:rFonts w:cs="Times New Roman"/>
          <w:bCs/>
          <w:szCs w:val="24"/>
        </w:rPr>
        <w:t xml:space="preserve"> +e</w:t>
      </w:r>
    </w:p>
    <w:p w14:paraId="38544759" w14:textId="77777777" w:rsidR="009F33CD" w:rsidRDefault="00E40740">
      <w:pPr>
        <w:spacing w:after="240"/>
        <w:rPr>
          <w:rFonts w:cs="Times New Roman"/>
          <w:bCs/>
        </w:rPr>
      </w:pPr>
      <w:r>
        <w:rPr>
          <w:rFonts w:cs="Times New Roman"/>
          <w:bCs/>
        </w:rPr>
        <w:t>The statistical significance of the effect of the independent variable (green employee resourcing) on the dependent variable (performance of devolved healthcare services) was anal</w:t>
      </w:r>
      <w:r w:rsidR="00494588">
        <w:rPr>
          <w:rFonts w:cs="Times New Roman"/>
          <w:bCs/>
        </w:rPr>
        <w:t>yzed and presented in Table 4.19</w:t>
      </w:r>
      <w:r>
        <w:rPr>
          <w:rFonts w:cs="Times New Roman"/>
          <w:bCs/>
        </w:rPr>
        <w:t>.</w:t>
      </w:r>
    </w:p>
    <w:p w14:paraId="144201FE" w14:textId="77777777" w:rsidR="009F33CD" w:rsidRDefault="000748E0" w:rsidP="001E3129">
      <w:pPr>
        <w:pStyle w:val="Heading6"/>
      </w:pPr>
      <w:bookmarkStart w:id="1220" w:name="_Toc185614105"/>
      <w:bookmarkStart w:id="1221" w:name="_Toc187080877"/>
      <w:bookmarkStart w:id="1222" w:name="_Toc224237448"/>
      <w:bookmarkStart w:id="1223" w:name="_Toc178942656"/>
      <w:bookmarkStart w:id="1224" w:name="_Toc178945066"/>
      <w:bookmarkStart w:id="1225" w:name="_Toc165626404"/>
      <w:bookmarkStart w:id="1226" w:name="_Toc165623623"/>
      <w:bookmarkStart w:id="1227" w:name="_Toc178944314"/>
      <w:r>
        <w:t>Table 4.19</w:t>
      </w:r>
      <w:r w:rsidR="00E40740">
        <w:t xml:space="preserve">: Simple Linear </w:t>
      </w:r>
      <w:r w:rsidR="00E40740" w:rsidRPr="001E3129">
        <w:t>Regression</w:t>
      </w:r>
      <w:r w:rsidR="00E40740">
        <w:t xml:space="preserve"> Findings for Green Employee Resourcing and Performance</w:t>
      </w:r>
      <w:bookmarkEnd w:id="1220"/>
      <w:bookmarkEnd w:id="1221"/>
      <w:bookmarkEnd w:id="1222"/>
      <w:r w:rsidR="00E40740">
        <w:t xml:space="preserve"> </w:t>
      </w:r>
      <w:bookmarkEnd w:id="1223"/>
      <w:bookmarkEnd w:id="1224"/>
      <w:bookmarkEnd w:id="1225"/>
      <w:bookmarkEnd w:id="1226"/>
      <w:bookmarkEnd w:id="1227"/>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80"/>
        <w:gridCol w:w="689"/>
        <w:gridCol w:w="857"/>
        <w:gridCol w:w="1113"/>
        <w:gridCol w:w="2055"/>
        <w:gridCol w:w="2826"/>
      </w:tblGrid>
      <w:tr w:rsidR="009F33CD" w14:paraId="306ED405" w14:textId="77777777">
        <w:trPr>
          <w:cantSplit/>
          <w:trHeight w:val="309"/>
        </w:trPr>
        <w:tc>
          <w:tcPr>
            <w:tcW w:w="414" w:type="pct"/>
            <w:tcBorders>
              <w:top w:val="single" w:sz="4" w:space="0" w:color="auto"/>
              <w:bottom w:val="single" w:sz="4" w:space="0" w:color="auto"/>
            </w:tcBorders>
            <w:vAlign w:val="bottom"/>
          </w:tcPr>
          <w:p w14:paraId="43532CE3" w14:textId="77777777" w:rsidR="009F33CD" w:rsidRDefault="00E40740">
            <w:pPr>
              <w:spacing w:after="240" w:line="240" w:lineRule="auto"/>
              <w:rPr>
                <w:rFonts w:cs="Times New Roman"/>
                <w:b/>
                <w:bCs/>
              </w:rPr>
            </w:pPr>
            <w:r>
              <w:rPr>
                <w:rFonts w:cs="Times New Roman"/>
                <w:b/>
                <w:bCs/>
              </w:rPr>
              <w:t>Model</w:t>
            </w:r>
          </w:p>
        </w:tc>
        <w:tc>
          <w:tcPr>
            <w:tcW w:w="419" w:type="pct"/>
            <w:tcBorders>
              <w:top w:val="single" w:sz="4" w:space="0" w:color="auto"/>
              <w:bottom w:val="single" w:sz="4" w:space="0" w:color="auto"/>
            </w:tcBorders>
          </w:tcPr>
          <w:p w14:paraId="68EDE278" w14:textId="77777777" w:rsidR="009F33CD" w:rsidRDefault="009F33CD">
            <w:pPr>
              <w:spacing w:after="240" w:line="240" w:lineRule="auto"/>
              <w:rPr>
                <w:rFonts w:cs="Times New Roman"/>
                <w:b/>
                <w:bCs/>
              </w:rPr>
            </w:pPr>
          </w:p>
        </w:tc>
        <w:tc>
          <w:tcPr>
            <w:tcW w:w="521" w:type="pct"/>
            <w:tcBorders>
              <w:top w:val="single" w:sz="4" w:space="0" w:color="auto"/>
              <w:bottom w:val="single" w:sz="4" w:space="0" w:color="auto"/>
            </w:tcBorders>
            <w:vAlign w:val="bottom"/>
          </w:tcPr>
          <w:p w14:paraId="091605EA" w14:textId="77777777" w:rsidR="009F33CD" w:rsidRDefault="00E40740">
            <w:pPr>
              <w:spacing w:after="240" w:line="240" w:lineRule="auto"/>
              <w:rPr>
                <w:rFonts w:cs="Times New Roman"/>
                <w:b/>
                <w:bCs/>
              </w:rPr>
            </w:pPr>
            <w:r>
              <w:rPr>
                <w:rFonts w:cs="Times New Roman"/>
                <w:b/>
                <w:bCs/>
              </w:rPr>
              <w:t>R</w:t>
            </w:r>
          </w:p>
        </w:tc>
        <w:tc>
          <w:tcPr>
            <w:tcW w:w="677" w:type="pct"/>
            <w:tcBorders>
              <w:top w:val="single" w:sz="4" w:space="0" w:color="auto"/>
              <w:bottom w:val="single" w:sz="4" w:space="0" w:color="auto"/>
            </w:tcBorders>
            <w:vAlign w:val="bottom"/>
          </w:tcPr>
          <w:p w14:paraId="2CEDA033" w14:textId="77777777" w:rsidR="009F33CD" w:rsidRDefault="00E40740">
            <w:pPr>
              <w:spacing w:after="240" w:line="240" w:lineRule="auto"/>
              <w:rPr>
                <w:rFonts w:cs="Times New Roman"/>
                <w:b/>
                <w:bCs/>
              </w:rPr>
            </w:pPr>
            <w:r>
              <w:rPr>
                <w:rFonts w:cs="Times New Roman"/>
                <w:b/>
                <w:bCs/>
              </w:rPr>
              <w:t>R Square</w:t>
            </w:r>
          </w:p>
        </w:tc>
        <w:tc>
          <w:tcPr>
            <w:tcW w:w="1250" w:type="pct"/>
            <w:tcBorders>
              <w:top w:val="single" w:sz="4" w:space="0" w:color="auto"/>
              <w:bottom w:val="single" w:sz="4" w:space="0" w:color="auto"/>
            </w:tcBorders>
            <w:vAlign w:val="bottom"/>
          </w:tcPr>
          <w:p w14:paraId="3327953A" w14:textId="77777777" w:rsidR="009F33CD" w:rsidRDefault="00E40740">
            <w:pPr>
              <w:spacing w:after="240" w:line="240" w:lineRule="auto"/>
              <w:rPr>
                <w:rFonts w:cs="Times New Roman"/>
                <w:b/>
                <w:bCs/>
              </w:rPr>
            </w:pPr>
            <w:r>
              <w:rPr>
                <w:rFonts w:cs="Times New Roman"/>
                <w:b/>
                <w:bCs/>
              </w:rPr>
              <w:t>Adjusted R Square</w:t>
            </w:r>
          </w:p>
        </w:tc>
        <w:tc>
          <w:tcPr>
            <w:tcW w:w="1719" w:type="pct"/>
            <w:tcBorders>
              <w:top w:val="single" w:sz="4" w:space="0" w:color="auto"/>
              <w:bottom w:val="single" w:sz="4" w:space="0" w:color="auto"/>
            </w:tcBorders>
            <w:vAlign w:val="bottom"/>
          </w:tcPr>
          <w:p w14:paraId="10949D9A" w14:textId="77777777" w:rsidR="009F33CD" w:rsidRDefault="00E40740">
            <w:pPr>
              <w:spacing w:after="240" w:line="240" w:lineRule="auto"/>
              <w:rPr>
                <w:rFonts w:cs="Times New Roman"/>
                <w:b/>
                <w:bCs/>
              </w:rPr>
            </w:pPr>
            <w:r>
              <w:rPr>
                <w:rFonts w:cs="Times New Roman"/>
                <w:b/>
                <w:bCs/>
              </w:rPr>
              <w:t>Std. Error of the Estimate</w:t>
            </w:r>
          </w:p>
        </w:tc>
      </w:tr>
      <w:tr w:rsidR="009F33CD" w14:paraId="1A490694" w14:textId="77777777">
        <w:trPr>
          <w:cantSplit/>
          <w:trHeight w:val="45"/>
        </w:trPr>
        <w:tc>
          <w:tcPr>
            <w:tcW w:w="414" w:type="pct"/>
            <w:tcBorders>
              <w:top w:val="single" w:sz="4" w:space="0" w:color="auto"/>
              <w:bottom w:val="single" w:sz="4" w:space="0" w:color="auto"/>
            </w:tcBorders>
          </w:tcPr>
          <w:p w14:paraId="26C88AB3" w14:textId="77777777" w:rsidR="009F33CD" w:rsidRDefault="00E40740">
            <w:pPr>
              <w:spacing w:after="240" w:line="240" w:lineRule="auto"/>
              <w:rPr>
                <w:rFonts w:cs="Times New Roman"/>
              </w:rPr>
            </w:pPr>
            <w:r>
              <w:rPr>
                <w:rFonts w:cs="Times New Roman"/>
              </w:rPr>
              <w:t>1</w:t>
            </w:r>
          </w:p>
        </w:tc>
        <w:tc>
          <w:tcPr>
            <w:tcW w:w="419" w:type="pct"/>
            <w:tcBorders>
              <w:top w:val="single" w:sz="4" w:space="0" w:color="auto"/>
              <w:bottom w:val="single" w:sz="4" w:space="0" w:color="auto"/>
            </w:tcBorders>
          </w:tcPr>
          <w:p w14:paraId="767DC86B" w14:textId="77777777" w:rsidR="009F33CD" w:rsidRDefault="009F33CD">
            <w:pPr>
              <w:spacing w:after="240" w:line="240" w:lineRule="auto"/>
              <w:rPr>
                <w:rFonts w:cs="Times New Roman"/>
              </w:rPr>
            </w:pPr>
          </w:p>
        </w:tc>
        <w:tc>
          <w:tcPr>
            <w:tcW w:w="521" w:type="pct"/>
            <w:tcBorders>
              <w:top w:val="single" w:sz="4" w:space="0" w:color="auto"/>
              <w:bottom w:val="single" w:sz="4" w:space="0" w:color="auto"/>
            </w:tcBorders>
          </w:tcPr>
          <w:p w14:paraId="527EB771" w14:textId="77777777" w:rsidR="009F33CD" w:rsidRDefault="00E40740">
            <w:pPr>
              <w:spacing w:after="240" w:line="240" w:lineRule="auto"/>
              <w:rPr>
                <w:rFonts w:cs="Times New Roman"/>
              </w:rPr>
            </w:pPr>
            <w:r>
              <w:rPr>
                <w:rFonts w:cs="Times New Roman"/>
              </w:rPr>
              <w:t>.733</w:t>
            </w:r>
            <w:r>
              <w:rPr>
                <w:rFonts w:cs="Times New Roman"/>
                <w:vertAlign w:val="superscript"/>
              </w:rPr>
              <w:t>a</w:t>
            </w:r>
          </w:p>
        </w:tc>
        <w:tc>
          <w:tcPr>
            <w:tcW w:w="677" w:type="pct"/>
            <w:tcBorders>
              <w:top w:val="single" w:sz="4" w:space="0" w:color="auto"/>
              <w:bottom w:val="single" w:sz="4" w:space="0" w:color="auto"/>
            </w:tcBorders>
          </w:tcPr>
          <w:p w14:paraId="62504C94" w14:textId="77777777" w:rsidR="009F33CD" w:rsidRDefault="00E40740">
            <w:pPr>
              <w:spacing w:after="240" w:line="240" w:lineRule="auto"/>
              <w:rPr>
                <w:rFonts w:cs="Times New Roman"/>
              </w:rPr>
            </w:pPr>
            <w:r>
              <w:rPr>
                <w:rFonts w:cs="Times New Roman"/>
              </w:rPr>
              <w:t>.538</w:t>
            </w:r>
          </w:p>
        </w:tc>
        <w:tc>
          <w:tcPr>
            <w:tcW w:w="1250" w:type="pct"/>
            <w:tcBorders>
              <w:top w:val="single" w:sz="4" w:space="0" w:color="auto"/>
              <w:bottom w:val="single" w:sz="4" w:space="0" w:color="auto"/>
            </w:tcBorders>
          </w:tcPr>
          <w:p w14:paraId="3D96C480" w14:textId="77777777" w:rsidR="009F33CD" w:rsidRDefault="00E40740">
            <w:pPr>
              <w:spacing w:after="240" w:line="240" w:lineRule="auto"/>
              <w:rPr>
                <w:rFonts w:cs="Times New Roman"/>
              </w:rPr>
            </w:pPr>
            <w:r>
              <w:rPr>
                <w:rFonts w:cs="Times New Roman"/>
              </w:rPr>
              <w:t>.534</w:t>
            </w:r>
          </w:p>
        </w:tc>
        <w:tc>
          <w:tcPr>
            <w:tcW w:w="1719" w:type="pct"/>
            <w:tcBorders>
              <w:top w:val="single" w:sz="4" w:space="0" w:color="auto"/>
              <w:bottom w:val="single" w:sz="4" w:space="0" w:color="auto"/>
            </w:tcBorders>
          </w:tcPr>
          <w:p w14:paraId="5BFD2A34" w14:textId="77777777" w:rsidR="009F33CD" w:rsidRDefault="00E40740">
            <w:pPr>
              <w:spacing w:after="240" w:line="240" w:lineRule="auto"/>
              <w:rPr>
                <w:rFonts w:cs="Times New Roman"/>
              </w:rPr>
            </w:pPr>
            <w:r>
              <w:rPr>
                <w:rFonts w:cs="Times New Roman"/>
              </w:rPr>
              <w:t>.63486</w:t>
            </w:r>
          </w:p>
        </w:tc>
      </w:tr>
      <w:tr w:rsidR="009F33CD" w14:paraId="2AD4903B" w14:textId="77777777">
        <w:trPr>
          <w:cantSplit/>
          <w:trHeight w:val="45"/>
        </w:trPr>
        <w:tc>
          <w:tcPr>
            <w:tcW w:w="5000" w:type="pct"/>
            <w:gridSpan w:val="6"/>
            <w:tcBorders>
              <w:top w:val="single" w:sz="4" w:space="0" w:color="auto"/>
              <w:bottom w:val="nil"/>
            </w:tcBorders>
          </w:tcPr>
          <w:p w14:paraId="7E8E0EA3" w14:textId="77777777" w:rsidR="009F33CD" w:rsidRDefault="00E40740">
            <w:pPr>
              <w:spacing w:after="240" w:line="240" w:lineRule="auto"/>
              <w:rPr>
                <w:rFonts w:cs="Times New Roman"/>
              </w:rPr>
            </w:pPr>
            <w:r>
              <w:rPr>
                <w:rFonts w:cs="Times New Roman"/>
              </w:rPr>
              <w:t>a. Predictors: (Constant), green employee resourcing</w:t>
            </w:r>
          </w:p>
        </w:tc>
      </w:tr>
    </w:tbl>
    <w:p w14:paraId="37ADFB94" w14:textId="77777777" w:rsidR="009F33CD" w:rsidRDefault="00E40740">
      <w:pPr>
        <w:spacing w:after="240"/>
        <w:rPr>
          <w:rFonts w:cs="Times New Roman"/>
        </w:rPr>
      </w:pPr>
      <w:r>
        <w:rPr>
          <w:rFonts w:cs="Times New Roman"/>
        </w:rPr>
        <w:t>Accord</w:t>
      </w:r>
      <w:r w:rsidR="00494588">
        <w:rPr>
          <w:rFonts w:cs="Times New Roman"/>
        </w:rPr>
        <w:t>ing to the results in Table 4.19</w:t>
      </w:r>
      <w:r>
        <w:rPr>
          <w:rFonts w:cs="Times New Roman"/>
        </w:rPr>
        <w:t>, green employee resourcing accounts for 53.8% (R</w:t>
      </w:r>
      <w:r>
        <w:rPr>
          <w:rFonts w:cs="Times New Roman"/>
          <w:vertAlign w:val="superscript"/>
        </w:rPr>
        <w:t xml:space="preserve">2 </w:t>
      </w:r>
      <w:r>
        <w:rPr>
          <w:rFonts w:cs="Times New Roman"/>
        </w:rPr>
        <w:t>=.538) of the variance in the performance of devolved healthcare services. The finding implies that green employee resourcing has a statistically significant effect on performance of devolved healthcare services. These findings align with those of Bhutto and Auranzeb (2016), Sriram and Suba (2018), and Javed and Cheema (2017), all of which identified a positive relationship between green recruitment</w:t>
      </w:r>
      <w:r>
        <w:rPr>
          <w:rFonts w:cs="Times New Roman"/>
          <w:lang w:val="en-US"/>
        </w:rPr>
        <w:t xml:space="preserve">, </w:t>
      </w:r>
      <w:r>
        <w:rPr>
          <w:rFonts w:cs="Times New Roman"/>
        </w:rPr>
        <w:t>selection and organizational performance. However, the model does not include other green human resource management practices, explaining the remaining 46.2% variance.</w:t>
      </w:r>
    </w:p>
    <w:p w14:paraId="289935EF" w14:textId="77777777" w:rsidR="005728DC" w:rsidRDefault="005728DC">
      <w:pPr>
        <w:autoSpaceDE/>
        <w:autoSpaceDN/>
        <w:adjustRightInd/>
        <w:spacing w:before="0" w:beforeAutospacing="0" w:after="0" w:afterAutospacing="0" w:line="240" w:lineRule="auto"/>
        <w:jc w:val="left"/>
        <w:rPr>
          <w:rFonts w:eastAsiaTheme="majorEastAsia" w:cstheme="majorBidi"/>
          <w:b/>
        </w:rPr>
      </w:pPr>
      <w:bookmarkStart w:id="1228" w:name="_Toc165626405"/>
      <w:bookmarkStart w:id="1229" w:name="_Toc178945067"/>
      <w:bookmarkStart w:id="1230" w:name="_Toc178944315"/>
      <w:bookmarkStart w:id="1231" w:name="_Toc165623624"/>
      <w:bookmarkStart w:id="1232" w:name="_Toc178942657"/>
      <w:bookmarkStart w:id="1233" w:name="_Toc187080878"/>
      <w:bookmarkStart w:id="1234" w:name="_Toc185614106"/>
      <w:bookmarkStart w:id="1235" w:name="_Toc224237449"/>
      <w:r>
        <w:br w:type="page"/>
      </w:r>
    </w:p>
    <w:p w14:paraId="18B6CB26" w14:textId="77777777" w:rsidR="009F33CD" w:rsidRDefault="000748E0">
      <w:pPr>
        <w:pStyle w:val="Heading6"/>
      </w:pPr>
      <w:r>
        <w:lastRenderedPageBreak/>
        <w:t>Table 4.20</w:t>
      </w:r>
      <w:r w:rsidR="00E40740">
        <w:t>: Regression Coefficients for Green Employee R</w:t>
      </w:r>
      <w:bookmarkEnd w:id="1228"/>
      <w:bookmarkEnd w:id="1229"/>
      <w:bookmarkEnd w:id="1230"/>
      <w:bookmarkEnd w:id="1231"/>
      <w:bookmarkEnd w:id="1232"/>
      <w:r w:rsidR="00E40740">
        <w:t>esourcing and Performance</w:t>
      </w:r>
      <w:bookmarkEnd w:id="1233"/>
      <w:bookmarkEnd w:id="1234"/>
      <w:bookmarkEnd w:id="1235"/>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514"/>
        <w:gridCol w:w="1379"/>
        <w:gridCol w:w="898"/>
        <w:gridCol w:w="1248"/>
        <w:gridCol w:w="1835"/>
        <w:gridCol w:w="1322"/>
        <w:gridCol w:w="1024"/>
      </w:tblGrid>
      <w:tr w:rsidR="009F33CD" w14:paraId="4FDB3C98" w14:textId="77777777" w:rsidTr="00494588">
        <w:trPr>
          <w:cantSplit/>
          <w:trHeight w:val="496"/>
        </w:trPr>
        <w:tc>
          <w:tcPr>
            <w:tcW w:w="1152" w:type="pct"/>
            <w:gridSpan w:val="2"/>
            <w:vMerge w:val="restart"/>
            <w:tcBorders>
              <w:top w:val="single" w:sz="4" w:space="0" w:color="auto"/>
              <w:bottom w:val="nil"/>
            </w:tcBorders>
          </w:tcPr>
          <w:p w14:paraId="379C228F" w14:textId="77777777" w:rsidR="009F33CD" w:rsidRDefault="00E40740" w:rsidP="00494588">
            <w:pPr>
              <w:spacing w:after="240" w:line="240" w:lineRule="auto"/>
              <w:jc w:val="left"/>
              <w:rPr>
                <w:rFonts w:cs="Times New Roman"/>
                <w:b/>
                <w:bCs/>
              </w:rPr>
            </w:pPr>
            <w:r>
              <w:rPr>
                <w:rFonts w:cs="Times New Roman"/>
                <w:b/>
                <w:bCs/>
              </w:rPr>
              <w:t>Model</w:t>
            </w:r>
          </w:p>
        </w:tc>
        <w:tc>
          <w:tcPr>
            <w:tcW w:w="1305" w:type="pct"/>
            <w:gridSpan w:val="2"/>
            <w:tcBorders>
              <w:top w:val="single" w:sz="4" w:space="0" w:color="auto"/>
              <w:bottom w:val="single" w:sz="4" w:space="0" w:color="auto"/>
            </w:tcBorders>
            <w:vAlign w:val="bottom"/>
          </w:tcPr>
          <w:p w14:paraId="7BE692CD" w14:textId="77777777" w:rsidR="009F33CD" w:rsidRDefault="00E40740" w:rsidP="001E3129">
            <w:pPr>
              <w:spacing w:after="240" w:line="240" w:lineRule="auto"/>
              <w:jc w:val="center"/>
              <w:rPr>
                <w:rFonts w:cs="Times New Roman"/>
                <w:b/>
                <w:bCs/>
              </w:rPr>
            </w:pPr>
            <w:r>
              <w:rPr>
                <w:rFonts w:cs="Times New Roman"/>
                <w:b/>
                <w:bCs/>
              </w:rPr>
              <w:t>Unstandardized Coefficients</w:t>
            </w:r>
          </w:p>
        </w:tc>
        <w:tc>
          <w:tcPr>
            <w:tcW w:w="1116" w:type="pct"/>
            <w:tcBorders>
              <w:top w:val="single" w:sz="4" w:space="0" w:color="auto"/>
              <w:bottom w:val="single" w:sz="4" w:space="0" w:color="auto"/>
            </w:tcBorders>
            <w:vAlign w:val="bottom"/>
          </w:tcPr>
          <w:p w14:paraId="579AADEB" w14:textId="77777777" w:rsidR="009F33CD" w:rsidRDefault="00E40740" w:rsidP="001E3129">
            <w:pPr>
              <w:spacing w:after="240" w:line="240" w:lineRule="auto"/>
              <w:jc w:val="center"/>
              <w:rPr>
                <w:rFonts w:cs="Times New Roman"/>
                <w:b/>
                <w:bCs/>
              </w:rPr>
            </w:pPr>
            <w:r>
              <w:rPr>
                <w:rFonts w:cs="Times New Roman"/>
                <w:b/>
                <w:bCs/>
              </w:rPr>
              <w:t>Standardized Coefficients</w:t>
            </w:r>
          </w:p>
        </w:tc>
        <w:tc>
          <w:tcPr>
            <w:tcW w:w="804" w:type="pct"/>
            <w:vMerge w:val="restart"/>
            <w:tcBorders>
              <w:top w:val="single" w:sz="4" w:space="0" w:color="auto"/>
              <w:bottom w:val="nil"/>
            </w:tcBorders>
          </w:tcPr>
          <w:p w14:paraId="640EFC7E" w14:textId="77777777" w:rsidR="009F33CD" w:rsidRDefault="00E40740" w:rsidP="00494588">
            <w:pPr>
              <w:spacing w:after="240" w:line="240" w:lineRule="auto"/>
              <w:jc w:val="center"/>
              <w:rPr>
                <w:rFonts w:cs="Times New Roman"/>
                <w:b/>
                <w:bCs/>
              </w:rPr>
            </w:pPr>
            <w:r>
              <w:rPr>
                <w:rFonts w:cs="Times New Roman"/>
                <w:b/>
                <w:bCs/>
              </w:rPr>
              <w:t>T</w:t>
            </w:r>
          </w:p>
        </w:tc>
        <w:tc>
          <w:tcPr>
            <w:tcW w:w="624" w:type="pct"/>
            <w:vMerge w:val="restart"/>
            <w:tcBorders>
              <w:top w:val="single" w:sz="4" w:space="0" w:color="auto"/>
              <w:bottom w:val="nil"/>
            </w:tcBorders>
          </w:tcPr>
          <w:p w14:paraId="2DF94BBC" w14:textId="77777777" w:rsidR="009F33CD" w:rsidRDefault="00E40740" w:rsidP="00494588">
            <w:pPr>
              <w:spacing w:after="240" w:line="240" w:lineRule="auto"/>
              <w:jc w:val="center"/>
              <w:rPr>
                <w:rFonts w:cs="Times New Roman"/>
                <w:b/>
                <w:bCs/>
              </w:rPr>
            </w:pPr>
            <w:r>
              <w:rPr>
                <w:rFonts w:cs="Times New Roman"/>
                <w:b/>
                <w:bCs/>
              </w:rPr>
              <w:t>Sig.</w:t>
            </w:r>
          </w:p>
        </w:tc>
      </w:tr>
      <w:tr w:rsidR="009F33CD" w14:paraId="50C7A51E" w14:textId="77777777" w:rsidTr="00494588">
        <w:trPr>
          <w:cantSplit/>
          <w:trHeight w:val="241"/>
        </w:trPr>
        <w:tc>
          <w:tcPr>
            <w:tcW w:w="1152" w:type="pct"/>
            <w:gridSpan w:val="2"/>
            <w:vMerge/>
            <w:tcBorders>
              <w:top w:val="nil"/>
              <w:bottom w:val="single" w:sz="4" w:space="0" w:color="auto"/>
            </w:tcBorders>
            <w:vAlign w:val="bottom"/>
          </w:tcPr>
          <w:p w14:paraId="28B07022" w14:textId="77777777" w:rsidR="009F33CD" w:rsidRDefault="009F33CD">
            <w:pPr>
              <w:spacing w:after="240" w:line="240" w:lineRule="auto"/>
              <w:rPr>
                <w:rFonts w:cs="Times New Roman"/>
                <w:b/>
                <w:bCs/>
              </w:rPr>
            </w:pPr>
          </w:p>
        </w:tc>
        <w:tc>
          <w:tcPr>
            <w:tcW w:w="546" w:type="pct"/>
            <w:tcBorders>
              <w:top w:val="single" w:sz="4" w:space="0" w:color="auto"/>
              <w:bottom w:val="single" w:sz="4" w:space="0" w:color="auto"/>
            </w:tcBorders>
            <w:vAlign w:val="bottom"/>
          </w:tcPr>
          <w:p w14:paraId="13CA84D2" w14:textId="77777777" w:rsidR="009F33CD" w:rsidRDefault="00E40740">
            <w:pPr>
              <w:spacing w:after="240" w:line="240" w:lineRule="auto"/>
              <w:jc w:val="center"/>
              <w:rPr>
                <w:rFonts w:cs="Times New Roman"/>
                <w:b/>
                <w:bCs/>
              </w:rPr>
            </w:pPr>
            <w:r>
              <w:rPr>
                <w:rFonts w:cs="Times New Roman"/>
                <w:b/>
                <w:bCs/>
              </w:rPr>
              <w:t>B</w:t>
            </w:r>
          </w:p>
        </w:tc>
        <w:tc>
          <w:tcPr>
            <w:tcW w:w="759" w:type="pct"/>
            <w:tcBorders>
              <w:top w:val="single" w:sz="4" w:space="0" w:color="auto"/>
              <w:bottom w:val="single" w:sz="4" w:space="0" w:color="auto"/>
            </w:tcBorders>
            <w:vAlign w:val="bottom"/>
          </w:tcPr>
          <w:p w14:paraId="5B56362B" w14:textId="77777777" w:rsidR="009F33CD" w:rsidRDefault="00E40740">
            <w:pPr>
              <w:spacing w:after="240" w:line="240" w:lineRule="auto"/>
              <w:jc w:val="center"/>
              <w:rPr>
                <w:rFonts w:cs="Times New Roman"/>
                <w:b/>
                <w:bCs/>
              </w:rPr>
            </w:pPr>
            <w:r>
              <w:rPr>
                <w:rFonts w:cs="Times New Roman"/>
                <w:b/>
                <w:bCs/>
              </w:rPr>
              <w:t>Std. Error</w:t>
            </w:r>
          </w:p>
        </w:tc>
        <w:tc>
          <w:tcPr>
            <w:tcW w:w="1116" w:type="pct"/>
            <w:tcBorders>
              <w:top w:val="single" w:sz="4" w:space="0" w:color="auto"/>
              <w:bottom w:val="single" w:sz="4" w:space="0" w:color="auto"/>
            </w:tcBorders>
            <w:vAlign w:val="bottom"/>
          </w:tcPr>
          <w:p w14:paraId="1568ED36" w14:textId="77777777" w:rsidR="009F33CD" w:rsidRDefault="00E40740">
            <w:pPr>
              <w:spacing w:after="240" w:line="240" w:lineRule="auto"/>
              <w:jc w:val="center"/>
              <w:rPr>
                <w:rFonts w:cs="Times New Roman"/>
                <w:b/>
                <w:bCs/>
              </w:rPr>
            </w:pPr>
            <w:r>
              <w:rPr>
                <w:rFonts w:cs="Times New Roman"/>
                <w:b/>
                <w:bCs/>
              </w:rPr>
              <w:t>Beta</w:t>
            </w:r>
          </w:p>
        </w:tc>
        <w:tc>
          <w:tcPr>
            <w:tcW w:w="804" w:type="pct"/>
            <w:vMerge/>
            <w:tcBorders>
              <w:top w:val="nil"/>
              <w:bottom w:val="single" w:sz="4" w:space="0" w:color="auto"/>
            </w:tcBorders>
          </w:tcPr>
          <w:p w14:paraId="7560DF12" w14:textId="77777777" w:rsidR="009F33CD" w:rsidRDefault="009F33CD" w:rsidP="00494588">
            <w:pPr>
              <w:spacing w:after="240" w:line="240" w:lineRule="auto"/>
              <w:jc w:val="center"/>
              <w:rPr>
                <w:rFonts w:cs="Times New Roman"/>
              </w:rPr>
            </w:pPr>
          </w:p>
        </w:tc>
        <w:tc>
          <w:tcPr>
            <w:tcW w:w="624" w:type="pct"/>
            <w:vMerge/>
            <w:tcBorders>
              <w:top w:val="nil"/>
              <w:bottom w:val="single" w:sz="4" w:space="0" w:color="auto"/>
            </w:tcBorders>
          </w:tcPr>
          <w:p w14:paraId="205AA70F" w14:textId="77777777" w:rsidR="009F33CD" w:rsidRDefault="009F33CD" w:rsidP="00494588">
            <w:pPr>
              <w:spacing w:after="240" w:line="240" w:lineRule="auto"/>
              <w:jc w:val="center"/>
              <w:rPr>
                <w:rFonts w:cs="Times New Roman"/>
              </w:rPr>
            </w:pPr>
          </w:p>
        </w:tc>
      </w:tr>
      <w:tr w:rsidR="009F33CD" w14:paraId="66103B11" w14:textId="77777777" w:rsidTr="00494588">
        <w:trPr>
          <w:cantSplit/>
          <w:trHeight w:val="174"/>
        </w:trPr>
        <w:tc>
          <w:tcPr>
            <w:tcW w:w="313" w:type="pct"/>
            <w:vMerge w:val="restart"/>
            <w:tcBorders>
              <w:top w:val="single" w:sz="4" w:space="0" w:color="auto"/>
            </w:tcBorders>
          </w:tcPr>
          <w:p w14:paraId="1616525B" w14:textId="77777777" w:rsidR="009F33CD" w:rsidRDefault="00E40740">
            <w:pPr>
              <w:spacing w:after="240" w:line="240" w:lineRule="auto"/>
              <w:rPr>
                <w:rFonts w:cs="Times New Roman"/>
              </w:rPr>
            </w:pPr>
            <w:r>
              <w:rPr>
                <w:rFonts w:cs="Times New Roman"/>
              </w:rPr>
              <w:t>1</w:t>
            </w:r>
          </w:p>
        </w:tc>
        <w:tc>
          <w:tcPr>
            <w:tcW w:w="839" w:type="pct"/>
            <w:tcBorders>
              <w:top w:val="single" w:sz="4" w:space="0" w:color="auto"/>
            </w:tcBorders>
          </w:tcPr>
          <w:p w14:paraId="71623A75" w14:textId="77777777" w:rsidR="009F33CD" w:rsidRDefault="00E40740">
            <w:pPr>
              <w:spacing w:after="240" w:line="240" w:lineRule="auto"/>
              <w:rPr>
                <w:rFonts w:cs="Times New Roman"/>
              </w:rPr>
            </w:pPr>
            <w:r>
              <w:rPr>
                <w:rFonts w:cs="Times New Roman"/>
              </w:rPr>
              <w:t>(Constant)</w:t>
            </w:r>
          </w:p>
        </w:tc>
        <w:tc>
          <w:tcPr>
            <w:tcW w:w="546" w:type="pct"/>
            <w:tcBorders>
              <w:top w:val="single" w:sz="4" w:space="0" w:color="auto"/>
            </w:tcBorders>
          </w:tcPr>
          <w:p w14:paraId="60698CB1" w14:textId="77777777" w:rsidR="009F33CD" w:rsidRDefault="00E40740">
            <w:pPr>
              <w:spacing w:after="240" w:line="240" w:lineRule="auto"/>
              <w:jc w:val="center"/>
              <w:rPr>
                <w:rFonts w:cs="Times New Roman"/>
              </w:rPr>
            </w:pPr>
            <w:r>
              <w:rPr>
                <w:rFonts w:cs="Times New Roman"/>
              </w:rPr>
              <w:t>0.134</w:t>
            </w:r>
          </w:p>
        </w:tc>
        <w:tc>
          <w:tcPr>
            <w:tcW w:w="759" w:type="pct"/>
            <w:tcBorders>
              <w:top w:val="single" w:sz="4" w:space="0" w:color="auto"/>
            </w:tcBorders>
          </w:tcPr>
          <w:p w14:paraId="4C475B9C" w14:textId="77777777" w:rsidR="009F33CD" w:rsidRDefault="00E40740">
            <w:pPr>
              <w:spacing w:after="240" w:line="240" w:lineRule="auto"/>
              <w:jc w:val="center"/>
              <w:rPr>
                <w:rFonts w:cs="Times New Roman"/>
              </w:rPr>
            </w:pPr>
            <w:r>
              <w:rPr>
                <w:rFonts w:cs="Times New Roman"/>
              </w:rPr>
              <w:t>.301</w:t>
            </w:r>
          </w:p>
        </w:tc>
        <w:tc>
          <w:tcPr>
            <w:tcW w:w="1116" w:type="pct"/>
            <w:tcBorders>
              <w:top w:val="single" w:sz="4" w:space="0" w:color="auto"/>
            </w:tcBorders>
            <w:vAlign w:val="center"/>
          </w:tcPr>
          <w:p w14:paraId="68924C6E" w14:textId="77777777" w:rsidR="009F33CD" w:rsidRDefault="009F33CD">
            <w:pPr>
              <w:spacing w:after="240" w:line="240" w:lineRule="auto"/>
              <w:jc w:val="center"/>
              <w:rPr>
                <w:rFonts w:cs="Times New Roman"/>
              </w:rPr>
            </w:pPr>
          </w:p>
        </w:tc>
        <w:tc>
          <w:tcPr>
            <w:tcW w:w="804" w:type="pct"/>
            <w:tcBorders>
              <w:top w:val="single" w:sz="4" w:space="0" w:color="auto"/>
            </w:tcBorders>
          </w:tcPr>
          <w:p w14:paraId="4F8B1338" w14:textId="77777777" w:rsidR="009F33CD" w:rsidRDefault="00E40740" w:rsidP="00494588">
            <w:pPr>
              <w:spacing w:after="240" w:line="240" w:lineRule="auto"/>
              <w:jc w:val="center"/>
              <w:rPr>
                <w:rFonts w:cs="Times New Roman"/>
              </w:rPr>
            </w:pPr>
            <w:r>
              <w:rPr>
                <w:rFonts w:cs="Times New Roman"/>
              </w:rPr>
              <w:t>2.114</w:t>
            </w:r>
          </w:p>
        </w:tc>
        <w:tc>
          <w:tcPr>
            <w:tcW w:w="624" w:type="pct"/>
            <w:tcBorders>
              <w:top w:val="single" w:sz="4" w:space="0" w:color="auto"/>
            </w:tcBorders>
          </w:tcPr>
          <w:p w14:paraId="256D1D78" w14:textId="77777777" w:rsidR="009F33CD" w:rsidRDefault="00E40740" w:rsidP="00494588">
            <w:pPr>
              <w:spacing w:after="240" w:line="240" w:lineRule="auto"/>
              <w:jc w:val="center"/>
              <w:rPr>
                <w:rFonts w:cs="Times New Roman"/>
              </w:rPr>
            </w:pPr>
            <w:r>
              <w:rPr>
                <w:rFonts w:cs="Times New Roman"/>
              </w:rPr>
              <w:t>.004</w:t>
            </w:r>
          </w:p>
        </w:tc>
      </w:tr>
      <w:tr w:rsidR="009F33CD" w14:paraId="48531FA8" w14:textId="77777777" w:rsidTr="00494588">
        <w:trPr>
          <w:cantSplit/>
          <w:trHeight w:val="268"/>
        </w:trPr>
        <w:tc>
          <w:tcPr>
            <w:tcW w:w="313" w:type="pct"/>
            <w:vMerge/>
            <w:tcBorders>
              <w:bottom w:val="single" w:sz="4" w:space="0" w:color="auto"/>
            </w:tcBorders>
          </w:tcPr>
          <w:p w14:paraId="17B6D70A" w14:textId="77777777" w:rsidR="009F33CD" w:rsidRDefault="009F33CD">
            <w:pPr>
              <w:spacing w:after="240" w:line="240" w:lineRule="auto"/>
              <w:rPr>
                <w:rFonts w:cs="Times New Roman"/>
              </w:rPr>
            </w:pPr>
          </w:p>
        </w:tc>
        <w:tc>
          <w:tcPr>
            <w:tcW w:w="839" w:type="pct"/>
            <w:tcBorders>
              <w:bottom w:val="single" w:sz="4" w:space="0" w:color="auto"/>
            </w:tcBorders>
          </w:tcPr>
          <w:p w14:paraId="5C6468A2" w14:textId="77777777" w:rsidR="009F33CD" w:rsidRDefault="00E40740">
            <w:pPr>
              <w:spacing w:after="240" w:line="240" w:lineRule="auto"/>
              <w:rPr>
                <w:rFonts w:cs="Times New Roman"/>
              </w:rPr>
            </w:pPr>
            <w:r>
              <w:rPr>
                <w:rFonts w:cs="Times New Roman"/>
              </w:rPr>
              <w:t>X</w:t>
            </w:r>
            <w:r>
              <w:rPr>
                <w:rFonts w:cs="Times New Roman"/>
                <w:vertAlign w:val="subscript"/>
              </w:rPr>
              <w:t>1</w:t>
            </w:r>
          </w:p>
        </w:tc>
        <w:tc>
          <w:tcPr>
            <w:tcW w:w="546" w:type="pct"/>
            <w:tcBorders>
              <w:bottom w:val="single" w:sz="4" w:space="0" w:color="auto"/>
            </w:tcBorders>
          </w:tcPr>
          <w:p w14:paraId="130EEC11" w14:textId="77777777" w:rsidR="009F33CD" w:rsidRDefault="00E40740">
            <w:pPr>
              <w:spacing w:after="240" w:line="240" w:lineRule="auto"/>
              <w:jc w:val="center"/>
              <w:rPr>
                <w:rFonts w:cs="Times New Roman"/>
              </w:rPr>
            </w:pPr>
            <w:r>
              <w:rPr>
                <w:rFonts w:cs="Times New Roman"/>
              </w:rPr>
              <w:t>.843</w:t>
            </w:r>
          </w:p>
        </w:tc>
        <w:tc>
          <w:tcPr>
            <w:tcW w:w="759" w:type="pct"/>
            <w:tcBorders>
              <w:bottom w:val="single" w:sz="4" w:space="0" w:color="auto"/>
            </w:tcBorders>
          </w:tcPr>
          <w:p w14:paraId="3E82FA27" w14:textId="77777777" w:rsidR="009F33CD" w:rsidRDefault="00E40740">
            <w:pPr>
              <w:spacing w:after="240" w:line="240" w:lineRule="auto"/>
              <w:jc w:val="center"/>
              <w:rPr>
                <w:rFonts w:cs="Times New Roman"/>
              </w:rPr>
            </w:pPr>
            <w:r>
              <w:rPr>
                <w:rFonts w:cs="Times New Roman"/>
              </w:rPr>
              <w:t>.086</w:t>
            </w:r>
          </w:p>
        </w:tc>
        <w:tc>
          <w:tcPr>
            <w:tcW w:w="1116" w:type="pct"/>
            <w:tcBorders>
              <w:bottom w:val="single" w:sz="4" w:space="0" w:color="auto"/>
            </w:tcBorders>
          </w:tcPr>
          <w:p w14:paraId="41C389ED" w14:textId="77777777" w:rsidR="009F33CD" w:rsidRDefault="00E40740">
            <w:pPr>
              <w:spacing w:after="240" w:line="240" w:lineRule="auto"/>
              <w:jc w:val="center"/>
              <w:rPr>
                <w:rFonts w:cs="Times New Roman"/>
              </w:rPr>
            </w:pPr>
            <w:r>
              <w:rPr>
                <w:rFonts w:cs="Times New Roman"/>
              </w:rPr>
              <w:t>.733</w:t>
            </w:r>
          </w:p>
        </w:tc>
        <w:tc>
          <w:tcPr>
            <w:tcW w:w="804" w:type="pct"/>
            <w:tcBorders>
              <w:bottom w:val="single" w:sz="4" w:space="0" w:color="auto"/>
            </w:tcBorders>
          </w:tcPr>
          <w:p w14:paraId="058F2830" w14:textId="77777777" w:rsidR="009F33CD" w:rsidRDefault="00E40740" w:rsidP="00494588">
            <w:pPr>
              <w:spacing w:after="240" w:line="240" w:lineRule="auto"/>
              <w:jc w:val="center"/>
              <w:rPr>
                <w:rFonts w:cs="Times New Roman"/>
              </w:rPr>
            </w:pPr>
            <w:r>
              <w:rPr>
                <w:rFonts w:cs="Times New Roman"/>
              </w:rPr>
              <w:t>11.615</w:t>
            </w:r>
          </w:p>
        </w:tc>
        <w:tc>
          <w:tcPr>
            <w:tcW w:w="624" w:type="pct"/>
            <w:tcBorders>
              <w:bottom w:val="single" w:sz="4" w:space="0" w:color="auto"/>
            </w:tcBorders>
          </w:tcPr>
          <w:p w14:paraId="600559CE" w14:textId="77777777" w:rsidR="009F33CD" w:rsidRDefault="00E40740" w:rsidP="00494588">
            <w:pPr>
              <w:spacing w:after="240" w:line="240" w:lineRule="auto"/>
              <w:jc w:val="center"/>
              <w:rPr>
                <w:rFonts w:cs="Times New Roman"/>
              </w:rPr>
            </w:pPr>
            <w:r>
              <w:rPr>
                <w:rFonts w:cs="Times New Roman"/>
              </w:rPr>
              <w:t>.000</w:t>
            </w:r>
          </w:p>
        </w:tc>
      </w:tr>
      <w:tr w:rsidR="009F33CD" w14:paraId="67394877" w14:textId="77777777">
        <w:trPr>
          <w:cantSplit/>
          <w:trHeight w:val="268"/>
        </w:trPr>
        <w:tc>
          <w:tcPr>
            <w:tcW w:w="5000" w:type="pct"/>
            <w:gridSpan w:val="7"/>
            <w:tcBorders>
              <w:top w:val="single" w:sz="4" w:space="0" w:color="auto"/>
              <w:bottom w:val="nil"/>
            </w:tcBorders>
          </w:tcPr>
          <w:p w14:paraId="37F2587B" w14:textId="77777777" w:rsidR="009F33CD" w:rsidRDefault="00E40740">
            <w:pPr>
              <w:spacing w:after="240" w:line="240" w:lineRule="auto"/>
              <w:rPr>
                <w:rFonts w:cs="Times New Roman"/>
              </w:rPr>
            </w:pPr>
            <w:r>
              <w:rPr>
                <w:rFonts w:cs="Times New Roman"/>
              </w:rPr>
              <w:t>a. Dependent Variable: Performance of Devolved Healthcare Services in Kenya</w:t>
            </w:r>
          </w:p>
        </w:tc>
      </w:tr>
    </w:tbl>
    <w:p w14:paraId="1B9DD8A5" w14:textId="77777777" w:rsidR="009F33CD" w:rsidRDefault="00E40740">
      <w:pPr>
        <w:spacing w:after="240"/>
        <w:rPr>
          <w:rFonts w:cs="Times New Roman"/>
        </w:rPr>
      </w:pPr>
      <w:r>
        <w:rPr>
          <w:rFonts w:cs="Times New Roman"/>
        </w:rPr>
        <w:t>The regression coef</w:t>
      </w:r>
      <w:r w:rsidR="00494588">
        <w:rPr>
          <w:rFonts w:cs="Times New Roman"/>
        </w:rPr>
        <w:t>ficients, as shown in Table 4.20</w:t>
      </w:r>
      <w:r>
        <w:rPr>
          <w:rFonts w:cs="Times New Roman"/>
        </w:rPr>
        <w:t>, revealed a positive statistically significant relationship between green employee resourcing and the performance of devolved healthcare services, as supported by a beta coefficient of β= 0.843 and a p=0.000&lt;0.05. Therefore;</w:t>
      </w:r>
    </w:p>
    <w:p w14:paraId="118CFC80" w14:textId="77777777" w:rsidR="009F33CD" w:rsidRDefault="00E40740">
      <w:pPr>
        <w:spacing w:after="240"/>
        <w:jc w:val="right"/>
        <w:rPr>
          <w:rFonts w:cs="Times New Roman"/>
        </w:rPr>
      </w:pPr>
      <w:r>
        <w:rPr>
          <w:rFonts w:cs="Times New Roman"/>
        </w:rPr>
        <w:t>Y=0.134+0.843X</w:t>
      </w:r>
      <w:r>
        <w:rPr>
          <w:rFonts w:cs="Times New Roman"/>
          <w:vertAlign w:val="subscript"/>
        </w:rPr>
        <w:t>1</w:t>
      </w:r>
      <w:r>
        <w:rPr>
          <w:rFonts w:cs="Times New Roman"/>
        </w:rPr>
        <w:t>…………………………………………………………… (eq. 1)</w:t>
      </w:r>
    </w:p>
    <w:p w14:paraId="68BF63B5" w14:textId="77777777" w:rsidR="009F33CD" w:rsidRDefault="00E40740">
      <w:pPr>
        <w:spacing w:after="240"/>
        <w:rPr>
          <w:rFonts w:cs="Times New Roman"/>
          <w:bCs/>
        </w:rPr>
      </w:pPr>
      <w:r>
        <w:rPr>
          <w:rFonts w:cs="Times New Roman"/>
        </w:rPr>
        <w:t>The results imply that a unit increase in green employee resourcing (X</w:t>
      </w:r>
      <w:r>
        <w:rPr>
          <w:rFonts w:cs="Times New Roman"/>
          <w:vertAlign w:val="subscript"/>
        </w:rPr>
        <w:t>1</w:t>
      </w:r>
      <w:r>
        <w:rPr>
          <w:rFonts w:cs="Times New Roman"/>
        </w:rPr>
        <w:t xml:space="preserve">), other factors held constant will increase the performance of devolved healthcare services in Kenya by 0.843 units. Further, in support of the findings, t </w:t>
      </w:r>
      <w:r>
        <w:rPr>
          <w:rFonts w:cs="Times New Roman"/>
          <w:vertAlign w:val="subscript"/>
        </w:rPr>
        <w:t>cal</w:t>
      </w:r>
      <w:r>
        <w:rPr>
          <w:rFonts w:cs="Times New Roman"/>
        </w:rPr>
        <w:t xml:space="preserve">= 11.615 &gt; t </w:t>
      </w:r>
      <w:r>
        <w:rPr>
          <w:rFonts w:cs="Times New Roman"/>
          <w:vertAlign w:val="subscript"/>
        </w:rPr>
        <w:t>critical</w:t>
      </w:r>
      <w:r>
        <w:rPr>
          <w:rFonts w:cs="Times New Roman"/>
        </w:rPr>
        <w:t xml:space="preserve"> =1.96 at a 95 percent confidence level, the null hypothesis (H</w:t>
      </w:r>
      <w:r>
        <w:rPr>
          <w:rFonts w:cs="Times New Roman"/>
          <w:vertAlign w:val="subscript"/>
        </w:rPr>
        <w:t>o1</w:t>
      </w:r>
      <w:r>
        <w:rPr>
          <w:rFonts w:cs="Times New Roman"/>
        </w:rPr>
        <w:t xml:space="preserve">) was rejected, and the alternative hypothesis was accepted. </w:t>
      </w:r>
    </w:p>
    <w:p w14:paraId="11611337" w14:textId="77777777" w:rsidR="009F33CD" w:rsidRDefault="00E40740">
      <w:pPr>
        <w:spacing w:after="240"/>
        <w:rPr>
          <w:rFonts w:cs="Times New Roman"/>
          <w:bCs/>
        </w:rPr>
      </w:pPr>
      <w:bookmarkStart w:id="1236" w:name="_Hlk185187623"/>
      <w:r>
        <w:rPr>
          <w:rFonts w:cs="Times New Roman"/>
        </w:rPr>
        <w:t xml:space="preserve">Analysis of Variance (ANOVA) was conducted to test the study hypothesis and thus establish whether the model was a significant fit for the data. From the </w:t>
      </w:r>
      <w:r w:rsidR="00494588">
        <w:rPr>
          <w:rFonts w:cs="Times New Roman"/>
        </w:rPr>
        <w:t>findings in Table 4.21</w:t>
      </w:r>
      <w:r>
        <w:rPr>
          <w:rFonts w:cs="Times New Roman"/>
        </w:rPr>
        <w:t xml:space="preserve">, the study compared means using one-way ANOVA. </w:t>
      </w:r>
    </w:p>
    <w:p w14:paraId="542ACD24" w14:textId="77777777" w:rsidR="009F33CD" w:rsidRDefault="000748E0">
      <w:pPr>
        <w:pStyle w:val="Heading6"/>
      </w:pPr>
      <w:bookmarkStart w:id="1237" w:name="_Toc185614107"/>
      <w:bookmarkStart w:id="1238" w:name="_Toc187080879"/>
      <w:bookmarkStart w:id="1239" w:name="_Toc224237450"/>
      <w:bookmarkEnd w:id="1236"/>
      <w:r>
        <w:t>Table 4.21</w:t>
      </w:r>
      <w:r w:rsidR="00E40740">
        <w:t>: One-Way ANOVA for Green Employee Resourcing</w:t>
      </w:r>
      <w:bookmarkEnd w:id="1237"/>
      <w:bookmarkEnd w:id="1238"/>
      <w:bookmarkEnd w:id="1239"/>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09"/>
        <w:gridCol w:w="1866"/>
        <w:gridCol w:w="1780"/>
        <w:gridCol w:w="763"/>
        <w:gridCol w:w="1440"/>
        <w:gridCol w:w="1356"/>
        <w:gridCol w:w="506"/>
      </w:tblGrid>
      <w:tr w:rsidR="009F33CD" w14:paraId="2B83EA7D" w14:textId="77777777" w:rsidTr="00494588">
        <w:trPr>
          <w:cantSplit/>
          <w:trHeight w:val="207"/>
        </w:trPr>
        <w:tc>
          <w:tcPr>
            <w:tcW w:w="1444" w:type="pct"/>
            <w:gridSpan w:val="2"/>
            <w:tcBorders>
              <w:top w:val="single" w:sz="4" w:space="0" w:color="auto"/>
              <w:bottom w:val="single" w:sz="4" w:space="0" w:color="auto"/>
            </w:tcBorders>
            <w:vAlign w:val="bottom"/>
          </w:tcPr>
          <w:p w14:paraId="090CC5B5" w14:textId="77777777" w:rsidR="009F33CD" w:rsidRDefault="009F33CD" w:rsidP="001E3129">
            <w:pPr>
              <w:spacing w:before="0" w:beforeAutospacing="0" w:after="0" w:afterAutospacing="0" w:line="240" w:lineRule="auto"/>
              <w:rPr>
                <w:rFonts w:cs="Times New Roman"/>
                <w:b/>
                <w:bCs/>
              </w:rPr>
            </w:pPr>
          </w:p>
        </w:tc>
        <w:tc>
          <w:tcPr>
            <w:tcW w:w="1083" w:type="pct"/>
            <w:tcBorders>
              <w:top w:val="single" w:sz="4" w:space="0" w:color="auto"/>
              <w:bottom w:val="single" w:sz="4" w:space="0" w:color="auto"/>
            </w:tcBorders>
          </w:tcPr>
          <w:p w14:paraId="4A096C3F" w14:textId="77777777" w:rsidR="009F33CD" w:rsidRDefault="00E40740" w:rsidP="00494588">
            <w:pPr>
              <w:spacing w:before="0" w:beforeAutospacing="0" w:after="0" w:afterAutospacing="0" w:line="240" w:lineRule="auto"/>
              <w:jc w:val="center"/>
              <w:rPr>
                <w:rFonts w:cs="Times New Roman"/>
                <w:b/>
                <w:bCs/>
              </w:rPr>
            </w:pPr>
            <w:r>
              <w:rPr>
                <w:rFonts w:cs="Times New Roman"/>
                <w:b/>
                <w:bCs/>
              </w:rPr>
              <w:t>Sum of Squares</w:t>
            </w:r>
          </w:p>
        </w:tc>
        <w:tc>
          <w:tcPr>
            <w:tcW w:w="464" w:type="pct"/>
            <w:tcBorders>
              <w:top w:val="single" w:sz="4" w:space="0" w:color="auto"/>
              <w:bottom w:val="single" w:sz="4" w:space="0" w:color="auto"/>
            </w:tcBorders>
          </w:tcPr>
          <w:p w14:paraId="668A8F44" w14:textId="77777777" w:rsidR="009F33CD" w:rsidRDefault="00E40740" w:rsidP="00494588">
            <w:pPr>
              <w:spacing w:before="0" w:beforeAutospacing="0" w:after="0" w:afterAutospacing="0" w:line="240" w:lineRule="auto"/>
              <w:jc w:val="center"/>
              <w:rPr>
                <w:rFonts w:cs="Times New Roman"/>
                <w:b/>
                <w:bCs/>
              </w:rPr>
            </w:pPr>
            <w:r>
              <w:rPr>
                <w:rFonts w:cs="Times New Roman"/>
                <w:b/>
                <w:bCs/>
              </w:rPr>
              <w:t>Df</w:t>
            </w:r>
          </w:p>
        </w:tc>
        <w:tc>
          <w:tcPr>
            <w:tcW w:w="876" w:type="pct"/>
            <w:tcBorders>
              <w:top w:val="single" w:sz="4" w:space="0" w:color="auto"/>
              <w:bottom w:val="single" w:sz="4" w:space="0" w:color="auto"/>
            </w:tcBorders>
          </w:tcPr>
          <w:p w14:paraId="6CA7107F" w14:textId="77777777" w:rsidR="009F33CD" w:rsidRDefault="00E40740" w:rsidP="00494588">
            <w:pPr>
              <w:spacing w:before="0" w:beforeAutospacing="0" w:after="0" w:afterAutospacing="0" w:line="240" w:lineRule="auto"/>
              <w:jc w:val="center"/>
              <w:rPr>
                <w:rFonts w:cs="Times New Roman"/>
                <w:b/>
                <w:bCs/>
              </w:rPr>
            </w:pPr>
            <w:r>
              <w:rPr>
                <w:rFonts w:cs="Times New Roman"/>
                <w:b/>
                <w:bCs/>
              </w:rPr>
              <w:t>Mean Square</w:t>
            </w:r>
          </w:p>
        </w:tc>
        <w:tc>
          <w:tcPr>
            <w:tcW w:w="825" w:type="pct"/>
            <w:tcBorders>
              <w:top w:val="single" w:sz="4" w:space="0" w:color="auto"/>
              <w:bottom w:val="single" w:sz="4" w:space="0" w:color="auto"/>
            </w:tcBorders>
          </w:tcPr>
          <w:p w14:paraId="6030CE72" w14:textId="77777777" w:rsidR="009F33CD" w:rsidRDefault="00E40740" w:rsidP="00494588">
            <w:pPr>
              <w:spacing w:before="0" w:beforeAutospacing="0" w:after="0" w:afterAutospacing="0" w:line="240" w:lineRule="auto"/>
              <w:jc w:val="center"/>
              <w:rPr>
                <w:rFonts w:cs="Times New Roman"/>
                <w:b/>
                <w:bCs/>
              </w:rPr>
            </w:pPr>
            <w:r>
              <w:rPr>
                <w:rFonts w:cs="Times New Roman"/>
                <w:b/>
                <w:bCs/>
              </w:rPr>
              <w:t>F</w:t>
            </w:r>
          </w:p>
        </w:tc>
        <w:tc>
          <w:tcPr>
            <w:tcW w:w="308" w:type="pct"/>
            <w:tcBorders>
              <w:top w:val="single" w:sz="4" w:space="0" w:color="auto"/>
              <w:bottom w:val="single" w:sz="4" w:space="0" w:color="auto"/>
            </w:tcBorders>
          </w:tcPr>
          <w:p w14:paraId="4B6CE46C" w14:textId="77777777" w:rsidR="009F33CD" w:rsidRDefault="00E40740" w:rsidP="00494588">
            <w:pPr>
              <w:spacing w:before="0" w:beforeAutospacing="0" w:after="0" w:afterAutospacing="0" w:line="240" w:lineRule="auto"/>
              <w:jc w:val="center"/>
              <w:rPr>
                <w:rFonts w:cs="Times New Roman"/>
                <w:b/>
                <w:bCs/>
              </w:rPr>
            </w:pPr>
            <w:r>
              <w:rPr>
                <w:rFonts w:cs="Times New Roman"/>
                <w:b/>
                <w:bCs/>
              </w:rPr>
              <w:t>Sig.</w:t>
            </w:r>
          </w:p>
        </w:tc>
      </w:tr>
      <w:tr w:rsidR="009F33CD" w14:paraId="4010832F" w14:textId="77777777" w:rsidTr="00494588">
        <w:trPr>
          <w:cantSplit/>
          <w:trHeight w:val="45"/>
        </w:trPr>
        <w:tc>
          <w:tcPr>
            <w:tcW w:w="309" w:type="pct"/>
            <w:vMerge w:val="restart"/>
            <w:tcBorders>
              <w:top w:val="single" w:sz="4" w:space="0" w:color="auto"/>
            </w:tcBorders>
          </w:tcPr>
          <w:p w14:paraId="7EC77C6C" w14:textId="77777777" w:rsidR="009F33CD" w:rsidRDefault="00E40740" w:rsidP="001E3129">
            <w:pPr>
              <w:spacing w:before="0" w:beforeAutospacing="0" w:after="0" w:afterAutospacing="0" w:line="240" w:lineRule="auto"/>
              <w:rPr>
                <w:rFonts w:cs="Times New Roman"/>
              </w:rPr>
            </w:pPr>
            <w:r>
              <w:rPr>
                <w:rFonts w:cs="Times New Roman"/>
              </w:rPr>
              <w:t>X</w:t>
            </w:r>
            <w:r>
              <w:rPr>
                <w:rFonts w:cs="Times New Roman"/>
                <w:vertAlign w:val="subscript"/>
              </w:rPr>
              <w:t>1</w:t>
            </w:r>
          </w:p>
        </w:tc>
        <w:tc>
          <w:tcPr>
            <w:tcW w:w="1135" w:type="pct"/>
            <w:tcBorders>
              <w:top w:val="single" w:sz="4" w:space="0" w:color="auto"/>
            </w:tcBorders>
          </w:tcPr>
          <w:p w14:paraId="45FD3238" w14:textId="77777777" w:rsidR="009F33CD" w:rsidRDefault="00E40740" w:rsidP="001E3129">
            <w:pPr>
              <w:spacing w:before="0" w:beforeAutospacing="0" w:after="0" w:afterAutospacing="0" w:line="240" w:lineRule="auto"/>
              <w:rPr>
                <w:rFonts w:cs="Times New Roman"/>
              </w:rPr>
            </w:pPr>
            <w:r>
              <w:rPr>
                <w:rFonts w:cs="Times New Roman"/>
              </w:rPr>
              <w:t>Between Groups</w:t>
            </w:r>
          </w:p>
        </w:tc>
        <w:tc>
          <w:tcPr>
            <w:tcW w:w="1083" w:type="pct"/>
            <w:tcBorders>
              <w:top w:val="single" w:sz="4" w:space="0" w:color="auto"/>
            </w:tcBorders>
          </w:tcPr>
          <w:p w14:paraId="1D7C7945" w14:textId="77777777" w:rsidR="009F33CD" w:rsidRDefault="00E40740" w:rsidP="00494588">
            <w:pPr>
              <w:spacing w:before="0" w:beforeAutospacing="0" w:after="0" w:afterAutospacing="0" w:line="240" w:lineRule="auto"/>
              <w:jc w:val="center"/>
              <w:rPr>
                <w:rFonts w:cs="Times New Roman"/>
              </w:rPr>
            </w:pPr>
            <w:r>
              <w:rPr>
                <w:rFonts w:cs="Times New Roman"/>
              </w:rPr>
              <w:t>37.758</w:t>
            </w:r>
          </w:p>
        </w:tc>
        <w:tc>
          <w:tcPr>
            <w:tcW w:w="464" w:type="pct"/>
            <w:tcBorders>
              <w:top w:val="single" w:sz="4" w:space="0" w:color="auto"/>
            </w:tcBorders>
          </w:tcPr>
          <w:p w14:paraId="4B450742" w14:textId="77777777" w:rsidR="009F33CD" w:rsidRDefault="00E40740" w:rsidP="00494588">
            <w:pPr>
              <w:spacing w:before="0" w:beforeAutospacing="0" w:after="0" w:afterAutospacing="0" w:line="240" w:lineRule="auto"/>
              <w:jc w:val="center"/>
              <w:rPr>
                <w:rFonts w:cs="Times New Roman"/>
              </w:rPr>
            </w:pPr>
            <w:r>
              <w:rPr>
                <w:rFonts w:cs="Times New Roman"/>
              </w:rPr>
              <w:t>26</w:t>
            </w:r>
          </w:p>
        </w:tc>
        <w:tc>
          <w:tcPr>
            <w:tcW w:w="876" w:type="pct"/>
            <w:tcBorders>
              <w:top w:val="single" w:sz="4" w:space="0" w:color="auto"/>
            </w:tcBorders>
          </w:tcPr>
          <w:p w14:paraId="32345BD9" w14:textId="77777777" w:rsidR="009F33CD" w:rsidRDefault="00E40740" w:rsidP="00494588">
            <w:pPr>
              <w:spacing w:before="0" w:beforeAutospacing="0" w:after="0" w:afterAutospacing="0" w:line="240" w:lineRule="auto"/>
              <w:jc w:val="center"/>
              <w:rPr>
                <w:rFonts w:cs="Times New Roman"/>
              </w:rPr>
            </w:pPr>
            <w:r>
              <w:rPr>
                <w:rFonts w:cs="Times New Roman"/>
              </w:rPr>
              <w:t>1.452</w:t>
            </w:r>
          </w:p>
        </w:tc>
        <w:tc>
          <w:tcPr>
            <w:tcW w:w="825" w:type="pct"/>
            <w:tcBorders>
              <w:top w:val="single" w:sz="4" w:space="0" w:color="auto"/>
            </w:tcBorders>
          </w:tcPr>
          <w:p w14:paraId="1DB46AC0" w14:textId="77777777" w:rsidR="009F33CD" w:rsidRDefault="00E40740" w:rsidP="00494588">
            <w:pPr>
              <w:spacing w:before="0" w:beforeAutospacing="0" w:after="0" w:afterAutospacing="0" w:line="240" w:lineRule="auto"/>
              <w:jc w:val="center"/>
              <w:rPr>
                <w:rFonts w:cs="Times New Roman"/>
              </w:rPr>
            </w:pPr>
            <w:r>
              <w:rPr>
                <w:rFonts w:cs="Times New Roman"/>
              </w:rPr>
              <w:t>7.618</w:t>
            </w:r>
          </w:p>
        </w:tc>
        <w:tc>
          <w:tcPr>
            <w:tcW w:w="308" w:type="pct"/>
            <w:tcBorders>
              <w:top w:val="single" w:sz="4" w:space="0" w:color="auto"/>
            </w:tcBorders>
          </w:tcPr>
          <w:p w14:paraId="2D701634" w14:textId="77777777" w:rsidR="009F33CD" w:rsidRDefault="00E40740" w:rsidP="00494588">
            <w:pPr>
              <w:spacing w:before="0" w:beforeAutospacing="0" w:after="0" w:afterAutospacing="0" w:line="240" w:lineRule="auto"/>
              <w:jc w:val="center"/>
              <w:rPr>
                <w:rFonts w:cs="Times New Roman"/>
              </w:rPr>
            </w:pPr>
            <w:r>
              <w:rPr>
                <w:rFonts w:cs="Times New Roman"/>
              </w:rPr>
              <w:t>.000</w:t>
            </w:r>
          </w:p>
        </w:tc>
      </w:tr>
      <w:tr w:rsidR="009F33CD" w14:paraId="57526509" w14:textId="77777777" w:rsidTr="00494588">
        <w:trPr>
          <w:cantSplit/>
          <w:trHeight w:val="69"/>
        </w:trPr>
        <w:tc>
          <w:tcPr>
            <w:tcW w:w="309" w:type="pct"/>
            <w:vMerge/>
            <w:tcBorders>
              <w:bottom w:val="single" w:sz="4" w:space="0" w:color="auto"/>
            </w:tcBorders>
          </w:tcPr>
          <w:p w14:paraId="5485880D" w14:textId="77777777" w:rsidR="009F33CD" w:rsidRDefault="009F33CD" w:rsidP="001E3129">
            <w:pPr>
              <w:spacing w:before="0" w:beforeAutospacing="0" w:after="0" w:afterAutospacing="0" w:line="240" w:lineRule="auto"/>
              <w:rPr>
                <w:rFonts w:cs="Times New Roman"/>
              </w:rPr>
            </w:pPr>
          </w:p>
        </w:tc>
        <w:tc>
          <w:tcPr>
            <w:tcW w:w="1135" w:type="pct"/>
            <w:tcBorders>
              <w:bottom w:val="single" w:sz="4" w:space="0" w:color="auto"/>
            </w:tcBorders>
          </w:tcPr>
          <w:p w14:paraId="21C13CBB" w14:textId="77777777" w:rsidR="009F33CD" w:rsidRDefault="00E40740" w:rsidP="001E3129">
            <w:pPr>
              <w:spacing w:before="0" w:beforeAutospacing="0" w:after="0" w:afterAutospacing="0" w:line="240" w:lineRule="auto"/>
              <w:rPr>
                <w:rFonts w:cs="Times New Roman"/>
              </w:rPr>
            </w:pPr>
            <w:r>
              <w:rPr>
                <w:rFonts w:cs="Times New Roman"/>
              </w:rPr>
              <w:t>Within Groups</w:t>
            </w:r>
          </w:p>
        </w:tc>
        <w:tc>
          <w:tcPr>
            <w:tcW w:w="1083" w:type="pct"/>
            <w:tcBorders>
              <w:bottom w:val="single" w:sz="4" w:space="0" w:color="auto"/>
            </w:tcBorders>
          </w:tcPr>
          <w:p w14:paraId="0D439BE4" w14:textId="77777777" w:rsidR="009F33CD" w:rsidRDefault="00E40740" w:rsidP="00494588">
            <w:pPr>
              <w:spacing w:before="0" w:beforeAutospacing="0" w:after="0" w:afterAutospacing="0" w:line="240" w:lineRule="auto"/>
              <w:jc w:val="center"/>
              <w:rPr>
                <w:rFonts w:cs="Times New Roman"/>
              </w:rPr>
            </w:pPr>
            <w:r>
              <w:rPr>
                <w:rFonts w:cs="Times New Roman"/>
              </w:rPr>
              <w:t>17.348</w:t>
            </w:r>
          </w:p>
        </w:tc>
        <w:tc>
          <w:tcPr>
            <w:tcW w:w="464" w:type="pct"/>
            <w:tcBorders>
              <w:bottom w:val="single" w:sz="4" w:space="0" w:color="auto"/>
            </w:tcBorders>
          </w:tcPr>
          <w:p w14:paraId="75C03804" w14:textId="77777777" w:rsidR="009F33CD" w:rsidRDefault="00E40740" w:rsidP="00494588">
            <w:pPr>
              <w:spacing w:before="0" w:beforeAutospacing="0" w:after="0" w:afterAutospacing="0" w:line="240" w:lineRule="auto"/>
              <w:jc w:val="center"/>
              <w:rPr>
                <w:rFonts w:cs="Times New Roman"/>
              </w:rPr>
            </w:pPr>
            <w:r>
              <w:rPr>
                <w:rFonts w:cs="Times New Roman"/>
              </w:rPr>
              <w:t>91</w:t>
            </w:r>
          </w:p>
        </w:tc>
        <w:tc>
          <w:tcPr>
            <w:tcW w:w="876" w:type="pct"/>
            <w:tcBorders>
              <w:bottom w:val="single" w:sz="4" w:space="0" w:color="auto"/>
            </w:tcBorders>
          </w:tcPr>
          <w:p w14:paraId="6A31E883" w14:textId="77777777" w:rsidR="009F33CD" w:rsidRDefault="00E40740" w:rsidP="00494588">
            <w:pPr>
              <w:spacing w:before="0" w:beforeAutospacing="0" w:after="0" w:afterAutospacing="0" w:line="240" w:lineRule="auto"/>
              <w:jc w:val="center"/>
              <w:rPr>
                <w:rFonts w:cs="Times New Roman"/>
              </w:rPr>
            </w:pPr>
            <w:r>
              <w:rPr>
                <w:rFonts w:cs="Times New Roman"/>
              </w:rPr>
              <w:t>.191</w:t>
            </w:r>
          </w:p>
        </w:tc>
        <w:tc>
          <w:tcPr>
            <w:tcW w:w="825" w:type="pct"/>
            <w:tcBorders>
              <w:bottom w:val="single" w:sz="4" w:space="0" w:color="auto"/>
            </w:tcBorders>
          </w:tcPr>
          <w:p w14:paraId="17B1DB8F" w14:textId="77777777" w:rsidR="009F33CD" w:rsidRDefault="009F33CD" w:rsidP="00494588">
            <w:pPr>
              <w:spacing w:before="0" w:beforeAutospacing="0" w:after="0" w:afterAutospacing="0" w:line="240" w:lineRule="auto"/>
              <w:jc w:val="center"/>
              <w:rPr>
                <w:rFonts w:cs="Times New Roman"/>
              </w:rPr>
            </w:pPr>
          </w:p>
        </w:tc>
        <w:tc>
          <w:tcPr>
            <w:tcW w:w="308" w:type="pct"/>
            <w:tcBorders>
              <w:bottom w:val="single" w:sz="4" w:space="0" w:color="auto"/>
            </w:tcBorders>
          </w:tcPr>
          <w:p w14:paraId="1D40BAFE" w14:textId="77777777" w:rsidR="009F33CD" w:rsidRDefault="009F33CD" w:rsidP="00494588">
            <w:pPr>
              <w:spacing w:before="0" w:beforeAutospacing="0" w:after="0" w:afterAutospacing="0" w:line="240" w:lineRule="auto"/>
              <w:jc w:val="center"/>
              <w:rPr>
                <w:rFonts w:cs="Times New Roman"/>
              </w:rPr>
            </w:pPr>
          </w:p>
        </w:tc>
      </w:tr>
      <w:tr w:rsidR="009F33CD" w14:paraId="49250252" w14:textId="77777777" w:rsidTr="001E3129">
        <w:trPr>
          <w:cantSplit/>
          <w:trHeight w:val="70"/>
        </w:trPr>
        <w:tc>
          <w:tcPr>
            <w:tcW w:w="5000" w:type="pct"/>
            <w:gridSpan w:val="7"/>
            <w:tcBorders>
              <w:top w:val="single" w:sz="4" w:space="0" w:color="auto"/>
              <w:bottom w:val="nil"/>
            </w:tcBorders>
          </w:tcPr>
          <w:p w14:paraId="0EFADE0B" w14:textId="77777777" w:rsidR="009F33CD" w:rsidRDefault="00E40740" w:rsidP="001E3129">
            <w:pPr>
              <w:spacing w:before="0" w:beforeAutospacing="0" w:after="0" w:afterAutospacing="0" w:line="240" w:lineRule="auto"/>
              <w:rPr>
                <w:rFonts w:cs="Times New Roman"/>
              </w:rPr>
            </w:pPr>
            <w:r>
              <w:rPr>
                <w:rFonts w:cs="Times New Roman"/>
              </w:rPr>
              <w:t>X</w:t>
            </w:r>
            <w:r>
              <w:rPr>
                <w:rFonts w:cs="Times New Roman"/>
                <w:vertAlign w:val="subscript"/>
              </w:rPr>
              <w:t>1</w:t>
            </w:r>
            <w:r>
              <w:rPr>
                <w:rFonts w:cs="Times New Roman"/>
              </w:rPr>
              <w:t xml:space="preserve"> = Green Employee Resourcing</w:t>
            </w:r>
          </w:p>
        </w:tc>
      </w:tr>
    </w:tbl>
    <w:p w14:paraId="2BD6D1B7" w14:textId="77777777" w:rsidR="009F33CD" w:rsidRDefault="00E40740">
      <w:pPr>
        <w:spacing w:after="240"/>
        <w:rPr>
          <w:rFonts w:cs="Times New Roman"/>
        </w:rPr>
      </w:pPr>
      <w:r>
        <w:rPr>
          <w:rFonts w:cs="Times New Roman"/>
          <w:szCs w:val="24"/>
        </w:rPr>
        <w:t xml:space="preserve">The findings displayed a significant difference in the means of different study variables; thus, green employee resourcing showed a statistically significant effect on the performance of devolved healthcare services F {(26, 91) = 7.618, p = 0.000}. </w:t>
      </w:r>
      <w:r>
        <w:rPr>
          <w:rFonts w:cs="Times New Roman"/>
        </w:rPr>
        <w:t xml:space="preserve">This means that GER practice significantly influenced the performance of devolved </w:t>
      </w:r>
      <w:r>
        <w:rPr>
          <w:rFonts w:cs="Times New Roman"/>
        </w:rPr>
        <w:lastRenderedPageBreak/>
        <w:t>healthcare services in Kenya. The null hypothesis (H</w:t>
      </w:r>
      <w:r>
        <w:rPr>
          <w:rFonts w:cs="Times New Roman"/>
          <w:vertAlign w:val="subscript"/>
        </w:rPr>
        <w:t>o1</w:t>
      </w:r>
      <w:r>
        <w:rPr>
          <w:rFonts w:cs="Times New Roman"/>
        </w:rPr>
        <w:t>) was, therefore, rejected and the alternative hypothesis was accepted. Thus;</w:t>
      </w:r>
    </w:p>
    <w:p w14:paraId="6B382FB8" w14:textId="77777777" w:rsidR="009F33CD" w:rsidRDefault="00E40740">
      <w:pPr>
        <w:spacing w:after="240"/>
        <w:rPr>
          <w:rFonts w:cs="Times New Roman"/>
        </w:rPr>
      </w:pPr>
      <w:r>
        <w:rPr>
          <w:rFonts w:cs="Times New Roman"/>
          <w:b/>
        </w:rPr>
        <w:t xml:space="preserve">Thus; </w:t>
      </w:r>
      <w:bookmarkStart w:id="1240" w:name="_Hlk196329511"/>
      <w:r>
        <w:rPr>
          <w:rFonts w:cs="Times New Roman"/>
          <w:b/>
        </w:rPr>
        <w:t>H</w:t>
      </w:r>
      <w:r>
        <w:rPr>
          <w:rFonts w:cs="Times New Roman"/>
          <w:b/>
          <w:vertAlign w:val="subscript"/>
        </w:rPr>
        <w:t>1</w:t>
      </w:r>
      <w:r>
        <w:rPr>
          <w:rFonts w:cs="Times New Roman"/>
          <w:b/>
        </w:rPr>
        <w:t>:</w:t>
      </w:r>
      <w:r>
        <w:rPr>
          <w:rFonts w:cs="Times New Roman"/>
        </w:rPr>
        <w:t xml:space="preserve"> Green employee resourcing has a statistically significant effect on the performance of devolved healthcare services in Kenya.</w:t>
      </w:r>
      <w:bookmarkEnd w:id="1240"/>
    </w:p>
    <w:p w14:paraId="658BA8AB" w14:textId="77777777" w:rsidR="009F33CD" w:rsidRDefault="00E40740">
      <w:pPr>
        <w:pStyle w:val="Heading2"/>
        <w:rPr>
          <w:lang w:val="en-GB"/>
        </w:rPr>
      </w:pPr>
      <w:bookmarkStart w:id="1241" w:name="_Toc224237741"/>
      <w:r>
        <w:rPr>
          <w:lang w:val="en-GB"/>
        </w:rPr>
        <w:t>4.7 Findings for Green Training and Performance</w:t>
      </w:r>
      <w:bookmarkEnd w:id="1241"/>
      <w:r>
        <w:rPr>
          <w:lang w:val="en-GB"/>
        </w:rPr>
        <w:t xml:space="preserve"> </w:t>
      </w:r>
    </w:p>
    <w:p w14:paraId="39D287A8" w14:textId="77777777" w:rsidR="009F33CD" w:rsidRDefault="00E40740">
      <w:r>
        <w:rPr>
          <w:rFonts w:eastAsia="TimesNewRomanPSMT"/>
        </w:rPr>
        <w:t>The second objective was to evaluate the effect of green training on the performance of devolved healthcare services in Kenya</w:t>
      </w:r>
      <w:r>
        <w:t xml:space="preserve">. The findings for green training on the performance of devolved healthcare services are presented beginning with descriptive Statistical findings, Correlation Analysis Findings, Simple Linear Regression Findings, and finally analysis of variance findings (ANOVA). </w:t>
      </w:r>
    </w:p>
    <w:p w14:paraId="5CAB0235" w14:textId="77777777" w:rsidR="009F33CD" w:rsidRDefault="00E40740">
      <w:pPr>
        <w:pStyle w:val="Heading3"/>
      </w:pPr>
      <w:bookmarkStart w:id="1242" w:name="_Toc178942659"/>
      <w:bookmarkStart w:id="1243" w:name="_Toc188443989"/>
      <w:bookmarkStart w:id="1244" w:name="_Toc165626407"/>
      <w:bookmarkStart w:id="1245" w:name="_Toc178944317"/>
      <w:bookmarkStart w:id="1246" w:name="_Toc188442615"/>
      <w:bookmarkStart w:id="1247" w:name="_Toc188130642"/>
      <w:bookmarkStart w:id="1248" w:name="_Toc187080881"/>
      <w:bookmarkStart w:id="1249" w:name="_Toc185614109"/>
      <w:bookmarkStart w:id="1250" w:name="_Toc178945069"/>
      <w:bookmarkStart w:id="1251" w:name="_Toc165623626"/>
      <w:bookmarkStart w:id="1252" w:name="_Toc224160679"/>
      <w:bookmarkStart w:id="1253" w:name="_Toc224237742"/>
      <w:r>
        <w:t>4.7.1 Descriptive Statistical Findings for Green Training</w:t>
      </w:r>
      <w:bookmarkEnd w:id="1242"/>
      <w:bookmarkEnd w:id="1243"/>
      <w:bookmarkEnd w:id="1244"/>
      <w:bookmarkEnd w:id="1245"/>
      <w:bookmarkEnd w:id="1246"/>
      <w:bookmarkEnd w:id="1247"/>
      <w:bookmarkEnd w:id="1248"/>
      <w:bookmarkEnd w:id="1249"/>
      <w:bookmarkEnd w:id="1250"/>
      <w:bookmarkEnd w:id="1251"/>
      <w:bookmarkEnd w:id="1252"/>
      <w:bookmarkEnd w:id="1253"/>
    </w:p>
    <w:bookmarkEnd w:id="1219"/>
    <w:p w14:paraId="2780A4B7" w14:textId="77777777" w:rsidR="009F33CD" w:rsidRDefault="00E40740">
      <w:r>
        <w:rPr>
          <w:rFonts w:eastAsia="TimesNewRoman"/>
        </w:rPr>
        <w:t>Green</w:t>
      </w:r>
      <w:r>
        <w:rPr>
          <w:rFonts w:eastAsia="TimesNewRomanPSMT"/>
        </w:rPr>
        <w:t xml:space="preserve"> training is important to employees because it helps to impart continuous eco-friendly skills, knowledge, ability, and attitude that influence the performance of devolved healthcare services. Therefore, </w:t>
      </w:r>
      <w:r>
        <w:rPr>
          <w:rFonts w:eastAsia="TimesNewRoman"/>
        </w:rPr>
        <w:t>to achieve the second objective of the study,</w:t>
      </w:r>
      <w:r>
        <w:t xml:space="preserve"> the respondents were requested to provide their honest opinion on the following green training statements on a scale of: 1- Strongly Disagree (SD); 2- Disagree (D); 3- Undecided (UD); 4- Agree (A); and 5- Strongly Agree (SA). The results were analyzed and presented in Table</w:t>
      </w:r>
      <w:r w:rsidR="00494588">
        <w:rPr>
          <w:rFonts w:cs="Times New Roman"/>
          <w:bCs/>
          <w:szCs w:val="24"/>
        </w:rPr>
        <w:t xml:space="preserve"> 4.22</w:t>
      </w:r>
      <w:r>
        <w:rPr>
          <w:rFonts w:cs="Times New Roman"/>
          <w:bCs/>
          <w:szCs w:val="24"/>
        </w:rPr>
        <w:t xml:space="preserve"> together with </w:t>
      </w:r>
      <w:r>
        <w:t>mean (M) and standard deviation (Sd).</w:t>
      </w:r>
      <w:bookmarkStart w:id="1254" w:name="_Toc178944318"/>
      <w:bookmarkStart w:id="1255" w:name="_Toc147950246"/>
      <w:bookmarkStart w:id="1256" w:name="_Toc147946907"/>
      <w:bookmarkStart w:id="1257" w:name="_Toc139986466"/>
      <w:bookmarkStart w:id="1258" w:name="_Toc165626408"/>
      <w:bookmarkStart w:id="1259" w:name="_Toc139981665"/>
      <w:bookmarkStart w:id="1260" w:name="_Toc178945070"/>
      <w:bookmarkStart w:id="1261" w:name="_Toc139987493"/>
      <w:bookmarkStart w:id="1262" w:name="_Toc178942660"/>
      <w:bookmarkStart w:id="1263" w:name="_Toc165623627"/>
    </w:p>
    <w:p w14:paraId="0D3BC4D2" w14:textId="77777777" w:rsidR="001E3129" w:rsidRDefault="001E3129">
      <w:pPr>
        <w:autoSpaceDE/>
        <w:autoSpaceDN/>
        <w:adjustRightInd/>
        <w:spacing w:before="0" w:beforeAutospacing="0" w:after="0" w:afterAutospacing="0" w:line="240" w:lineRule="auto"/>
        <w:jc w:val="left"/>
        <w:rPr>
          <w:rFonts w:eastAsiaTheme="majorEastAsia" w:cstheme="majorBidi"/>
          <w:b/>
        </w:rPr>
      </w:pPr>
      <w:bookmarkStart w:id="1264" w:name="_Toc185614110"/>
      <w:bookmarkStart w:id="1265" w:name="_Toc187080882"/>
      <w:r>
        <w:br w:type="page"/>
      </w:r>
    </w:p>
    <w:p w14:paraId="48FA5294" w14:textId="77777777" w:rsidR="009F33CD" w:rsidRDefault="000748E0">
      <w:pPr>
        <w:pStyle w:val="Heading6"/>
      </w:pPr>
      <w:bookmarkStart w:id="1266" w:name="_Toc224237451"/>
      <w:r>
        <w:lastRenderedPageBreak/>
        <w:t>Table 4.22</w:t>
      </w:r>
      <w:r w:rsidR="00E40740">
        <w:t>: Descriptive Statistical Findings for Green Training</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p>
    <w:tbl>
      <w:tblPr>
        <w:tblW w:w="5000" w:type="pct"/>
        <w:tblBorders>
          <w:top w:val="single" w:sz="4" w:space="0" w:color="auto"/>
          <w:bottom w:val="single" w:sz="4" w:space="0" w:color="auto"/>
        </w:tblBorders>
        <w:tblLook w:val="04A0" w:firstRow="1" w:lastRow="0" w:firstColumn="1" w:lastColumn="0" w:noHBand="0" w:noVBand="1"/>
      </w:tblPr>
      <w:tblGrid>
        <w:gridCol w:w="3008"/>
        <w:gridCol w:w="716"/>
        <w:gridCol w:w="716"/>
        <w:gridCol w:w="836"/>
        <w:gridCol w:w="836"/>
        <w:gridCol w:w="836"/>
        <w:gridCol w:w="636"/>
        <w:gridCol w:w="636"/>
      </w:tblGrid>
      <w:tr w:rsidR="009F33CD" w14:paraId="668AE3B4" w14:textId="77777777">
        <w:trPr>
          <w:trHeight w:val="252"/>
        </w:trPr>
        <w:tc>
          <w:tcPr>
            <w:tcW w:w="2110" w:type="pct"/>
            <w:tcBorders>
              <w:top w:val="single" w:sz="4" w:space="0" w:color="auto"/>
              <w:bottom w:val="single" w:sz="4" w:space="0" w:color="auto"/>
            </w:tcBorders>
            <w:shd w:val="clear" w:color="auto" w:fill="FFFFFF"/>
          </w:tcPr>
          <w:p w14:paraId="463ECAA3" w14:textId="77777777" w:rsidR="009F33CD" w:rsidRDefault="00E40740">
            <w:pPr>
              <w:autoSpaceDE/>
              <w:autoSpaceDN/>
              <w:adjustRightInd/>
              <w:spacing w:line="240" w:lineRule="auto"/>
              <w:rPr>
                <w:rFonts w:eastAsia="Calibri" w:cs="Times New Roman"/>
                <w:b/>
                <w:bCs/>
                <w:szCs w:val="24"/>
              </w:rPr>
            </w:pPr>
            <w:r>
              <w:rPr>
                <w:rFonts w:eastAsia="Calibri" w:cs="Times New Roman"/>
                <w:b/>
                <w:bCs/>
                <w:szCs w:val="24"/>
              </w:rPr>
              <w:t>GT Statements</w:t>
            </w:r>
          </w:p>
        </w:tc>
        <w:tc>
          <w:tcPr>
            <w:tcW w:w="413" w:type="pct"/>
            <w:tcBorders>
              <w:top w:val="single" w:sz="4" w:space="0" w:color="auto"/>
              <w:bottom w:val="single" w:sz="4" w:space="0" w:color="auto"/>
            </w:tcBorders>
            <w:shd w:val="clear" w:color="auto" w:fill="FFFFFF"/>
          </w:tcPr>
          <w:p w14:paraId="71F0A501"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1</w:t>
            </w:r>
          </w:p>
        </w:tc>
        <w:tc>
          <w:tcPr>
            <w:tcW w:w="367" w:type="pct"/>
            <w:tcBorders>
              <w:top w:val="single" w:sz="4" w:space="0" w:color="auto"/>
              <w:bottom w:val="single" w:sz="4" w:space="0" w:color="auto"/>
            </w:tcBorders>
            <w:shd w:val="clear" w:color="auto" w:fill="FFFFFF"/>
          </w:tcPr>
          <w:p w14:paraId="37F716BE"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2</w:t>
            </w:r>
          </w:p>
        </w:tc>
        <w:tc>
          <w:tcPr>
            <w:tcW w:w="459" w:type="pct"/>
            <w:tcBorders>
              <w:top w:val="single" w:sz="4" w:space="0" w:color="auto"/>
              <w:bottom w:val="single" w:sz="4" w:space="0" w:color="auto"/>
            </w:tcBorders>
            <w:shd w:val="clear" w:color="auto" w:fill="FFFFFF"/>
          </w:tcPr>
          <w:p w14:paraId="1D3048C6"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3</w:t>
            </w:r>
          </w:p>
        </w:tc>
        <w:tc>
          <w:tcPr>
            <w:tcW w:w="459" w:type="pct"/>
            <w:tcBorders>
              <w:top w:val="single" w:sz="4" w:space="0" w:color="auto"/>
              <w:bottom w:val="single" w:sz="4" w:space="0" w:color="auto"/>
            </w:tcBorders>
            <w:shd w:val="clear" w:color="auto" w:fill="FFFFFF"/>
          </w:tcPr>
          <w:p w14:paraId="60648DEC"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4</w:t>
            </w:r>
          </w:p>
        </w:tc>
        <w:tc>
          <w:tcPr>
            <w:tcW w:w="459" w:type="pct"/>
            <w:tcBorders>
              <w:top w:val="single" w:sz="4" w:space="0" w:color="auto"/>
              <w:bottom w:val="single" w:sz="4" w:space="0" w:color="auto"/>
            </w:tcBorders>
            <w:shd w:val="clear" w:color="auto" w:fill="FFFFFF"/>
          </w:tcPr>
          <w:p w14:paraId="0CA58735"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5</w:t>
            </w:r>
          </w:p>
        </w:tc>
        <w:tc>
          <w:tcPr>
            <w:tcW w:w="367" w:type="pct"/>
            <w:tcBorders>
              <w:top w:val="single" w:sz="4" w:space="0" w:color="auto"/>
              <w:bottom w:val="single" w:sz="4" w:space="0" w:color="auto"/>
            </w:tcBorders>
            <w:shd w:val="clear" w:color="auto" w:fill="FFFFFF"/>
          </w:tcPr>
          <w:p w14:paraId="4540A205"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M</w:t>
            </w:r>
          </w:p>
        </w:tc>
        <w:tc>
          <w:tcPr>
            <w:tcW w:w="367" w:type="pct"/>
            <w:tcBorders>
              <w:top w:val="single" w:sz="4" w:space="0" w:color="auto"/>
              <w:bottom w:val="single" w:sz="4" w:space="0" w:color="auto"/>
            </w:tcBorders>
            <w:shd w:val="clear" w:color="auto" w:fill="FFFFFF"/>
          </w:tcPr>
          <w:p w14:paraId="5B946245" w14:textId="77777777" w:rsidR="009F33CD" w:rsidRDefault="00E40740">
            <w:pPr>
              <w:autoSpaceDE/>
              <w:autoSpaceDN/>
              <w:adjustRightInd/>
              <w:spacing w:line="240" w:lineRule="auto"/>
              <w:rPr>
                <w:rFonts w:eastAsia="Calibri" w:cs="Times New Roman"/>
                <w:b/>
                <w:bCs/>
                <w:szCs w:val="24"/>
              </w:rPr>
            </w:pPr>
            <w:r>
              <w:rPr>
                <w:rFonts w:eastAsia="Times New Roman" w:cs="Times New Roman"/>
                <w:b/>
                <w:bCs/>
                <w:szCs w:val="24"/>
              </w:rPr>
              <w:t>Sd</w:t>
            </w:r>
          </w:p>
        </w:tc>
      </w:tr>
      <w:tr w:rsidR="009F33CD" w14:paraId="13868952" w14:textId="77777777">
        <w:trPr>
          <w:trHeight w:val="165"/>
        </w:trPr>
        <w:tc>
          <w:tcPr>
            <w:tcW w:w="2110" w:type="pct"/>
            <w:tcBorders>
              <w:top w:val="single" w:sz="4" w:space="0" w:color="auto"/>
            </w:tcBorders>
          </w:tcPr>
          <w:p w14:paraId="794E6D25" w14:textId="77777777" w:rsidR="009F33CD" w:rsidRDefault="00E40740">
            <w:pPr>
              <w:autoSpaceDE/>
              <w:autoSpaceDN/>
              <w:adjustRightInd/>
              <w:spacing w:line="240" w:lineRule="auto"/>
              <w:rPr>
                <w:rFonts w:eastAsia="Calibri" w:cs="Times New Roman"/>
                <w:szCs w:val="24"/>
              </w:rPr>
            </w:pPr>
            <w:bookmarkStart w:id="1267" w:name="_Hlk123478752"/>
            <w:r>
              <w:rPr>
                <w:rFonts w:eastAsia="Times New Roman" w:cs="Times New Roman"/>
                <w:bCs/>
                <w:szCs w:val="24"/>
              </w:rPr>
              <w:t>All Level Five Hospital staff training programs are based on green training needs assessment.</w:t>
            </w:r>
          </w:p>
        </w:tc>
        <w:tc>
          <w:tcPr>
            <w:tcW w:w="413" w:type="pct"/>
            <w:tcBorders>
              <w:top w:val="single" w:sz="4" w:space="0" w:color="auto"/>
            </w:tcBorders>
          </w:tcPr>
          <w:p w14:paraId="50BE0ED7" w14:textId="77777777" w:rsidR="009F33CD" w:rsidRDefault="00E40740">
            <w:pPr>
              <w:spacing w:line="240" w:lineRule="auto"/>
              <w:rPr>
                <w:rFonts w:eastAsia="Calibri" w:cs="Times New Roman"/>
                <w:bCs/>
                <w:szCs w:val="24"/>
              </w:rPr>
            </w:pPr>
            <w:r>
              <w:rPr>
                <w:rFonts w:eastAsia="Calibri" w:cs="Times New Roman"/>
                <w:bCs/>
                <w:szCs w:val="24"/>
              </w:rPr>
              <w:t>0.8%</w:t>
            </w:r>
          </w:p>
        </w:tc>
        <w:tc>
          <w:tcPr>
            <w:tcW w:w="367" w:type="pct"/>
            <w:tcBorders>
              <w:top w:val="single" w:sz="4" w:space="0" w:color="auto"/>
            </w:tcBorders>
          </w:tcPr>
          <w:p w14:paraId="264C2540" w14:textId="77777777" w:rsidR="009F33CD" w:rsidRDefault="00E40740">
            <w:pPr>
              <w:spacing w:line="240" w:lineRule="auto"/>
              <w:rPr>
                <w:rFonts w:eastAsia="Calibri" w:cs="Times New Roman"/>
                <w:bCs/>
                <w:szCs w:val="24"/>
              </w:rPr>
            </w:pPr>
            <w:r>
              <w:rPr>
                <w:rFonts w:eastAsia="Calibri" w:cs="Times New Roman"/>
                <w:bCs/>
                <w:szCs w:val="24"/>
              </w:rPr>
              <w:t>1.7%</w:t>
            </w:r>
          </w:p>
        </w:tc>
        <w:tc>
          <w:tcPr>
            <w:tcW w:w="459" w:type="pct"/>
            <w:tcBorders>
              <w:top w:val="single" w:sz="4" w:space="0" w:color="auto"/>
            </w:tcBorders>
          </w:tcPr>
          <w:p w14:paraId="523DC53E" w14:textId="77777777" w:rsidR="009F33CD" w:rsidRDefault="00E40740">
            <w:pPr>
              <w:spacing w:line="240" w:lineRule="auto"/>
              <w:rPr>
                <w:rFonts w:eastAsia="Calibri" w:cs="Times New Roman"/>
                <w:bCs/>
                <w:szCs w:val="24"/>
              </w:rPr>
            </w:pPr>
            <w:r>
              <w:rPr>
                <w:rFonts w:eastAsia="Calibri" w:cs="Times New Roman"/>
                <w:bCs/>
                <w:szCs w:val="24"/>
              </w:rPr>
              <w:t>11%</w:t>
            </w:r>
          </w:p>
        </w:tc>
        <w:tc>
          <w:tcPr>
            <w:tcW w:w="459" w:type="pct"/>
            <w:tcBorders>
              <w:top w:val="single" w:sz="4" w:space="0" w:color="auto"/>
            </w:tcBorders>
          </w:tcPr>
          <w:p w14:paraId="26C4AFD2" w14:textId="77777777" w:rsidR="009F33CD" w:rsidRDefault="00E40740">
            <w:pPr>
              <w:spacing w:line="240" w:lineRule="auto"/>
              <w:rPr>
                <w:rFonts w:eastAsia="Calibri" w:cs="Times New Roman"/>
                <w:bCs/>
                <w:szCs w:val="24"/>
              </w:rPr>
            </w:pPr>
            <w:r>
              <w:rPr>
                <w:rFonts w:eastAsia="Calibri" w:cs="Times New Roman"/>
                <w:bCs/>
                <w:szCs w:val="24"/>
              </w:rPr>
              <w:t>52.5%</w:t>
            </w:r>
          </w:p>
        </w:tc>
        <w:tc>
          <w:tcPr>
            <w:tcW w:w="459" w:type="pct"/>
            <w:tcBorders>
              <w:top w:val="single" w:sz="4" w:space="0" w:color="auto"/>
            </w:tcBorders>
          </w:tcPr>
          <w:p w14:paraId="6299CC06" w14:textId="77777777" w:rsidR="009F33CD" w:rsidRDefault="00E40740">
            <w:pPr>
              <w:spacing w:line="240" w:lineRule="auto"/>
              <w:rPr>
                <w:rFonts w:eastAsia="Calibri" w:cs="Times New Roman"/>
                <w:bCs/>
                <w:szCs w:val="24"/>
              </w:rPr>
            </w:pPr>
            <w:r>
              <w:rPr>
                <w:rFonts w:eastAsia="Calibri" w:cs="Times New Roman"/>
                <w:bCs/>
                <w:szCs w:val="24"/>
              </w:rPr>
              <w:t>33.9%</w:t>
            </w:r>
          </w:p>
        </w:tc>
        <w:tc>
          <w:tcPr>
            <w:tcW w:w="367" w:type="pct"/>
            <w:tcBorders>
              <w:top w:val="single" w:sz="4" w:space="0" w:color="auto"/>
            </w:tcBorders>
          </w:tcPr>
          <w:p w14:paraId="4134FFFC" w14:textId="77777777" w:rsidR="009F33CD" w:rsidRDefault="00E40740">
            <w:pPr>
              <w:spacing w:line="240" w:lineRule="auto"/>
              <w:rPr>
                <w:rFonts w:eastAsia="Calibri" w:cs="Times New Roman"/>
                <w:bCs/>
                <w:szCs w:val="24"/>
              </w:rPr>
            </w:pPr>
            <w:r>
              <w:rPr>
                <w:rFonts w:eastAsia="Calibri" w:cs="Times New Roman"/>
                <w:bCs/>
                <w:szCs w:val="24"/>
              </w:rPr>
              <w:t>4.17</w:t>
            </w:r>
          </w:p>
        </w:tc>
        <w:tc>
          <w:tcPr>
            <w:tcW w:w="367" w:type="pct"/>
            <w:tcBorders>
              <w:top w:val="single" w:sz="4" w:space="0" w:color="auto"/>
            </w:tcBorders>
          </w:tcPr>
          <w:p w14:paraId="294D3F6A" w14:textId="77777777" w:rsidR="009F33CD" w:rsidRDefault="00E40740">
            <w:pPr>
              <w:spacing w:line="240" w:lineRule="auto"/>
              <w:rPr>
                <w:rFonts w:eastAsia="Calibri" w:cs="Times New Roman"/>
                <w:bCs/>
                <w:szCs w:val="24"/>
              </w:rPr>
            </w:pPr>
            <w:r>
              <w:rPr>
                <w:rFonts w:eastAsia="Calibri" w:cs="Times New Roman"/>
                <w:bCs/>
                <w:szCs w:val="24"/>
              </w:rPr>
              <w:t>0.72</w:t>
            </w:r>
          </w:p>
        </w:tc>
      </w:tr>
      <w:bookmarkEnd w:id="1267"/>
      <w:tr w:rsidR="009F33CD" w14:paraId="239D275D" w14:textId="77777777">
        <w:trPr>
          <w:trHeight w:val="49"/>
        </w:trPr>
        <w:tc>
          <w:tcPr>
            <w:tcW w:w="2110" w:type="pct"/>
          </w:tcPr>
          <w:p w14:paraId="2B4ED107" w14:textId="77777777" w:rsidR="009F33CD" w:rsidRDefault="00E40740">
            <w:pPr>
              <w:autoSpaceDE/>
              <w:autoSpaceDN/>
              <w:adjustRightInd/>
              <w:spacing w:line="240" w:lineRule="auto"/>
              <w:rPr>
                <w:rFonts w:eastAsia="Calibri" w:cs="Times New Roman"/>
                <w:szCs w:val="24"/>
              </w:rPr>
            </w:pPr>
            <w:r>
              <w:rPr>
                <w:rFonts w:eastAsia="Times New Roman" w:cs="Times New Roman"/>
                <w:bCs/>
                <w:szCs w:val="24"/>
              </w:rPr>
              <w:t>Green training programs includes management of healthcare waste, safety and energy saving in offices.</w:t>
            </w:r>
          </w:p>
        </w:tc>
        <w:tc>
          <w:tcPr>
            <w:tcW w:w="413" w:type="pct"/>
          </w:tcPr>
          <w:p w14:paraId="09B5C2E7" w14:textId="77777777" w:rsidR="009F33CD" w:rsidRDefault="00E40740">
            <w:pPr>
              <w:spacing w:line="240" w:lineRule="auto"/>
              <w:rPr>
                <w:rFonts w:eastAsia="Calibri" w:cs="Times New Roman"/>
                <w:bCs/>
                <w:szCs w:val="24"/>
              </w:rPr>
            </w:pPr>
            <w:r>
              <w:rPr>
                <w:rFonts w:eastAsia="Calibri" w:cs="Times New Roman"/>
                <w:bCs/>
                <w:szCs w:val="24"/>
              </w:rPr>
              <w:t>0.9%</w:t>
            </w:r>
          </w:p>
        </w:tc>
        <w:tc>
          <w:tcPr>
            <w:tcW w:w="367" w:type="pct"/>
          </w:tcPr>
          <w:p w14:paraId="1D02C4BA" w14:textId="77777777" w:rsidR="009F33CD" w:rsidRDefault="00E40740">
            <w:pPr>
              <w:spacing w:line="240" w:lineRule="auto"/>
              <w:rPr>
                <w:rFonts w:eastAsia="Calibri" w:cs="Times New Roman"/>
                <w:bCs/>
                <w:szCs w:val="24"/>
              </w:rPr>
            </w:pPr>
            <w:r>
              <w:rPr>
                <w:rFonts w:eastAsia="Calibri" w:cs="Times New Roman"/>
                <w:bCs/>
                <w:szCs w:val="24"/>
              </w:rPr>
              <w:t>1.6%</w:t>
            </w:r>
          </w:p>
        </w:tc>
        <w:tc>
          <w:tcPr>
            <w:tcW w:w="459" w:type="pct"/>
          </w:tcPr>
          <w:p w14:paraId="0E41DEE0" w14:textId="77777777" w:rsidR="009F33CD" w:rsidRDefault="00E40740">
            <w:pPr>
              <w:spacing w:line="240" w:lineRule="auto"/>
              <w:rPr>
                <w:rFonts w:eastAsia="Calibri" w:cs="Times New Roman"/>
                <w:bCs/>
                <w:szCs w:val="24"/>
              </w:rPr>
            </w:pPr>
            <w:r>
              <w:rPr>
                <w:rFonts w:eastAsia="Calibri" w:cs="Times New Roman"/>
                <w:bCs/>
                <w:szCs w:val="24"/>
              </w:rPr>
              <w:t>7.8%</w:t>
            </w:r>
          </w:p>
        </w:tc>
        <w:tc>
          <w:tcPr>
            <w:tcW w:w="459" w:type="pct"/>
          </w:tcPr>
          <w:p w14:paraId="100FFFE9" w14:textId="77777777" w:rsidR="009F33CD" w:rsidRDefault="00E40740">
            <w:pPr>
              <w:spacing w:line="240" w:lineRule="auto"/>
              <w:rPr>
                <w:rFonts w:eastAsia="Calibri" w:cs="Times New Roman"/>
                <w:bCs/>
                <w:szCs w:val="24"/>
              </w:rPr>
            </w:pPr>
            <w:r>
              <w:rPr>
                <w:rFonts w:eastAsia="Calibri" w:cs="Times New Roman"/>
                <w:bCs/>
                <w:szCs w:val="24"/>
              </w:rPr>
              <w:t>57.5%</w:t>
            </w:r>
          </w:p>
        </w:tc>
        <w:tc>
          <w:tcPr>
            <w:tcW w:w="459" w:type="pct"/>
          </w:tcPr>
          <w:p w14:paraId="50D93A87" w14:textId="77777777" w:rsidR="009F33CD" w:rsidRDefault="00E40740">
            <w:pPr>
              <w:spacing w:line="240" w:lineRule="auto"/>
              <w:rPr>
                <w:rFonts w:eastAsia="Calibri" w:cs="Times New Roman"/>
                <w:bCs/>
                <w:szCs w:val="24"/>
              </w:rPr>
            </w:pPr>
            <w:r>
              <w:rPr>
                <w:rFonts w:eastAsia="Calibri" w:cs="Times New Roman"/>
                <w:bCs/>
                <w:szCs w:val="24"/>
              </w:rPr>
              <w:t>32.2%</w:t>
            </w:r>
          </w:p>
        </w:tc>
        <w:tc>
          <w:tcPr>
            <w:tcW w:w="367" w:type="pct"/>
          </w:tcPr>
          <w:p w14:paraId="38A71F51" w14:textId="77777777" w:rsidR="009F33CD" w:rsidRDefault="00E40740">
            <w:pPr>
              <w:spacing w:line="240" w:lineRule="auto"/>
              <w:rPr>
                <w:rFonts w:eastAsia="Calibri" w:cs="Times New Roman"/>
                <w:bCs/>
                <w:szCs w:val="24"/>
              </w:rPr>
            </w:pPr>
            <w:r>
              <w:rPr>
                <w:rFonts w:eastAsia="Calibri" w:cs="Times New Roman"/>
                <w:bCs/>
                <w:szCs w:val="24"/>
              </w:rPr>
              <w:t>4.19</w:t>
            </w:r>
          </w:p>
        </w:tc>
        <w:tc>
          <w:tcPr>
            <w:tcW w:w="367" w:type="pct"/>
          </w:tcPr>
          <w:p w14:paraId="7E692AD5" w14:textId="77777777" w:rsidR="009F33CD" w:rsidRDefault="00E40740">
            <w:pPr>
              <w:spacing w:line="240" w:lineRule="auto"/>
              <w:rPr>
                <w:rFonts w:eastAsia="Calibri" w:cs="Times New Roman"/>
                <w:bCs/>
                <w:szCs w:val="24"/>
              </w:rPr>
            </w:pPr>
            <w:r>
              <w:rPr>
                <w:rFonts w:eastAsia="Calibri" w:cs="Times New Roman"/>
                <w:bCs/>
                <w:szCs w:val="24"/>
              </w:rPr>
              <w:t>0.71</w:t>
            </w:r>
          </w:p>
        </w:tc>
      </w:tr>
      <w:tr w:rsidR="009F33CD" w14:paraId="0CF27A6F" w14:textId="77777777">
        <w:trPr>
          <w:trHeight w:val="50"/>
        </w:trPr>
        <w:tc>
          <w:tcPr>
            <w:tcW w:w="2110" w:type="pct"/>
          </w:tcPr>
          <w:p w14:paraId="5EFBE989" w14:textId="77777777" w:rsidR="009F33CD" w:rsidRDefault="00E40740">
            <w:pPr>
              <w:autoSpaceDE/>
              <w:autoSpaceDN/>
              <w:adjustRightInd/>
              <w:spacing w:line="240" w:lineRule="auto"/>
              <w:rPr>
                <w:rFonts w:eastAsia="Calibri" w:cs="Times New Roman"/>
                <w:szCs w:val="24"/>
              </w:rPr>
            </w:pPr>
            <w:r>
              <w:rPr>
                <w:rFonts w:eastAsia="Times New Roman" w:cs="Times New Roman"/>
                <w:bCs/>
                <w:szCs w:val="24"/>
              </w:rPr>
              <w:t>This Level Five Hospital embraces use of online and web-based training modules for improved healthcare services.</w:t>
            </w:r>
          </w:p>
        </w:tc>
        <w:tc>
          <w:tcPr>
            <w:tcW w:w="413" w:type="pct"/>
          </w:tcPr>
          <w:p w14:paraId="013B02F1" w14:textId="77777777" w:rsidR="009F33CD" w:rsidRDefault="00E40740">
            <w:pPr>
              <w:spacing w:line="240" w:lineRule="auto"/>
              <w:rPr>
                <w:rFonts w:eastAsia="Calibri" w:cs="Times New Roman"/>
                <w:bCs/>
                <w:szCs w:val="24"/>
              </w:rPr>
            </w:pPr>
            <w:r>
              <w:rPr>
                <w:rFonts w:eastAsia="Calibri" w:cs="Times New Roman"/>
                <w:bCs/>
                <w:szCs w:val="24"/>
              </w:rPr>
              <w:t>2.5%</w:t>
            </w:r>
          </w:p>
        </w:tc>
        <w:tc>
          <w:tcPr>
            <w:tcW w:w="367" w:type="pct"/>
          </w:tcPr>
          <w:p w14:paraId="4FEC86AE" w14:textId="77777777" w:rsidR="009F33CD" w:rsidRDefault="00E40740">
            <w:pPr>
              <w:spacing w:line="240" w:lineRule="auto"/>
              <w:rPr>
                <w:rFonts w:eastAsia="Calibri" w:cs="Times New Roman"/>
                <w:bCs/>
                <w:szCs w:val="24"/>
              </w:rPr>
            </w:pPr>
            <w:r>
              <w:rPr>
                <w:rFonts w:eastAsia="Calibri" w:cs="Times New Roman"/>
                <w:bCs/>
                <w:szCs w:val="24"/>
              </w:rPr>
              <w:t>1.5%</w:t>
            </w:r>
          </w:p>
        </w:tc>
        <w:tc>
          <w:tcPr>
            <w:tcW w:w="459" w:type="pct"/>
          </w:tcPr>
          <w:p w14:paraId="3FF7A4B8" w14:textId="77777777" w:rsidR="009F33CD" w:rsidRDefault="00E40740">
            <w:pPr>
              <w:spacing w:line="240" w:lineRule="auto"/>
              <w:rPr>
                <w:rFonts w:eastAsia="Calibri" w:cs="Times New Roman"/>
                <w:bCs/>
                <w:szCs w:val="24"/>
              </w:rPr>
            </w:pPr>
            <w:r>
              <w:rPr>
                <w:rFonts w:eastAsia="Calibri" w:cs="Times New Roman"/>
                <w:bCs/>
                <w:szCs w:val="24"/>
              </w:rPr>
              <w:t>14.6%</w:t>
            </w:r>
          </w:p>
        </w:tc>
        <w:tc>
          <w:tcPr>
            <w:tcW w:w="459" w:type="pct"/>
          </w:tcPr>
          <w:p w14:paraId="1A76EE2E" w14:textId="77777777" w:rsidR="009F33CD" w:rsidRDefault="00E40740">
            <w:pPr>
              <w:spacing w:line="240" w:lineRule="auto"/>
              <w:rPr>
                <w:rFonts w:eastAsia="Calibri" w:cs="Times New Roman"/>
                <w:bCs/>
                <w:szCs w:val="24"/>
              </w:rPr>
            </w:pPr>
            <w:r>
              <w:rPr>
                <w:rFonts w:eastAsia="Calibri" w:cs="Times New Roman"/>
                <w:bCs/>
                <w:szCs w:val="24"/>
              </w:rPr>
              <w:t>52.5%</w:t>
            </w:r>
          </w:p>
        </w:tc>
        <w:tc>
          <w:tcPr>
            <w:tcW w:w="459" w:type="pct"/>
          </w:tcPr>
          <w:p w14:paraId="5F9C0B30" w14:textId="77777777" w:rsidR="009F33CD" w:rsidRDefault="00E40740">
            <w:pPr>
              <w:spacing w:line="240" w:lineRule="auto"/>
              <w:rPr>
                <w:rFonts w:eastAsia="Calibri" w:cs="Times New Roman"/>
                <w:bCs/>
                <w:szCs w:val="24"/>
              </w:rPr>
            </w:pPr>
            <w:r>
              <w:rPr>
                <w:rFonts w:eastAsia="Calibri" w:cs="Times New Roman"/>
                <w:bCs/>
                <w:szCs w:val="24"/>
              </w:rPr>
              <w:t>28.8%</w:t>
            </w:r>
          </w:p>
        </w:tc>
        <w:tc>
          <w:tcPr>
            <w:tcW w:w="367" w:type="pct"/>
          </w:tcPr>
          <w:p w14:paraId="00661E49" w14:textId="77777777" w:rsidR="009F33CD" w:rsidRDefault="00E40740">
            <w:pPr>
              <w:spacing w:line="240" w:lineRule="auto"/>
              <w:rPr>
                <w:rFonts w:eastAsia="Calibri" w:cs="Times New Roman"/>
                <w:bCs/>
                <w:szCs w:val="24"/>
              </w:rPr>
            </w:pPr>
            <w:r>
              <w:rPr>
                <w:rFonts w:eastAsia="Calibri" w:cs="Times New Roman"/>
                <w:bCs/>
                <w:szCs w:val="24"/>
              </w:rPr>
              <w:t>4.03</w:t>
            </w:r>
          </w:p>
        </w:tc>
        <w:tc>
          <w:tcPr>
            <w:tcW w:w="367" w:type="pct"/>
          </w:tcPr>
          <w:p w14:paraId="68A494EF" w14:textId="77777777" w:rsidR="009F33CD" w:rsidRDefault="00E40740">
            <w:pPr>
              <w:spacing w:line="240" w:lineRule="auto"/>
              <w:rPr>
                <w:rFonts w:eastAsia="Calibri" w:cs="Times New Roman"/>
                <w:bCs/>
                <w:szCs w:val="24"/>
              </w:rPr>
            </w:pPr>
            <w:r>
              <w:rPr>
                <w:rFonts w:eastAsia="Calibri" w:cs="Times New Roman"/>
                <w:bCs/>
                <w:szCs w:val="24"/>
              </w:rPr>
              <w:t>0.87</w:t>
            </w:r>
          </w:p>
        </w:tc>
      </w:tr>
      <w:tr w:rsidR="009F33CD" w14:paraId="435C53CA" w14:textId="77777777">
        <w:trPr>
          <w:trHeight w:val="755"/>
        </w:trPr>
        <w:tc>
          <w:tcPr>
            <w:tcW w:w="2110" w:type="pct"/>
          </w:tcPr>
          <w:p w14:paraId="4D4F9B83" w14:textId="77777777" w:rsidR="009F33CD" w:rsidRDefault="00E40740">
            <w:pPr>
              <w:autoSpaceDE/>
              <w:autoSpaceDN/>
              <w:adjustRightInd/>
              <w:spacing w:line="240" w:lineRule="auto"/>
              <w:rPr>
                <w:rFonts w:eastAsia="Calibri" w:cs="Times New Roman"/>
                <w:szCs w:val="24"/>
              </w:rPr>
            </w:pPr>
            <w:r>
              <w:rPr>
                <w:rFonts w:eastAsia="Times New Roman" w:cs="Times New Roman"/>
                <w:bCs/>
                <w:szCs w:val="24"/>
              </w:rPr>
              <w:t>Green Innovation (</w:t>
            </w:r>
            <w:r w:rsidR="00921152">
              <w:rPr>
                <w:rFonts w:eastAsia="Times New Roman" w:cs="Times New Roman"/>
                <w:bCs/>
                <w:szCs w:val="24"/>
              </w:rPr>
              <w:t>e.g.,</w:t>
            </w:r>
            <w:r>
              <w:rPr>
                <w:rFonts w:eastAsia="Times New Roman" w:cs="Times New Roman"/>
                <w:bCs/>
                <w:szCs w:val="24"/>
              </w:rPr>
              <w:t xml:space="preserve"> use of tele-medicine) is encouraged among clinicians in the hospital</w:t>
            </w:r>
          </w:p>
        </w:tc>
        <w:tc>
          <w:tcPr>
            <w:tcW w:w="413" w:type="pct"/>
          </w:tcPr>
          <w:p w14:paraId="020DCA5C" w14:textId="77777777" w:rsidR="009F33CD" w:rsidRDefault="00E40740">
            <w:pPr>
              <w:spacing w:line="240" w:lineRule="auto"/>
              <w:rPr>
                <w:rFonts w:eastAsia="Calibri" w:cs="Times New Roman"/>
                <w:bCs/>
                <w:szCs w:val="24"/>
              </w:rPr>
            </w:pPr>
            <w:r>
              <w:rPr>
                <w:rFonts w:eastAsia="Calibri" w:cs="Times New Roman"/>
                <w:bCs/>
                <w:szCs w:val="24"/>
              </w:rPr>
              <w:t>1.5%</w:t>
            </w:r>
          </w:p>
        </w:tc>
        <w:tc>
          <w:tcPr>
            <w:tcW w:w="367" w:type="pct"/>
          </w:tcPr>
          <w:p w14:paraId="6618CFC3" w14:textId="77777777" w:rsidR="009F33CD" w:rsidRDefault="00E40740">
            <w:pPr>
              <w:spacing w:line="240" w:lineRule="auto"/>
              <w:rPr>
                <w:rFonts w:eastAsia="Calibri" w:cs="Times New Roman"/>
                <w:bCs/>
                <w:szCs w:val="24"/>
              </w:rPr>
            </w:pPr>
            <w:r>
              <w:rPr>
                <w:rFonts w:eastAsia="Calibri" w:cs="Times New Roman"/>
                <w:bCs/>
                <w:szCs w:val="24"/>
              </w:rPr>
              <w:t>6.2%</w:t>
            </w:r>
          </w:p>
        </w:tc>
        <w:tc>
          <w:tcPr>
            <w:tcW w:w="459" w:type="pct"/>
          </w:tcPr>
          <w:p w14:paraId="60E7495A" w14:textId="77777777" w:rsidR="009F33CD" w:rsidRDefault="00E40740">
            <w:pPr>
              <w:spacing w:line="240" w:lineRule="auto"/>
              <w:rPr>
                <w:rFonts w:eastAsia="Calibri" w:cs="Times New Roman"/>
                <w:bCs/>
                <w:szCs w:val="24"/>
              </w:rPr>
            </w:pPr>
            <w:r>
              <w:rPr>
                <w:rFonts w:eastAsia="Calibri" w:cs="Times New Roman"/>
                <w:bCs/>
                <w:szCs w:val="24"/>
              </w:rPr>
              <w:t>13.7%</w:t>
            </w:r>
          </w:p>
        </w:tc>
        <w:tc>
          <w:tcPr>
            <w:tcW w:w="459" w:type="pct"/>
          </w:tcPr>
          <w:p w14:paraId="23F5E68D" w14:textId="77777777" w:rsidR="009F33CD" w:rsidRDefault="00E40740">
            <w:pPr>
              <w:spacing w:line="240" w:lineRule="auto"/>
              <w:rPr>
                <w:rFonts w:eastAsia="Calibri" w:cs="Times New Roman"/>
                <w:bCs/>
                <w:szCs w:val="24"/>
              </w:rPr>
            </w:pPr>
            <w:r>
              <w:rPr>
                <w:rFonts w:eastAsia="Calibri" w:cs="Times New Roman"/>
                <w:bCs/>
                <w:szCs w:val="24"/>
              </w:rPr>
              <w:t>48.8%</w:t>
            </w:r>
          </w:p>
        </w:tc>
        <w:tc>
          <w:tcPr>
            <w:tcW w:w="459" w:type="pct"/>
          </w:tcPr>
          <w:p w14:paraId="2B9A756F" w14:textId="77777777" w:rsidR="009F33CD" w:rsidRDefault="00E40740">
            <w:pPr>
              <w:spacing w:line="240" w:lineRule="auto"/>
              <w:rPr>
                <w:rFonts w:eastAsia="Calibri" w:cs="Times New Roman"/>
                <w:bCs/>
                <w:szCs w:val="24"/>
              </w:rPr>
            </w:pPr>
            <w:r>
              <w:rPr>
                <w:rFonts w:eastAsia="Calibri" w:cs="Times New Roman"/>
                <w:bCs/>
                <w:szCs w:val="24"/>
              </w:rPr>
              <w:t>30.8%</w:t>
            </w:r>
          </w:p>
        </w:tc>
        <w:tc>
          <w:tcPr>
            <w:tcW w:w="367" w:type="pct"/>
          </w:tcPr>
          <w:p w14:paraId="5F97DE5E" w14:textId="77777777" w:rsidR="009F33CD" w:rsidRDefault="00E40740">
            <w:pPr>
              <w:spacing w:line="240" w:lineRule="auto"/>
              <w:rPr>
                <w:rFonts w:eastAsia="Calibri" w:cs="Times New Roman"/>
                <w:bCs/>
                <w:szCs w:val="24"/>
              </w:rPr>
            </w:pPr>
            <w:r>
              <w:rPr>
                <w:rFonts w:eastAsia="Calibri" w:cs="Times New Roman"/>
                <w:bCs/>
                <w:szCs w:val="24"/>
              </w:rPr>
              <w:t>3.98</w:t>
            </w:r>
          </w:p>
        </w:tc>
        <w:tc>
          <w:tcPr>
            <w:tcW w:w="367" w:type="pct"/>
          </w:tcPr>
          <w:p w14:paraId="603A9B15" w14:textId="77777777" w:rsidR="009F33CD" w:rsidRDefault="00E40740">
            <w:pPr>
              <w:spacing w:line="240" w:lineRule="auto"/>
              <w:rPr>
                <w:rFonts w:eastAsia="Calibri" w:cs="Times New Roman"/>
                <w:bCs/>
                <w:szCs w:val="24"/>
              </w:rPr>
            </w:pPr>
            <w:r>
              <w:rPr>
                <w:rFonts w:eastAsia="Calibri" w:cs="Times New Roman"/>
                <w:bCs/>
                <w:szCs w:val="24"/>
              </w:rPr>
              <w:t>0.92</w:t>
            </w:r>
          </w:p>
        </w:tc>
      </w:tr>
      <w:tr w:rsidR="009F33CD" w14:paraId="512749C3" w14:textId="77777777">
        <w:trPr>
          <w:trHeight w:val="49"/>
        </w:trPr>
        <w:tc>
          <w:tcPr>
            <w:tcW w:w="2110" w:type="pct"/>
          </w:tcPr>
          <w:p w14:paraId="48073A15" w14:textId="77777777" w:rsidR="009F33CD" w:rsidRDefault="00E40740">
            <w:pPr>
              <w:autoSpaceDE/>
              <w:autoSpaceDN/>
              <w:adjustRightInd/>
              <w:spacing w:line="240" w:lineRule="auto"/>
              <w:rPr>
                <w:rFonts w:eastAsia="Calibri" w:cs="Times New Roman"/>
                <w:szCs w:val="24"/>
              </w:rPr>
            </w:pPr>
            <w:r>
              <w:rPr>
                <w:rFonts w:eastAsia="Times New Roman" w:cs="Times New Roman"/>
                <w:bCs/>
                <w:szCs w:val="24"/>
              </w:rPr>
              <w:t>New employees are inducted using online-modules and given soft copies about hospital services.</w:t>
            </w:r>
          </w:p>
        </w:tc>
        <w:tc>
          <w:tcPr>
            <w:tcW w:w="413" w:type="pct"/>
          </w:tcPr>
          <w:p w14:paraId="584C1F54" w14:textId="77777777" w:rsidR="009F33CD" w:rsidRDefault="00E40740">
            <w:pPr>
              <w:spacing w:line="240" w:lineRule="auto"/>
              <w:rPr>
                <w:rFonts w:eastAsia="Calibri" w:cs="Times New Roman"/>
                <w:bCs/>
                <w:szCs w:val="24"/>
              </w:rPr>
            </w:pPr>
            <w:r>
              <w:rPr>
                <w:rFonts w:eastAsia="Calibri" w:cs="Times New Roman"/>
                <w:bCs/>
                <w:szCs w:val="24"/>
              </w:rPr>
              <w:t>1.7%</w:t>
            </w:r>
          </w:p>
        </w:tc>
        <w:tc>
          <w:tcPr>
            <w:tcW w:w="367" w:type="pct"/>
          </w:tcPr>
          <w:p w14:paraId="7B5AC256" w14:textId="77777777" w:rsidR="009F33CD" w:rsidRDefault="00E40740">
            <w:pPr>
              <w:spacing w:line="240" w:lineRule="auto"/>
              <w:rPr>
                <w:rFonts w:eastAsia="Calibri" w:cs="Times New Roman"/>
                <w:bCs/>
                <w:szCs w:val="24"/>
              </w:rPr>
            </w:pPr>
            <w:r>
              <w:rPr>
                <w:rFonts w:eastAsia="Calibri" w:cs="Times New Roman"/>
                <w:bCs/>
                <w:szCs w:val="24"/>
              </w:rPr>
              <w:t>5.9%</w:t>
            </w:r>
          </w:p>
        </w:tc>
        <w:tc>
          <w:tcPr>
            <w:tcW w:w="459" w:type="pct"/>
          </w:tcPr>
          <w:p w14:paraId="63DE61DD" w14:textId="77777777" w:rsidR="009F33CD" w:rsidRDefault="00E40740">
            <w:pPr>
              <w:spacing w:line="240" w:lineRule="auto"/>
              <w:rPr>
                <w:rFonts w:eastAsia="Calibri" w:cs="Times New Roman"/>
                <w:bCs/>
                <w:szCs w:val="24"/>
              </w:rPr>
            </w:pPr>
            <w:r>
              <w:rPr>
                <w:rFonts w:eastAsia="Calibri" w:cs="Times New Roman"/>
                <w:bCs/>
                <w:szCs w:val="24"/>
              </w:rPr>
              <w:t>10%</w:t>
            </w:r>
          </w:p>
        </w:tc>
        <w:tc>
          <w:tcPr>
            <w:tcW w:w="459" w:type="pct"/>
          </w:tcPr>
          <w:p w14:paraId="655D489B" w14:textId="77777777" w:rsidR="009F33CD" w:rsidRDefault="00E40740">
            <w:pPr>
              <w:spacing w:line="240" w:lineRule="auto"/>
              <w:rPr>
                <w:rFonts w:eastAsia="Calibri" w:cs="Times New Roman"/>
                <w:bCs/>
                <w:szCs w:val="24"/>
              </w:rPr>
            </w:pPr>
            <w:r>
              <w:rPr>
                <w:rFonts w:eastAsia="Calibri" w:cs="Times New Roman"/>
                <w:bCs/>
                <w:szCs w:val="24"/>
              </w:rPr>
              <w:t>49.2%</w:t>
            </w:r>
          </w:p>
        </w:tc>
        <w:tc>
          <w:tcPr>
            <w:tcW w:w="459" w:type="pct"/>
          </w:tcPr>
          <w:p w14:paraId="46B73CAC" w14:textId="77777777" w:rsidR="009F33CD" w:rsidRDefault="00E40740">
            <w:pPr>
              <w:spacing w:line="240" w:lineRule="auto"/>
              <w:rPr>
                <w:rFonts w:eastAsia="Calibri" w:cs="Times New Roman"/>
                <w:bCs/>
                <w:szCs w:val="24"/>
              </w:rPr>
            </w:pPr>
            <w:r>
              <w:rPr>
                <w:rFonts w:eastAsia="Calibri" w:cs="Times New Roman"/>
                <w:bCs/>
                <w:szCs w:val="24"/>
              </w:rPr>
              <w:t>33.2%</w:t>
            </w:r>
          </w:p>
        </w:tc>
        <w:tc>
          <w:tcPr>
            <w:tcW w:w="367" w:type="pct"/>
          </w:tcPr>
          <w:p w14:paraId="7E9F6E91" w14:textId="77777777" w:rsidR="009F33CD" w:rsidRDefault="00E40740">
            <w:pPr>
              <w:spacing w:line="240" w:lineRule="auto"/>
              <w:rPr>
                <w:rFonts w:eastAsia="Calibri" w:cs="Times New Roman"/>
                <w:bCs/>
                <w:szCs w:val="24"/>
              </w:rPr>
            </w:pPr>
            <w:r>
              <w:rPr>
                <w:rFonts w:eastAsia="Calibri" w:cs="Times New Roman"/>
                <w:bCs/>
                <w:szCs w:val="24"/>
              </w:rPr>
              <w:t>4.04</w:t>
            </w:r>
          </w:p>
        </w:tc>
        <w:tc>
          <w:tcPr>
            <w:tcW w:w="367" w:type="pct"/>
          </w:tcPr>
          <w:p w14:paraId="4561B9F2" w14:textId="77777777" w:rsidR="009F33CD" w:rsidRDefault="00E40740">
            <w:pPr>
              <w:spacing w:line="240" w:lineRule="auto"/>
              <w:rPr>
                <w:rFonts w:eastAsia="Calibri" w:cs="Times New Roman"/>
                <w:bCs/>
                <w:szCs w:val="24"/>
              </w:rPr>
            </w:pPr>
            <w:r>
              <w:rPr>
                <w:rFonts w:eastAsia="Calibri" w:cs="Times New Roman"/>
                <w:bCs/>
                <w:szCs w:val="24"/>
              </w:rPr>
              <w:t>0.90</w:t>
            </w:r>
          </w:p>
        </w:tc>
      </w:tr>
      <w:tr w:rsidR="009F33CD" w14:paraId="6B8C3C04" w14:textId="77777777">
        <w:trPr>
          <w:trHeight w:val="50"/>
        </w:trPr>
        <w:tc>
          <w:tcPr>
            <w:tcW w:w="2110" w:type="pct"/>
          </w:tcPr>
          <w:p w14:paraId="6B45974D" w14:textId="77777777" w:rsidR="009F33CD" w:rsidRDefault="00E40740">
            <w:pPr>
              <w:autoSpaceDE/>
              <w:autoSpaceDN/>
              <w:adjustRightInd/>
              <w:spacing w:line="240" w:lineRule="auto"/>
              <w:rPr>
                <w:rFonts w:eastAsia="Calibri" w:cs="Times New Roman"/>
                <w:szCs w:val="24"/>
              </w:rPr>
            </w:pPr>
            <w:bookmarkStart w:id="1268" w:name="_Hlk139554891"/>
            <w:r>
              <w:rPr>
                <w:rFonts w:eastAsia="Times New Roman" w:cs="Times New Roman"/>
                <w:bCs/>
                <w:szCs w:val="24"/>
              </w:rPr>
              <w:t>Managers of devolved healthcare services encourage electronic information-sharing about clean and safe work environment and performance standards</w:t>
            </w:r>
          </w:p>
        </w:tc>
        <w:tc>
          <w:tcPr>
            <w:tcW w:w="413" w:type="pct"/>
          </w:tcPr>
          <w:p w14:paraId="67CA6087" w14:textId="77777777" w:rsidR="009F33CD" w:rsidRDefault="00E40740">
            <w:pPr>
              <w:spacing w:line="240" w:lineRule="auto"/>
              <w:rPr>
                <w:rFonts w:eastAsia="Calibri" w:cs="Times New Roman"/>
                <w:bCs/>
                <w:szCs w:val="24"/>
              </w:rPr>
            </w:pPr>
            <w:r>
              <w:rPr>
                <w:rFonts w:eastAsia="Calibri" w:cs="Times New Roman"/>
                <w:bCs/>
                <w:szCs w:val="24"/>
              </w:rPr>
              <w:t>3.5%</w:t>
            </w:r>
          </w:p>
        </w:tc>
        <w:tc>
          <w:tcPr>
            <w:tcW w:w="367" w:type="pct"/>
          </w:tcPr>
          <w:p w14:paraId="59E6091D" w14:textId="77777777" w:rsidR="009F33CD" w:rsidRDefault="00E40740">
            <w:pPr>
              <w:spacing w:line="240" w:lineRule="auto"/>
              <w:rPr>
                <w:rFonts w:eastAsia="Calibri" w:cs="Times New Roman"/>
                <w:bCs/>
                <w:szCs w:val="24"/>
              </w:rPr>
            </w:pPr>
            <w:r>
              <w:rPr>
                <w:rFonts w:eastAsia="Calibri" w:cs="Times New Roman"/>
                <w:bCs/>
                <w:szCs w:val="24"/>
              </w:rPr>
              <w:t>8.7%</w:t>
            </w:r>
          </w:p>
        </w:tc>
        <w:tc>
          <w:tcPr>
            <w:tcW w:w="459" w:type="pct"/>
          </w:tcPr>
          <w:p w14:paraId="68F870DA" w14:textId="77777777" w:rsidR="009F33CD" w:rsidRDefault="00E40740">
            <w:pPr>
              <w:spacing w:line="240" w:lineRule="auto"/>
              <w:rPr>
                <w:rFonts w:eastAsia="Calibri" w:cs="Times New Roman"/>
                <w:bCs/>
                <w:szCs w:val="24"/>
              </w:rPr>
            </w:pPr>
            <w:r>
              <w:rPr>
                <w:rFonts w:eastAsia="Calibri" w:cs="Times New Roman"/>
                <w:bCs/>
                <w:szCs w:val="24"/>
              </w:rPr>
              <w:t>12.4%</w:t>
            </w:r>
          </w:p>
        </w:tc>
        <w:tc>
          <w:tcPr>
            <w:tcW w:w="459" w:type="pct"/>
          </w:tcPr>
          <w:p w14:paraId="1E0E5ACD" w14:textId="77777777" w:rsidR="009F33CD" w:rsidRDefault="00E40740">
            <w:pPr>
              <w:spacing w:line="240" w:lineRule="auto"/>
              <w:rPr>
                <w:rFonts w:eastAsia="Calibri" w:cs="Times New Roman"/>
                <w:bCs/>
                <w:szCs w:val="24"/>
              </w:rPr>
            </w:pPr>
            <w:r>
              <w:rPr>
                <w:rFonts w:eastAsia="Calibri" w:cs="Times New Roman"/>
                <w:bCs/>
                <w:szCs w:val="24"/>
              </w:rPr>
              <w:t>44.9%</w:t>
            </w:r>
          </w:p>
        </w:tc>
        <w:tc>
          <w:tcPr>
            <w:tcW w:w="459" w:type="pct"/>
          </w:tcPr>
          <w:p w14:paraId="27BE2AC3" w14:textId="77777777" w:rsidR="009F33CD" w:rsidRDefault="00E40740">
            <w:pPr>
              <w:spacing w:line="240" w:lineRule="auto"/>
              <w:rPr>
                <w:rFonts w:eastAsia="Calibri" w:cs="Times New Roman"/>
                <w:bCs/>
                <w:szCs w:val="24"/>
              </w:rPr>
            </w:pPr>
            <w:r>
              <w:rPr>
                <w:rFonts w:eastAsia="Calibri" w:cs="Times New Roman"/>
                <w:bCs/>
                <w:szCs w:val="24"/>
              </w:rPr>
              <w:t>30.5%</w:t>
            </w:r>
          </w:p>
        </w:tc>
        <w:tc>
          <w:tcPr>
            <w:tcW w:w="367" w:type="pct"/>
          </w:tcPr>
          <w:p w14:paraId="457B4ED6" w14:textId="77777777" w:rsidR="009F33CD" w:rsidRDefault="00E40740">
            <w:pPr>
              <w:spacing w:line="240" w:lineRule="auto"/>
              <w:rPr>
                <w:rFonts w:eastAsia="Calibri" w:cs="Times New Roman"/>
                <w:bCs/>
                <w:szCs w:val="24"/>
              </w:rPr>
            </w:pPr>
            <w:r>
              <w:rPr>
                <w:rFonts w:eastAsia="Calibri" w:cs="Times New Roman"/>
                <w:bCs/>
                <w:szCs w:val="24"/>
              </w:rPr>
              <w:t>3.97</w:t>
            </w:r>
          </w:p>
        </w:tc>
        <w:tc>
          <w:tcPr>
            <w:tcW w:w="367" w:type="pct"/>
          </w:tcPr>
          <w:p w14:paraId="268C32F9" w14:textId="77777777" w:rsidR="009F33CD" w:rsidRDefault="00E40740">
            <w:pPr>
              <w:spacing w:line="240" w:lineRule="auto"/>
              <w:rPr>
                <w:rFonts w:eastAsia="Calibri" w:cs="Times New Roman"/>
                <w:bCs/>
                <w:szCs w:val="24"/>
              </w:rPr>
            </w:pPr>
            <w:r>
              <w:rPr>
                <w:rFonts w:eastAsia="Calibri" w:cs="Times New Roman"/>
                <w:bCs/>
                <w:szCs w:val="24"/>
              </w:rPr>
              <w:t>0.99</w:t>
            </w:r>
          </w:p>
        </w:tc>
      </w:tr>
      <w:tr w:rsidR="009F33CD" w14:paraId="043B9C7F" w14:textId="77777777">
        <w:trPr>
          <w:trHeight w:val="165"/>
        </w:trPr>
        <w:tc>
          <w:tcPr>
            <w:tcW w:w="2110" w:type="pct"/>
          </w:tcPr>
          <w:p w14:paraId="7DE7632E" w14:textId="77777777" w:rsidR="009F33CD" w:rsidRDefault="00E40740">
            <w:pPr>
              <w:autoSpaceDE/>
              <w:autoSpaceDN/>
              <w:adjustRightInd/>
              <w:spacing w:line="240" w:lineRule="auto"/>
              <w:rPr>
                <w:rFonts w:eastAsia="Calibri" w:cs="Times New Roman"/>
                <w:szCs w:val="24"/>
              </w:rPr>
            </w:pPr>
            <w:bookmarkStart w:id="1269" w:name="_Hlk139555134"/>
            <w:bookmarkEnd w:id="1268"/>
            <w:r>
              <w:rPr>
                <w:rFonts w:eastAsia="Times New Roman" w:cs="Times New Roman"/>
                <w:bCs/>
                <w:szCs w:val="24"/>
              </w:rPr>
              <w:t>Evaluating training is conducted in this hospital to determine if employees have acquired eco-friendly skills, knowledge or attitudes that enhance their performance.</w:t>
            </w:r>
            <w:bookmarkEnd w:id="1269"/>
          </w:p>
        </w:tc>
        <w:tc>
          <w:tcPr>
            <w:tcW w:w="413" w:type="pct"/>
          </w:tcPr>
          <w:p w14:paraId="30D4D41F" w14:textId="77777777" w:rsidR="009F33CD" w:rsidRDefault="00E40740">
            <w:pPr>
              <w:spacing w:line="240" w:lineRule="auto"/>
              <w:rPr>
                <w:rFonts w:eastAsia="Calibri" w:cs="Times New Roman"/>
                <w:bCs/>
                <w:szCs w:val="24"/>
              </w:rPr>
            </w:pPr>
            <w:r>
              <w:rPr>
                <w:rFonts w:eastAsia="Calibri" w:cs="Times New Roman"/>
                <w:bCs/>
                <w:szCs w:val="24"/>
              </w:rPr>
              <w:t>0%</w:t>
            </w:r>
          </w:p>
        </w:tc>
        <w:tc>
          <w:tcPr>
            <w:tcW w:w="367" w:type="pct"/>
          </w:tcPr>
          <w:p w14:paraId="6FDA7F34" w14:textId="77777777" w:rsidR="009F33CD" w:rsidRDefault="00E40740">
            <w:pPr>
              <w:spacing w:line="240" w:lineRule="auto"/>
              <w:rPr>
                <w:rFonts w:eastAsia="Calibri" w:cs="Times New Roman"/>
                <w:bCs/>
                <w:szCs w:val="24"/>
              </w:rPr>
            </w:pPr>
            <w:r>
              <w:rPr>
                <w:rFonts w:eastAsia="Calibri" w:cs="Times New Roman"/>
                <w:bCs/>
                <w:szCs w:val="24"/>
              </w:rPr>
              <w:t>3.4%</w:t>
            </w:r>
          </w:p>
        </w:tc>
        <w:tc>
          <w:tcPr>
            <w:tcW w:w="459" w:type="pct"/>
          </w:tcPr>
          <w:p w14:paraId="2C4ED4D8" w14:textId="77777777" w:rsidR="009F33CD" w:rsidRDefault="00E40740">
            <w:pPr>
              <w:spacing w:line="240" w:lineRule="auto"/>
              <w:rPr>
                <w:rFonts w:eastAsia="Calibri" w:cs="Times New Roman"/>
                <w:bCs/>
                <w:szCs w:val="24"/>
              </w:rPr>
            </w:pPr>
            <w:r>
              <w:rPr>
                <w:rFonts w:eastAsia="Calibri" w:cs="Times New Roman"/>
                <w:bCs/>
                <w:szCs w:val="24"/>
              </w:rPr>
              <w:t>9.3%</w:t>
            </w:r>
          </w:p>
        </w:tc>
        <w:tc>
          <w:tcPr>
            <w:tcW w:w="459" w:type="pct"/>
          </w:tcPr>
          <w:p w14:paraId="67482C1F" w14:textId="77777777" w:rsidR="009F33CD" w:rsidRDefault="00E40740">
            <w:pPr>
              <w:spacing w:line="240" w:lineRule="auto"/>
              <w:rPr>
                <w:rFonts w:eastAsia="Calibri" w:cs="Times New Roman"/>
                <w:bCs/>
                <w:szCs w:val="24"/>
              </w:rPr>
            </w:pPr>
            <w:r>
              <w:rPr>
                <w:rFonts w:eastAsia="Calibri" w:cs="Times New Roman"/>
                <w:bCs/>
                <w:szCs w:val="24"/>
              </w:rPr>
              <w:t>49.2%</w:t>
            </w:r>
          </w:p>
        </w:tc>
        <w:tc>
          <w:tcPr>
            <w:tcW w:w="459" w:type="pct"/>
          </w:tcPr>
          <w:p w14:paraId="56D1904E" w14:textId="77777777" w:rsidR="009F33CD" w:rsidRDefault="00E40740">
            <w:pPr>
              <w:spacing w:line="240" w:lineRule="auto"/>
              <w:rPr>
                <w:rFonts w:eastAsia="Calibri" w:cs="Times New Roman"/>
                <w:bCs/>
                <w:szCs w:val="24"/>
              </w:rPr>
            </w:pPr>
            <w:r>
              <w:rPr>
                <w:rFonts w:eastAsia="Calibri" w:cs="Times New Roman"/>
                <w:bCs/>
                <w:szCs w:val="24"/>
              </w:rPr>
              <w:t>38.1%</w:t>
            </w:r>
          </w:p>
        </w:tc>
        <w:tc>
          <w:tcPr>
            <w:tcW w:w="367" w:type="pct"/>
          </w:tcPr>
          <w:p w14:paraId="4099E185" w14:textId="77777777" w:rsidR="009F33CD" w:rsidRDefault="00E40740">
            <w:pPr>
              <w:spacing w:line="240" w:lineRule="auto"/>
              <w:rPr>
                <w:rFonts w:eastAsia="Calibri" w:cs="Times New Roman"/>
                <w:bCs/>
                <w:szCs w:val="24"/>
              </w:rPr>
            </w:pPr>
            <w:r>
              <w:rPr>
                <w:rFonts w:eastAsia="Calibri" w:cs="Times New Roman"/>
                <w:bCs/>
                <w:szCs w:val="24"/>
              </w:rPr>
              <w:t>4.22</w:t>
            </w:r>
          </w:p>
        </w:tc>
        <w:tc>
          <w:tcPr>
            <w:tcW w:w="367" w:type="pct"/>
          </w:tcPr>
          <w:p w14:paraId="6A6D7558" w14:textId="77777777" w:rsidR="009F33CD" w:rsidRDefault="00E40740">
            <w:pPr>
              <w:spacing w:line="240" w:lineRule="auto"/>
              <w:rPr>
                <w:rFonts w:eastAsia="Calibri" w:cs="Times New Roman"/>
                <w:bCs/>
                <w:szCs w:val="24"/>
              </w:rPr>
            </w:pPr>
            <w:r>
              <w:rPr>
                <w:rFonts w:eastAsia="Calibri" w:cs="Times New Roman"/>
                <w:bCs/>
                <w:szCs w:val="24"/>
              </w:rPr>
              <w:t>0.75</w:t>
            </w:r>
          </w:p>
        </w:tc>
      </w:tr>
      <w:tr w:rsidR="009F33CD" w14:paraId="4C765B1B" w14:textId="77777777">
        <w:trPr>
          <w:trHeight w:val="49"/>
        </w:trPr>
        <w:tc>
          <w:tcPr>
            <w:tcW w:w="2110" w:type="pct"/>
          </w:tcPr>
          <w:p w14:paraId="7DEF5A59" w14:textId="77777777" w:rsidR="009F33CD" w:rsidRDefault="00E40740">
            <w:pPr>
              <w:autoSpaceDE/>
              <w:autoSpaceDN/>
              <w:adjustRightInd/>
              <w:spacing w:line="240" w:lineRule="auto"/>
              <w:rPr>
                <w:rFonts w:eastAsia="Calibri" w:cs="Times New Roman"/>
                <w:szCs w:val="24"/>
              </w:rPr>
            </w:pPr>
            <w:bookmarkStart w:id="1270" w:name="_Hlk139555448"/>
            <w:r>
              <w:rPr>
                <w:rFonts w:eastAsia="Times New Roman" w:cs="Times New Roman"/>
                <w:bCs/>
                <w:szCs w:val="24"/>
              </w:rPr>
              <w:t>Green training in devolved healthcare services has a significant influence on healthcare performance.</w:t>
            </w:r>
          </w:p>
        </w:tc>
        <w:tc>
          <w:tcPr>
            <w:tcW w:w="413" w:type="pct"/>
          </w:tcPr>
          <w:p w14:paraId="6269FA99" w14:textId="77777777" w:rsidR="009F33CD" w:rsidRDefault="00E40740">
            <w:pPr>
              <w:spacing w:line="240" w:lineRule="auto"/>
              <w:rPr>
                <w:rFonts w:eastAsia="Calibri" w:cs="Times New Roman"/>
                <w:bCs/>
                <w:szCs w:val="24"/>
              </w:rPr>
            </w:pPr>
            <w:r>
              <w:rPr>
                <w:rFonts w:eastAsia="Calibri" w:cs="Times New Roman"/>
                <w:bCs/>
                <w:szCs w:val="24"/>
              </w:rPr>
              <w:t>0.8%</w:t>
            </w:r>
          </w:p>
        </w:tc>
        <w:tc>
          <w:tcPr>
            <w:tcW w:w="367" w:type="pct"/>
          </w:tcPr>
          <w:p w14:paraId="16BF9993" w14:textId="77777777" w:rsidR="009F33CD" w:rsidRDefault="00E40740">
            <w:pPr>
              <w:spacing w:line="240" w:lineRule="auto"/>
              <w:rPr>
                <w:rFonts w:eastAsia="Calibri" w:cs="Times New Roman"/>
                <w:bCs/>
                <w:szCs w:val="24"/>
              </w:rPr>
            </w:pPr>
            <w:r>
              <w:rPr>
                <w:rFonts w:eastAsia="Calibri" w:cs="Times New Roman"/>
                <w:bCs/>
                <w:szCs w:val="24"/>
              </w:rPr>
              <w:t>5.1%</w:t>
            </w:r>
          </w:p>
        </w:tc>
        <w:tc>
          <w:tcPr>
            <w:tcW w:w="459" w:type="pct"/>
          </w:tcPr>
          <w:p w14:paraId="4F7355A6" w14:textId="77777777" w:rsidR="009F33CD" w:rsidRDefault="00E40740">
            <w:pPr>
              <w:spacing w:line="240" w:lineRule="auto"/>
              <w:rPr>
                <w:rFonts w:eastAsia="Calibri" w:cs="Times New Roman"/>
                <w:bCs/>
                <w:szCs w:val="24"/>
              </w:rPr>
            </w:pPr>
            <w:r>
              <w:rPr>
                <w:rFonts w:eastAsia="Calibri" w:cs="Times New Roman"/>
                <w:bCs/>
                <w:szCs w:val="24"/>
              </w:rPr>
              <w:t>9.3%</w:t>
            </w:r>
          </w:p>
        </w:tc>
        <w:tc>
          <w:tcPr>
            <w:tcW w:w="459" w:type="pct"/>
          </w:tcPr>
          <w:p w14:paraId="16A99274" w14:textId="77777777" w:rsidR="009F33CD" w:rsidRDefault="00E40740">
            <w:pPr>
              <w:spacing w:line="240" w:lineRule="auto"/>
              <w:rPr>
                <w:rFonts w:eastAsia="Calibri" w:cs="Times New Roman"/>
                <w:bCs/>
                <w:szCs w:val="24"/>
              </w:rPr>
            </w:pPr>
            <w:r>
              <w:rPr>
                <w:rFonts w:eastAsia="Calibri" w:cs="Times New Roman"/>
                <w:bCs/>
                <w:szCs w:val="24"/>
              </w:rPr>
              <w:t>57.6%</w:t>
            </w:r>
          </w:p>
        </w:tc>
        <w:tc>
          <w:tcPr>
            <w:tcW w:w="459" w:type="pct"/>
          </w:tcPr>
          <w:p w14:paraId="02643B1E" w14:textId="77777777" w:rsidR="009F33CD" w:rsidRDefault="00E40740">
            <w:pPr>
              <w:spacing w:line="240" w:lineRule="auto"/>
              <w:rPr>
                <w:rFonts w:eastAsia="Calibri" w:cs="Times New Roman"/>
                <w:bCs/>
                <w:szCs w:val="24"/>
              </w:rPr>
            </w:pPr>
            <w:r>
              <w:rPr>
                <w:rFonts w:eastAsia="Calibri" w:cs="Times New Roman"/>
                <w:bCs/>
                <w:szCs w:val="24"/>
              </w:rPr>
              <w:t>27.1%</w:t>
            </w:r>
          </w:p>
        </w:tc>
        <w:tc>
          <w:tcPr>
            <w:tcW w:w="367" w:type="pct"/>
          </w:tcPr>
          <w:p w14:paraId="5A3CB29B" w14:textId="77777777" w:rsidR="009F33CD" w:rsidRDefault="00E40740">
            <w:pPr>
              <w:spacing w:line="240" w:lineRule="auto"/>
              <w:rPr>
                <w:rFonts w:eastAsia="Calibri" w:cs="Times New Roman"/>
                <w:bCs/>
                <w:szCs w:val="24"/>
              </w:rPr>
            </w:pPr>
            <w:r>
              <w:rPr>
                <w:rFonts w:eastAsia="Calibri" w:cs="Times New Roman"/>
                <w:bCs/>
                <w:szCs w:val="24"/>
              </w:rPr>
              <w:t>4.05</w:t>
            </w:r>
          </w:p>
        </w:tc>
        <w:tc>
          <w:tcPr>
            <w:tcW w:w="367" w:type="pct"/>
          </w:tcPr>
          <w:p w14:paraId="659CD3CD" w14:textId="77777777" w:rsidR="009F33CD" w:rsidRDefault="00E40740">
            <w:pPr>
              <w:spacing w:line="240" w:lineRule="auto"/>
              <w:rPr>
                <w:rFonts w:eastAsia="Calibri" w:cs="Times New Roman"/>
                <w:bCs/>
                <w:szCs w:val="24"/>
              </w:rPr>
            </w:pPr>
            <w:r>
              <w:rPr>
                <w:rFonts w:eastAsia="Calibri" w:cs="Times New Roman"/>
                <w:bCs/>
                <w:szCs w:val="24"/>
              </w:rPr>
              <w:t>0.80</w:t>
            </w:r>
          </w:p>
        </w:tc>
      </w:tr>
    </w:tbl>
    <w:bookmarkEnd w:id="1270"/>
    <w:p w14:paraId="7391E968" w14:textId="77777777" w:rsidR="009F33CD" w:rsidRDefault="00E40740">
      <w:pPr>
        <w:spacing w:before="240" w:after="240"/>
        <w:rPr>
          <w:rFonts w:cs="Times New Roman"/>
          <w:bCs/>
          <w:szCs w:val="24"/>
        </w:rPr>
      </w:pPr>
      <w:r>
        <w:rPr>
          <w:rFonts w:cs="Times New Roman"/>
          <w:bCs/>
          <w:szCs w:val="24"/>
        </w:rPr>
        <w:t xml:space="preserve">From </w:t>
      </w:r>
      <w:r w:rsidR="00494588">
        <w:rPr>
          <w:rFonts w:cs="Times New Roman"/>
          <w:bCs/>
          <w:szCs w:val="24"/>
        </w:rPr>
        <w:t>the study findings in Table 4.22</w:t>
      </w:r>
      <w:r>
        <w:rPr>
          <w:rFonts w:cs="Times New Roman"/>
          <w:bCs/>
          <w:szCs w:val="24"/>
        </w:rPr>
        <w:t xml:space="preserve">, majority of the respondents 86.4% (M=4.17, Sd=0.72) agreed with the statement that all Level Five hospital staff training programs are based on green training needs assessment. The high level of agreement (mean score of 4.17 and standard deviation of 0.72) indicates a strong consensus among the </w:t>
      </w:r>
      <w:r>
        <w:rPr>
          <w:rFonts w:cs="Times New Roman"/>
          <w:bCs/>
          <w:szCs w:val="24"/>
        </w:rPr>
        <w:lastRenderedPageBreak/>
        <w:t>respondents about the importance and implementation of green training in the hospital staff training programs. This finding implies that the targeted training programs, based on green training needs assessments, contribute to improved employee performance by equipping employees with the knowledge and skills required to implement sustainable practices in their day-to-day operations. The current study agrees with one conducted by Opatha and Nawaratne (2015) which concluded that some organizations mainly analyze and identify employee-environmental training needs by conducting environmental training needs analysis. Consistent with Opatha (2013), organizations essentially conduct intensive and systematic education, training, and development programs for their employees to enhance good organizational performance and environmental management. Further, the results revealed that 11.1% of the respondents were undecided, while 2.5% disagreed with the statement that all Level Five hospital staff training programs are based on green training needs assessment. This finding can imply that this small percentage of respondents were not aware of the existence of training needs assessment in the hospital.</w:t>
      </w:r>
    </w:p>
    <w:p w14:paraId="3FB42960" w14:textId="77777777" w:rsidR="009F33CD" w:rsidRDefault="00E40740">
      <w:pPr>
        <w:spacing w:before="240" w:after="240"/>
        <w:rPr>
          <w:rFonts w:eastAsia="TimesNewRoman" w:cs="Times New Roman"/>
          <w:bCs/>
          <w:szCs w:val="24"/>
        </w:rPr>
      </w:pPr>
      <w:r>
        <w:rPr>
          <w:rFonts w:cs="Times New Roman"/>
          <w:bCs/>
          <w:szCs w:val="24"/>
        </w:rPr>
        <w:t xml:space="preserve"> On the statement that green training programs include management of healthcare waste, safety, and energy saving in offices, the majority of the respondents 89.7% (M=4.19, Sd=0.71) agreed to this statement. This finding indicates a very strong consensus among respondents that green training programs in Level Five hospitals encompass important areas such as healthcare waste management, safety, and energy saving in offices. This high level of agreement implies that the hospitals are effectively communicating and implementing these green initiatives. The mean (M=4.19) indicates that, on average, respondents rated their agreement very high, standard deviation (Sd=0.71) shows that there is relatively low variability in responses, indicating a consistent agreement among respondents. This result is consistent with that of </w:t>
      </w:r>
      <w:bookmarkStart w:id="1271" w:name="_Hlk175225832"/>
      <w:r>
        <w:rPr>
          <w:rFonts w:eastAsia="TimesNewRoman" w:cs="Times New Roman"/>
          <w:bCs/>
          <w:szCs w:val="24"/>
        </w:rPr>
        <w:t xml:space="preserve">Daily </w:t>
      </w:r>
      <w:r>
        <w:rPr>
          <w:rFonts w:eastAsia="TimesNewRoman" w:cs="Times New Roman"/>
          <w:bCs/>
          <w:i/>
          <w:szCs w:val="24"/>
        </w:rPr>
        <w:t>et al.,</w:t>
      </w:r>
      <w:r>
        <w:rPr>
          <w:rFonts w:eastAsia="TimesNewRoman" w:cs="Times New Roman"/>
          <w:bCs/>
          <w:szCs w:val="24"/>
        </w:rPr>
        <w:t xml:space="preserve"> (2012) who found that organizations can achieve their objective of greening if they adopt customized green training program that includes management of waste and recycling, enhancement of environmental knowledge about future environmental risks, safety, and energy saving in offices.</w:t>
      </w:r>
      <w:bookmarkEnd w:id="1271"/>
      <w:r>
        <w:rPr>
          <w:rFonts w:cs="Times New Roman"/>
          <w:bCs/>
          <w:iCs/>
          <w:szCs w:val="24"/>
        </w:rPr>
        <w:t xml:space="preserve"> The result </w:t>
      </w:r>
      <w:r>
        <w:rPr>
          <w:rFonts w:cs="Times New Roman"/>
          <w:bCs/>
          <w:iCs/>
          <w:szCs w:val="24"/>
          <w:lang w:val="en-US"/>
        </w:rPr>
        <w:t xml:space="preserve">is </w:t>
      </w:r>
      <w:r>
        <w:rPr>
          <w:rFonts w:cs="Times New Roman"/>
          <w:bCs/>
          <w:iCs/>
          <w:szCs w:val="24"/>
        </w:rPr>
        <w:t>further support</w:t>
      </w:r>
      <w:r>
        <w:rPr>
          <w:rFonts w:cs="Times New Roman"/>
          <w:bCs/>
          <w:iCs/>
          <w:szCs w:val="24"/>
          <w:lang w:val="en-US"/>
        </w:rPr>
        <w:t>ed by</w:t>
      </w:r>
      <w:r>
        <w:rPr>
          <w:rFonts w:cs="Times New Roman"/>
          <w:bCs/>
          <w:iCs/>
          <w:szCs w:val="24"/>
        </w:rPr>
        <w:t xml:space="preserve"> that of </w:t>
      </w:r>
      <w:r>
        <w:rPr>
          <w:rFonts w:eastAsia="TimesNewRoman" w:cs="Times New Roman"/>
          <w:bCs/>
          <w:iCs/>
          <w:szCs w:val="24"/>
        </w:rPr>
        <w:t xml:space="preserve">Prasad (2013) who recommended that </w:t>
      </w:r>
      <w:r>
        <w:rPr>
          <w:rFonts w:eastAsia="TimesNewRoman" w:cs="Times New Roman"/>
          <w:bCs/>
          <w:szCs w:val="24"/>
        </w:rPr>
        <w:t xml:space="preserve">green training content should be designed in a way that will increase employee competencies and knowledge on matters of environmental management. </w:t>
      </w:r>
    </w:p>
    <w:p w14:paraId="7DA4259B" w14:textId="77777777" w:rsidR="009F33CD" w:rsidRDefault="00E40740">
      <w:pPr>
        <w:spacing w:before="240" w:after="240"/>
        <w:rPr>
          <w:rFonts w:eastAsia="TimesNewRoman" w:cs="Times New Roman"/>
          <w:bCs/>
          <w:szCs w:val="24"/>
        </w:rPr>
      </w:pPr>
      <w:r>
        <w:rPr>
          <w:rFonts w:eastAsia="TimesNewRoman" w:cs="Times New Roman"/>
          <w:bCs/>
          <w:szCs w:val="24"/>
        </w:rPr>
        <w:lastRenderedPageBreak/>
        <w:t xml:space="preserve">This finding is supported by resource-based theory because, through green training, employees gain unique skills in the provision of their </w:t>
      </w:r>
      <w:r>
        <w:rPr>
          <w:rFonts w:eastAsia="TimesNewRoman" w:cs="Times New Roman"/>
          <w:bCs/>
          <w:szCs w:val="24"/>
          <w:lang w:val="en-US"/>
        </w:rPr>
        <w:t xml:space="preserve">healthcare </w:t>
      </w:r>
      <w:r>
        <w:rPr>
          <w:rFonts w:eastAsia="TimesNewRoman" w:cs="Times New Roman"/>
          <w:bCs/>
          <w:szCs w:val="24"/>
        </w:rPr>
        <w:t>services.</w:t>
      </w:r>
      <w:r>
        <w:rPr>
          <w:rFonts w:cs="Times New Roman"/>
          <w:bCs/>
          <w:szCs w:val="24"/>
        </w:rPr>
        <w:t xml:space="preserve"> Other respondents </w:t>
      </w:r>
      <w:r>
        <w:rPr>
          <w:rFonts w:eastAsia="TimesNewRoman" w:cs="Times New Roman"/>
          <w:bCs/>
          <w:szCs w:val="24"/>
        </w:rPr>
        <w:t>7.6% were undecided, while the remaining 0.92.5% disagreed with the statement.</w:t>
      </w:r>
      <w:r>
        <w:rPr>
          <w:bCs/>
        </w:rPr>
        <w:t xml:space="preserve"> </w:t>
      </w:r>
      <w:r>
        <w:rPr>
          <w:rFonts w:eastAsia="TimesNewRoman" w:cs="Times New Roman"/>
          <w:bCs/>
          <w:szCs w:val="24"/>
        </w:rPr>
        <w:t xml:space="preserve">This finding of a small segment of undecided and disagreed respondents implies that they </w:t>
      </w:r>
      <w:r>
        <w:rPr>
          <w:rFonts w:eastAsia="TimesNewRoman" w:cs="Times New Roman"/>
          <w:bCs/>
          <w:szCs w:val="24"/>
          <w:lang w:val="en-US"/>
        </w:rPr>
        <w:t xml:space="preserve">were </w:t>
      </w:r>
      <w:r>
        <w:rPr>
          <w:rFonts w:eastAsia="TimesNewRoman" w:cs="Times New Roman"/>
          <w:bCs/>
          <w:szCs w:val="24"/>
        </w:rPr>
        <w:t xml:space="preserve">either unsure or </w:t>
      </w:r>
      <w:r w:rsidR="001C3D4C">
        <w:rPr>
          <w:rFonts w:eastAsia="TimesNewRoman" w:cs="Times New Roman"/>
          <w:bCs/>
          <w:szCs w:val="24"/>
        </w:rPr>
        <w:t>sceptical</w:t>
      </w:r>
      <w:r>
        <w:rPr>
          <w:rFonts w:eastAsia="TimesNewRoman" w:cs="Times New Roman"/>
          <w:bCs/>
          <w:szCs w:val="24"/>
        </w:rPr>
        <w:t xml:space="preserve"> about the statement.</w:t>
      </w:r>
    </w:p>
    <w:p w14:paraId="1D43B46E" w14:textId="77777777" w:rsidR="009F33CD" w:rsidRDefault="00E40740">
      <w:pPr>
        <w:spacing w:before="240" w:after="240"/>
        <w:rPr>
          <w:rFonts w:eastAsia="Times New Roman" w:cs="Times New Roman"/>
          <w:bCs/>
          <w:szCs w:val="24"/>
        </w:rPr>
      </w:pPr>
      <w:r>
        <w:rPr>
          <w:rFonts w:eastAsia="Times New Roman" w:cs="Times New Roman"/>
          <w:bCs/>
          <w:szCs w:val="24"/>
        </w:rPr>
        <w:t>On rating the statement that Level Five hospital embraces the use of online and web-based training modules for improved healthcare services, the majority of the respondents, 81.3% (M=4.03, Sd=0.87) agreed with the statement.</w:t>
      </w:r>
      <w:r>
        <w:t xml:space="preserve"> T</w:t>
      </w:r>
      <w:r>
        <w:rPr>
          <w:rFonts w:eastAsia="Times New Roman" w:cs="Times New Roman"/>
          <w:bCs/>
          <w:szCs w:val="24"/>
        </w:rPr>
        <w:t xml:space="preserve">his finding implies that Level Five hospitals are making significant efforts to incorporate online and web-based training modules into their training programs, which have positive implications for the quality and efficiency of healthcare services provided. The mean (M=4.03) indicates that respondents rated their agreement quite high, standard deviation (Sd=0.87) shows some relatively moderate variability in responses, indicating a consistent agreement among respondents. Further, the results imply that the green training programs are leveraging digital platforms to improve healthcare services which in turn leads to client satisfaction. This result also reflects management’s commitment to green training methods and making them more accessible and efficient for employees. </w:t>
      </w:r>
      <w:r>
        <w:rPr>
          <w:rFonts w:eastAsia="Times New Roman" w:cs="Times New Roman"/>
          <w:bCs/>
          <w:iCs/>
          <w:szCs w:val="24"/>
        </w:rPr>
        <w:t xml:space="preserve">This study's finding concurs with Prasad (2013) who concluded that </w:t>
      </w:r>
      <w:r>
        <w:rPr>
          <w:rFonts w:eastAsia="Times New Roman" w:cs="Times New Roman"/>
          <w:bCs/>
          <w:szCs w:val="24"/>
        </w:rPr>
        <w:t>organizations should develop and encourage the use of online and web-based training modules and interactive media as training tools for environment management. Of other respondents, 14.6% were undecided, while the remaining 4.1% disagreed with the statement.</w:t>
      </w:r>
      <w:r>
        <w:rPr>
          <w:bCs/>
        </w:rPr>
        <w:t xml:space="preserve"> </w:t>
      </w:r>
      <w:r>
        <w:rPr>
          <w:rFonts w:eastAsia="Times New Roman" w:cs="Times New Roman"/>
          <w:bCs/>
          <w:szCs w:val="24"/>
        </w:rPr>
        <w:t xml:space="preserve">This finding of a small segment of respondents implies that they either lacked clarity or were </w:t>
      </w:r>
      <w:r w:rsidR="001C3D4C">
        <w:rPr>
          <w:rFonts w:eastAsia="Times New Roman" w:cs="Times New Roman"/>
          <w:bCs/>
          <w:szCs w:val="24"/>
        </w:rPr>
        <w:t>sceptical</w:t>
      </w:r>
      <w:r>
        <w:rPr>
          <w:rFonts w:eastAsia="Times New Roman" w:cs="Times New Roman"/>
          <w:bCs/>
          <w:szCs w:val="24"/>
        </w:rPr>
        <w:t xml:space="preserve"> about the adoption of online and web-based training in Level Five hospitals.</w:t>
      </w:r>
    </w:p>
    <w:p w14:paraId="496DA306" w14:textId="77777777" w:rsidR="000B6FB9" w:rsidRDefault="00E40740">
      <w:pPr>
        <w:spacing w:before="240" w:after="240"/>
        <w:rPr>
          <w:rFonts w:eastAsia="Times New Roman" w:cs="Times New Roman"/>
          <w:bCs/>
          <w:szCs w:val="24"/>
        </w:rPr>
      </w:pPr>
      <w:r>
        <w:rPr>
          <w:rFonts w:eastAsia="Times New Roman" w:cs="Times New Roman"/>
          <w:bCs/>
          <w:szCs w:val="24"/>
        </w:rPr>
        <w:t xml:space="preserve">On the statement that green Innovation (for example, the use of telemedicine) is encouraged among clinicians in the hospital, the majority of the respondents 79.6% (M=3.98, Sd=0.92) agreed that the hospital encourages green innovation including the use of telemedicine among clinicians. Telemedicine and mobile applications allow patients to access healthcare services remotely, overcoming geographical barriers. This finding suggests that Level Five hospitals are making significant efforts to encourage green innovation among their clinicians, which has positive implications </w:t>
      </w:r>
      <w:r>
        <w:rPr>
          <w:rFonts w:eastAsia="Times New Roman" w:cs="Times New Roman"/>
          <w:bCs/>
          <w:szCs w:val="24"/>
        </w:rPr>
        <w:lastRenderedPageBreak/>
        <w:t>for both the performance of healthcare service delivery and environmental sustainability.</w:t>
      </w:r>
      <w:r>
        <w:rPr>
          <w:rFonts w:eastAsia="Times New Roman" w:cs="Times New Roman"/>
          <w:bCs/>
          <w:szCs w:val="24"/>
          <w:lang w:val="en-US"/>
        </w:rPr>
        <w:t xml:space="preserve"> </w:t>
      </w:r>
      <w:r>
        <w:rPr>
          <w:rFonts w:eastAsia="Times New Roman" w:cs="Times New Roman"/>
          <w:bCs/>
          <w:szCs w:val="24"/>
        </w:rPr>
        <w:t>The mean (M=3.98) indicates that, on average, respondents rated their agreement quite high, and the standard deviation (Sd=0.92) shows that there is some relatively moderate variability in responses, displaying a consistent agreement among respondents.</w:t>
      </w:r>
      <w:r>
        <w:t xml:space="preserve"> Consequently, t</w:t>
      </w:r>
      <w:r>
        <w:rPr>
          <w:rFonts w:eastAsia="Times New Roman" w:cs="Times New Roman"/>
          <w:bCs/>
          <w:szCs w:val="24"/>
        </w:rPr>
        <w:t xml:space="preserve">his finding implies that the hospitals are not only focused on traditional healthcare practices but are also integrating innovative and sustainable technologies like telemedicine. </w:t>
      </w:r>
    </w:p>
    <w:p w14:paraId="0E13E677" w14:textId="77777777" w:rsidR="009F33CD" w:rsidRDefault="00E40740">
      <w:pPr>
        <w:spacing w:before="240" w:after="240"/>
        <w:rPr>
          <w:rFonts w:eastAsia="Times New Roman" w:cs="Times New Roman"/>
          <w:bCs/>
          <w:szCs w:val="24"/>
        </w:rPr>
      </w:pPr>
      <w:r>
        <w:rPr>
          <w:rFonts w:eastAsia="Times New Roman" w:cs="Times New Roman"/>
          <w:bCs/>
          <w:szCs w:val="24"/>
        </w:rPr>
        <w:t xml:space="preserve">Telemedicine and mobile applications allow patients to access healthcare services remotely, </w:t>
      </w:r>
      <w:r>
        <w:rPr>
          <w:rFonts w:eastAsia="Times New Roman" w:cs="Times New Roman"/>
          <w:bCs/>
          <w:szCs w:val="24"/>
          <w:lang w:val="en-US"/>
        </w:rPr>
        <w:t xml:space="preserve">thereby </w:t>
      </w:r>
      <w:r>
        <w:rPr>
          <w:rFonts w:eastAsia="Times New Roman" w:cs="Times New Roman"/>
          <w:bCs/>
          <w:szCs w:val="24"/>
        </w:rPr>
        <w:t xml:space="preserve">overcoming geographical </w:t>
      </w:r>
      <w:r w:rsidR="00F21597">
        <w:rPr>
          <w:rFonts w:eastAsia="Times New Roman" w:cs="Times New Roman"/>
          <w:bCs/>
          <w:szCs w:val="24"/>
        </w:rPr>
        <w:t>barriers. This</w:t>
      </w:r>
      <w:r>
        <w:rPr>
          <w:rFonts w:eastAsia="Times New Roman" w:cs="Times New Roman"/>
          <w:bCs/>
          <w:szCs w:val="24"/>
        </w:rPr>
        <w:t xml:space="preserve"> reflects a commitment to modernizing healthcare delivery and thus increased performance, while also considering environmental effects</w:t>
      </w:r>
      <w:bookmarkStart w:id="1272" w:name="_Hlk176693764"/>
      <w:r>
        <w:rPr>
          <w:rFonts w:eastAsia="Times New Roman" w:cs="Times New Roman"/>
          <w:bCs/>
          <w:szCs w:val="24"/>
        </w:rPr>
        <w:t xml:space="preserve">. This finding agrees with that of Kruse </w:t>
      </w:r>
      <w:r>
        <w:rPr>
          <w:rFonts w:eastAsia="Times New Roman" w:cs="Times New Roman"/>
          <w:bCs/>
          <w:i/>
          <w:iCs/>
          <w:szCs w:val="24"/>
        </w:rPr>
        <w:t>et al</w:t>
      </w:r>
      <w:r>
        <w:rPr>
          <w:rFonts w:eastAsia="Times New Roman" w:cs="Times New Roman"/>
          <w:bCs/>
          <w:szCs w:val="24"/>
        </w:rPr>
        <w:t xml:space="preserve">. (2017) who found that telehealth provided satisfaction to patients in many ways: improved outcomes, preferred modality, ease of use, low cost, improved communication, and reduced travel time. </w:t>
      </w:r>
      <w:bookmarkEnd w:id="1272"/>
      <w:r>
        <w:rPr>
          <w:rFonts w:eastAsia="Times New Roman" w:cs="Times New Roman"/>
          <w:bCs/>
          <w:szCs w:val="24"/>
        </w:rPr>
        <w:t xml:space="preserve">Of other respondents, 12.7% were undecided, while 7.6% disagreed with the statement. This finding of a small segment of undecided and disagreed respondents suggests that there may be a lack of awareness or understanding regarding the adoption of green innovation. This highlights the need for improved communication about the benefits of green innovation. </w:t>
      </w:r>
    </w:p>
    <w:p w14:paraId="2C7D0912" w14:textId="77777777" w:rsidR="009F33CD" w:rsidRDefault="00E40740">
      <w:pPr>
        <w:spacing w:before="240" w:after="240"/>
        <w:rPr>
          <w:rFonts w:eastAsia="Times New Roman" w:cs="Times New Roman"/>
          <w:bCs/>
          <w:szCs w:val="24"/>
        </w:rPr>
      </w:pPr>
      <w:r>
        <w:rPr>
          <w:rFonts w:eastAsia="Times New Roman" w:cs="Times New Roman"/>
          <w:bCs/>
          <w:szCs w:val="24"/>
        </w:rPr>
        <w:t xml:space="preserve">On rating the statement that new employees are inducted using online modules and given soft copies of hospital services, the majority of the respondents, 82.4% (M=4.04, Sd=0.9) agreed with the statement. This finding indicates that Level Five hospitals are making significant efforts to incorporate online modules and digital resources into their induction programs, which is likely to have positive implications for the efficiency and effectiveness of the employee onboarding process. The mean (M=4.04) implies that, on average, respondents rated their agreement quite high, while the standard deviation (Sd=0.9) indicates that there is some relatively moderate variability in responses, implying a consistent agreement among respondents. A further implication of the finding is that the Provision of online modules and soft copies implies that the induction programs are leveraging digital platforms to provide new employees with necessary information about hospital services and environmental responsibility. This approach, suggests a significant reduction in the cost of printing </w:t>
      </w:r>
      <w:r>
        <w:rPr>
          <w:rFonts w:eastAsia="Times New Roman" w:cs="Times New Roman"/>
          <w:bCs/>
          <w:szCs w:val="24"/>
        </w:rPr>
        <w:lastRenderedPageBreak/>
        <w:t xml:space="preserve">paper and improved access to HR services by employees through their staff portal. This finding is aligned with Hosain (2016) who suggests that training </w:t>
      </w:r>
      <w:r w:rsidR="00E3106E">
        <w:rPr>
          <w:rFonts w:eastAsia="Times New Roman" w:cs="Times New Roman"/>
          <w:bCs/>
          <w:szCs w:val="24"/>
        </w:rPr>
        <w:t>managers</w:t>
      </w:r>
      <w:r>
        <w:rPr>
          <w:rFonts w:eastAsia="Times New Roman" w:cs="Times New Roman"/>
          <w:bCs/>
          <w:szCs w:val="24"/>
        </w:rPr>
        <w:t xml:space="preserve"> should prioritize online course materials and case studies over printed handouts, books, and brochures to minimize paper usage. This shift provides an excellent opportunity for e-learning platforms to play a significant role in training and development programs. Further, this study concurs with </w:t>
      </w:r>
      <w:r>
        <w:rPr>
          <w:rFonts w:cs="Times New Roman"/>
          <w:szCs w:val="24"/>
        </w:rPr>
        <w:t>Rawashdeh</w:t>
      </w:r>
      <w:r>
        <w:rPr>
          <w:rFonts w:eastAsia="TimesNewRoman" w:cs="Times New Roman"/>
          <w:szCs w:val="24"/>
        </w:rPr>
        <w:t xml:space="preserve"> </w:t>
      </w:r>
      <w:r>
        <w:rPr>
          <w:rFonts w:eastAsia="TimesNewRomanPSMT" w:cs="Times New Roman"/>
          <w:bCs/>
          <w:szCs w:val="24"/>
        </w:rPr>
        <w:t>(2018),</w:t>
      </w:r>
      <w:r>
        <w:rPr>
          <w:rFonts w:cs="Times New Roman"/>
          <w:szCs w:val="24"/>
        </w:rPr>
        <w:t xml:space="preserve"> who posits that green induction training should be designed in a way that provides new employees with information regarding the Environmental Management System, sustainable development strategies and commitments, and green goals of the organization.</w:t>
      </w:r>
      <w:r>
        <w:rPr>
          <w:rFonts w:eastAsia="Times New Roman" w:cs="Times New Roman"/>
          <w:bCs/>
          <w:szCs w:val="24"/>
        </w:rPr>
        <w:t xml:space="preserve"> Of the remaining respondents, 10% were undecided and 7.6% disagreed with the statement.</w:t>
      </w:r>
      <w:r>
        <w:rPr>
          <w:bCs/>
        </w:rPr>
        <w:t xml:space="preserve"> </w:t>
      </w:r>
      <w:r>
        <w:rPr>
          <w:rFonts w:eastAsia="Times New Roman" w:cs="Times New Roman"/>
          <w:bCs/>
          <w:szCs w:val="24"/>
        </w:rPr>
        <w:t xml:space="preserve">This finding of a small segment of (undecided and disagreed respondents) imply that they are either unsure or </w:t>
      </w:r>
      <w:r w:rsidR="001C3D4C">
        <w:rPr>
          <w:rFonts w:eastAsia="Times New Roman" w:cs="Times New Roman"/>
          <w:bCs/>
          <w:szCs w:val="24"/>
        </w:rPr>
        <w:t>sceptical</w:t>
      </w:r>
      <w:r>
        <w:rPr>
          <w:rFonts w:eastAsia="Times New Roman" w:cs="Times New Roman"/>
          <w:bCs/>
          <w:szCs w:val="24"/>
        </w:rPr>
        <w:t xml:space="preserve"> about the statement, which could be addressed through targeted initiatives to increase awareness.</w:t>
      </w:r>
    </w:p>
    <w:p w14:paraId="53D1C6F6" w14:textId="77777777" w:rsidR="009F33CD" w:rsidRDefault="00E40740">
      <w:pPr>
        <w:spacing w:after="240"/>
        <w:rPr>
          <w:rFonts w:cs="Times New Roman"/>
          <w:bCs/>
          <w:szCs w:val="24"/>
        </w:rPr>
      </w:pPr>
      <w:r>
        <w:rPr>
          <w:rFonts w:eastAsia="Times New Roman" w:cs="Times New Roman"/>
          <w:bCs/>
          <w:szCs w:val="24"/>
        </w:rPr>
        <w:t>The study sought to find out if the Managers of devolved healthcare services encourage electronic information-sharing about clean and safe work environment and performance standards, majority 74.9% (M=3.97, Sd=0.99) agreed with this statement. The implication of this high level of agreement suggests that the managers are effectively encouraging the use of digital platforms to share important health information and performance standards in addition to maintaining a clean and safe work environment. The mean (M=3.97) indicates that, on average, respondents rated their agreement quite high, while the standard deviation (Sd=0.99) shows a consistent agreement among respondents. This finding is consistent with Rawashdeh (2018), who stated that green induction training should be designed and provided through technology such as webcams to provide new employees with information about Environmental Management and sustainability</w:t>
      </w:r>
      <w:r>
        <w:rPr>
          <w:rFonts w:cs="Times New Roman"/>
          <w:bCs/>
          <w:szCs w:val="24"/>
        </w:rPr>
        <w:t xml:space="preserve">. Other respondents 12.4% were undecided, while 12.2% disagreed with the statement. The result of undecided responses implies a lack of clarity about electronic information-sharing practices, while the result of disagreed responses implies </w:t>
      </w:r>
      <w:r w:rsidR="00F21597">
        <w:rPr>
          <w:rFonts w:cs="Times New Roman"/>
          <w:bCs/>
          <w:szCs w:val="24"/>
        </w:rPr>
        <w:t>scepticism</w:t>
      </w:r>
      <w:r>
        <w:rPr>
          <w:rFonts w:cs="Times New Roman"/>
          <w:bCs/>
          <w:szCs w:val="24"/>
        </w:rPr>
        <w:t xml:space="preserve"> about the effectiveness of electronic information-sharing. </w:t>
      </w:r>
    </w:p>
    <w:p w14:paraId="31CAB9E3" w14:textId="77777777" w:rsidR="00297E6F" w:rsidRDefault="00297E6F">
      <w:pPr>
        <w:spacing w:after="240"/>
        <w:rPr>
          <w:rFonts w:cs="Times New Roman"/>
          <w:bCs/>
          <w:szCs w:val="24"/>
        </w:rPr>
      </w:pPr>
    </w:p>
    <w:p w14:paraId="494A103B" w14:textId="77777777" w:rsidR="009F33CD" w:rsidRDefault="00E40740">
      <w:pPr>
        <w:spacing w:after="240"/>
        <w:rPr>
          <w:rFonts w:eastAsia="Times New Roman" w:cs="Times New Roman"/>
          <w:bCs/>
          <w:szCs w:val="24"/>
        </w:rPr>
      </w:pPr>
      <w:r>
        <w:rPr>
          <w:rFonts w:cs="Times New Roman"/>
          <w:bCs/>
          <w:szCs w:val="24"/>
        </w:rPr>
        <w:lastRenderedPageBreak/>
        <w:t xml:space="preserve">Finally, the majority of the respondents 87.3% (M=4.22, Sd=0.75) agreed that </w:t>
      </w:r>
      <w:r>
        <w:rPr>
          <w:rFonts w:eastAsia="Times New Roman" w:cs="Times New Roman"/>
          <w:bCs/>
          <w:szCs w:val="24"/>
        </w:rPr>
        <w:t xml:space="preserve">evaluating training is conducted in Level Five Hospital to determine if employees have acquired eco-friendly skills, knowledge, or attitudes that enhance their performance. This finding suggests that Level Five hospitals are making significant efforts to evaluate their training programs to ensure that employees are equipped with eco-friendly skills and knowledge, which have positive implications for their performance and the hospital's sustainability goals. Additionally, evaluating employee training, implies that the hospitals are committed and focused on continuous improvement and environmental responsibility. This finding aligns with that of </w:t>
      </w:r>
      <w:r>
        <w:rPr>
          <w:bCs/>
        </w:rPr>
        <w:t xml:space="preserve">Pineda-Herrero </w:t>
      </w:r>
      <w:r>
        <w:rPr>
          <w:bCs/>
          <w:i/>
        </w:rPr>
        <w:t>et al.,</w:t>
      </w:r>
      <w:r>
        <w:rPr>
          <w:bCs/>
        </w:rPr>
        <w:t xml:space="preserve"> (2011) who found that trainees improved their professional performance through the transfer of what they had learned to service delivery.</w:t>
      </w:r>
      <w:r>
        <w:rPr>
          <w:rFonts w:cs="Times New Roman"/>
          <w:bCs/>
          <w:szCs w:val="24"/>
        </w:rPr>
        <w:t xml:space="preserve"> Of other respondents, 9.3% were undecided, while the rest of the respondents 3.4% disagreed with the statement.</w:t>
      </w:r>
      <w:r>
        <w:rPr>
          <w:bCs/>
        </w:rPr>
        <w:t xml:space="preserve"> </w:t>
      </w:r>
      <w:r>
        <w:rPr>
          <w:rFonts w:cs="Times New Roman"/>
          <w:bCs/>
          <w:szCs w:val="24"/>
        </w:rPr>
        <w:t xml:space="preserve">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and this could be addressed through targeted initiatives to increase awareness and engagement.</w:t>
      </w:r>
    </w:p>
    <w:p w14:paraId="395D8E50" w14:textId="77777777" w:rsidR="009F33CD" w:rsidRDefault="00E40740">
      <w:pPr>
        <w:spacing w:before="240"/>
        <w:rPr>
          <w:rFonts w:cs="Times New Roman"/>
          <w:bCs/>
          <w:szCs w:val="24"/>
        </w:rPr>
      </w:pPr>
      <w:r>
        <w:rPr>
          <w:rFonts w:cs="Times New Roman"/>
          <w:bCs/>
          <w:szCs w:val="24"/>
        </w:rPr>
        <w:t xml:space="preserve">The majority of the respondents 84.7% (M=4.05, Sd=0.80) agreed with the statements regarding green training </w:t>
      </w:r>
      <w:r>
        <w:rPr>
          <w:rFonts w:cs="Times New Roman"/>
          <w:bCs/>
          <w:szCs w:val="24"/>
          <w:lang w:val="en-US"/>
        </w:rPr>
        <w:t xml:space="preserve">programs </w:t>
      </w:r>
      <w:r>
        <w:rPr>
          <w:rFonts w:cs="Times New Roman"/>
          <w:bCs/>
          <w:szCs w:val="24"/>
        </w:rPr>
        <w:t xml:space="preserve">and performance of devolved healthcare services. This implies that the training programs focused on eco-friendly practices are not only enhancing environmental sustainability but also improving the employee morale and overall performance of healthcare services, leading to higher patient satisfaction scores. Investing in green training can lead to long-term benefits, such as cost savings from reduced energy consumption and </w:t>
      </w:r>
      <w:r>
        <w:rPr>
          <w:rFonts w:cs="Times New Roman"/>
          <w:bCs/>
          <w:szCs w:val="24"/>
          <w:lang w:val="en-US"/>
        </w:rPr>
        <w:t xml:space="preserve">reduced </w:t>
      </w:r>
      <w:r>
        <w:rPr>
          <w:rFonts w:cs="Times New Roman"/>
          <w:bCs/>
          <w:szCs w:val="24"/>
        </w:rPr>
        <w:t xml:space="preserve">waste, improved health outcomes from a cleaner environment, and compliance with regulatory requirements. This result suggests that employees who are continuously trained, develop the right knowledge and proactive attitude towards environmental issues while discharging their healthcare services. This study agrees with </w:t>
      </w:r>
      <w:r>
        <w:rPr>
          <w:rFonts w:cs="Times New Roman"/>
          <w:szCs w:val="24"/>
        </w:rPr>
        <w:t>Rawashdeh (2018</w:t>
      </w:r>
      <w:r>
        <w:rPr>
          <w:rFonts w:eastAsia="TimesNewRoman" w:cs="Times New Roman"/>
          <w:bCs/>
          <w:szCs w:val="24"/>
        </w:rPr>
        <w:t>) who alluded that scholars believe that green human resource management practice is a very effective tool for developing capable green human capital for sustainable performance and competitive advantage. Further, this study finding fills the gap recommended by Langat and Kwasira (2016) that there is a need for vigorous green training through workshops and seminars of the employees to build and nurture green behaviour among employees.</w:t>
      </w:r>
      <w:r>
        <w:rPr>
          <w:rFonts w:cs="Times New Roman"/>
          <w:bCs/>
          <w:szCs w:val="24"/>
        </w:rPr>
        <w:t xml:space="preserve"> </w:t>
      </w:r>
      <w:r>
        <w:rPr>
          <w:rFonts w:eastAsia="TimesNewRoman" w:cs="Times New Roman"/>
          <w:bCs/>
          <w:szCs w:val="24"/>
        </w:rPr>
        <w:t xml:space="preserve">Other respondents representing, 9.4% were undecided, and the rest 5.9% disagreed with the statement. </w:t>
      </w:r>
      <w:r>
        <w:rPr>
          <w:rFonts w:eastAsia="TimesNewRoman" w:cs="Times New Roman"/>
          <w:bCs/>
          <w:szCs w:val="24"/>
        </w:rPr>
        <w:lastRenderedPageBreak/>
        <w:t xml:space="preserve">This finding of a small segment of undecided respondents suggests that there is some uncertainty about the influence of green training on performance, while those who disagreed indicate a minority who were </w:t>
      </w:r>
      <w:r w:rsidR="001C3D4C">
        <w:rPr>
          <w:rFonts w:eastAsia="TimesNewRoman" w:cs="Times New Roman"/>
          <w:bCs/>
          <w:szCs w:val="24"/>
        </w:rPr>
        <w:t>sceptical</w:t>
      </w:r>
      <w:r>
        <w:rPr>
          <w:rFonts w:eastAsia="TimesNewRoman" w:cs="Times New Roman"/>
          <w:bCs/>
          <w:szCs w:val="24"/>
        </w:rPr>
        <w:t xml:space="preserve"> about the influence of green training on performance. This could be addressed through targeted initiatives to increase awareness.</w:t>
      </w:r>
    </w:p>
    <w:p w14:paraId="55295599" w14:textId="77777777" w:rsidR="009F33CD" w:rsidRDefault="00E40740">
      <w:pPr>
        <w:spacing w:before="240"/>
        <w:rPr>
          <w:rFonts w:eastAsia="TimesNewRoman" w:cs="Times New Roman"/>
          <w:bCs/>
          <w:szCs w:val="24"/>
        </w:rPr>
      </w:pPr>
      <w:r>
        <w:rPr>
          <w:rFonts w:eastAsia="TimesNewRoman" w:cs="Times New Roman"/>
          <w:bCs/>
          <w:szCs w:val="24"/>
        </w:rPr>
        <w:t>In addition to the above, respondents were asked to suggest possible ways in which green training practices can be improved in devolved healthcare services. In answering this question, the 38 responses were arranged in themes, analyzed using Content analysis, and displayed in frequenci</w:t>
      </w:r>
      <w:r w:rsidR="00494588">
        <w:rPr>
          <w:rFonts w:eastAsia="TimesNewRoman" w:cs="Times New Roman"/>
          <w:bCs/>
          <w:szCs w:val="24"/>
        </w:rPr>
        <w:t>es and percentages in Table 4.23</w:t>
      </w:r>
      <w:r>
        <w:rPr>
          <w:rFonts w:eastAsia="TimesNewRoman" w:cs="Times New Roman"/>
          <w:bCs/>
          <w:szCs w:val="24"/>
        </w:rPr>
        <w:t>.</w:t>
      </w:r>
    </w:p>
    <w:p w14:paraId="2DC5B3D0" w14:textId="77777777" w:rsidR="009F33CD" w:rsidRDefault="00E40740">
      <w:pPr>
        <w:pStyle w:val="Heading6"/>
      </w:pPr>
      <w:bookmarkStart w:id="1273" w:name="_Toc178944319"/>
      <w:bookmarkStart w:id="1274" w:name="_Toc165626409"/>
      <w:bookmarkStart w:id="1275" w:name="_Toc178942661"/>
      <w:bookmarkStart w:id="1276" w:name="_Toc178945071"/>
      <w:bookmarkStart w:id="1277" w:name="_Toc165623628"/>
      <w:bookmarkStart w:id="1278" w:name="_Toc147950247"/>
      <w:bookmarkStart w:id="1279" w:name="_Toc147946908"/>
      <w:bookmarkStart w:id="1280" w:name="_Toc187080883"/>
      <w:bookmarkStart w:id="1281" w:name="_Toc185614111"/>
      <w:bookmarkStart w:id="1282" w:name="_Toc224237452"/>
      <w:r>
        <w:t>T</w:t>
      </w:r>
      <w:r w:rsidR="000748E0">
        <w:t>able 4.23</w:t>
      </w:r>
      <w:r>
        <w:t>: Suggestions for Improvement of Green Training Practice</w:t>
      </w:r>
      <w:bookmarkEnd w:id="1273"/>
      <w:bookmarkEnd w:id="1274"/>
      <w:bookmarkEnd w:id="1275"/>
      <w:bookmarkEnd w:id="1276"/>
      <w:bookmarkEnd w:id="1277"/>
      <w:bookmarkEnd w:id="1278"/>
      <w:bookmarkEnd w:id="1279"/>
      <w:bookmarkEnd w:id="1280"/>
      <w:bookmarkEnd w:id="1281"/>
      <w:bookmarkEnd w:id="1282"/>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5993"/>
        <w:gridCol w:w="1094"/>
        <w:gridCol w:w="1116"/>
        <w:gridCol w:w="17"/>
      </w:tblGrid>
      <w:tr w:rsidR="009F33CD" w14:paraId="587622F5" w14:textId="77777777">
        <w:trPr>
          <w:cantSplit/>
          <w:trHeight w:val="45"/>
        </w:trPr>
        <w:tc>
          <w:tcPr>
            <w:tcW w:w="3692" w:type="pct"/>
            <w:tcBorders>
              <w:top w:val="single" w:sz="4" w:space="0" w:color="auto"/>
              <w:bottom w:val="single" w:sz="4" w:space="0" w:color="auto"/>
            </w:tcBorders>
            <w:shd w:val="clear" w:color="auto" w:fill="FFFFFF"/>
          </w:tcPr>
          <w:p w14:paraId="148FF540" w14:textId="77777777" w:rsidR="009F33CD" w:rsidRDefault="00E40740">
            <w:pPr>
              <w:spacing w:line="240" w:lineRule="auto"/>
              <w:rPr>
                <w:rFonts w:eastAsia="TimesNewRoman" w:cs="Times New Roman"/>
                <w:b/>
                <w:bCs/>
                <w:color w:val="FF0000"/>
                <w:szCs w:val="24"/>
              </w:rPr>
            </w:pPr>
            <w:r>
              <w:rPr>
                <w:rFonts w:eastAsia="TimesNewRoman" w:cs="Times New Roman"/>
                <w:b/>
                <w:bCs/>
                <w:szCs w:val="24"/>
              </w:rPr>
              <w:t>Responses</w:t>
            </w:r>
          </w:p>
        </w:tc>
        <w:tc>
          <w:tcPr>
            <w:tcW w:w="671" w:type="pct"/>
            <w:tcBorders>
              <w:top w:val="single" w:sz="4" w:space="0" w:color="auto"/>
              <w:bottom w:val="single" w:sz="4" w:space="0" w:color="auto"/>
            </w:tcBorders>
            <w:shd w:val="clear" w:color="auto" w:fill="FFFFFF"/>
          </w:tcPr>
          <w:p w14:paraId="71C0650C" w14:textId="77777777" w:rsidR="009F33CD" w:rsidRDefault="00E40740">
            <w:pPr>
              <w:spacing w:line="240" w:lineRule="auto"/>
              <w:jc w:val="center"/>
              <w:rPr>
                <w:rFonts w:eastAsia="TimesNewRoman" w:cs="Times New Roman"/>
                <w:b/>
                <w:bCs/>
                <w:szCs w:val="24"/>
              </w:rPr>
            </w:pPr>
            <w:r>
              <w:rPr>
                <w:rFonts w:eastAsia="TimesNewRoman" w:cs="Times New Roman"/>
                <w:b/>
                <w:bCs/>
                <w:szCs w:val="24"/>
              </w:rPr>
              <w:t>Frequency</w:t>
            </w:r>
          </w:p>
        </w:tc>
        <w:tc>
          <w:tcPr>
            <w:tcW w:w="637" w:type="pct"/>
            <w:gridSpan w:val="2"/>
            <w:tcBorders>
              <w:top w:val="single" w:sz="4" w:space="0" w:color="auto"/>
              <w:bottom w:val="single" w:sz="4" w:space="0" w:color="auto"/>
            </w:tcBorders>
            <w:shd w:val="clear" w:color="auto" w:fill="FFFFFF"/>
          </w:tcPr>
          <w:p w14:paraId="7CF18487" w14:textId="77777777" w:rsidR="009F33CD" w:rsidRDefault="00E40740">
            <w:pPr>
              <w:spacing w:line="240" w:lineRule="auto"/>
              <w:jc w:val="center"/>
              <w:rPr>
                <w:rFonts w:eastAsia="TimesNewRoman" w:cs="Times New Roman"/>
                <w:b/>
                <w:bCs/>
                <w:szCs w:val="24"/>
              </w:rPr>
            </w:pPr>
            <w:r>
              <w:rPr>
                <w:rFonts w:eastAsia="TimesNewRoman" w:cs="Times New Roman"/>
                <w:b/>
                <w:bCs/>
                <w:szCs w:val="24"/>
              </w:rPr>
              <w:t>Percentage</w:t>
            </w:r>
          </w:p>
        </w:tc>
      </w:tr>
      <w:tr w:rsidR="009F33CD" w14:paraId="197591D2" w14:textId="77777777">
        <w:trPr>
          <w:gridAfter w:val="1"/>
          <w:wAfter w:w="10" w:type="pct"/>
          <w:cantSplit/>
          <w:trHeight w:val="288"/>
        </w:trPr>
        <w:tc>
          <w:tcPr>
            <w:tcW w:w="3692" w:type="pct"/>
            <w:tcBorders>
              <w:top w:val="single" w:sz="4" w:space="0" w:color="auto"/>
            </w:tcBorders>
            <w:shd w:val="clear" w:color="auto" w:fill="FFFFFF"/>
            <w:vAlign w:val="center"/>
          </w:tcPr>
          <w:p w14:paraId="4727EAD8" w14:textId="77777777" w:rsidR="009F33CD" w:rsidRDefault="00E40740">
            <w:pPr>
              <w:spacing w:line="240" w:lineRule="auto"/>
              <w:rPr>
                <w:rFonts w:eastAsia="TimesNewRoman" w:cs="Times New Roman"/>
                <w:bCs/>
                <w:color w:val="FF0000"/>
                <w:szCs w:val="24"/>
              </w:rPr>
            </w:pPr>
            <w:r>
              <w:rPr>
                <w:rFonts w:eastAsia="TimesNewRoman" w:cs="Times New Roman"/>
                <w:bCs/>
                <w:szCs w:val="24"/>
              </w:rPr>
              <w:t>The Level Five hospital should develop strong policy on green initiatives and fully embrace e-learning and digital training in continuous medical education</w:t>
            </w:r>
          </w:p>
        </w:tc>
        <w:tc>
          <w:tcPr>
            <w:tcW w:w="671" w:type="pct"/>
            <w:tcBorders>
              <w:top w:val="single" w:sz="4" w:space="0" w:color="auto"/>
            </w:tcBorders>
            <w:shd w:val="clear" w:color="auto" w:fill="FFFFFF"/>
            <w:vAlign w:val="center"/>
          </w:tcPr>
          <w:p w14:paraId="61693224" w14:textId="77777777" w:rsidR="009F33CD" w:rsidRDefault="00E40740">
            <w:pPr>
              <w:spacing w:line="240" w:lineRule="auto"/>
              <w:jc w:val="center"/>
              <w:rPr>
                <w:rFonts w:eastAsia="TimesNewRoman" w:cs="Times New Roman"/>
                <w:bCs/>
                <w:szCs w:val="24"/>
              </w:rPr>
            </w:pPr>
            <w:r>
              <w:rPr>
                <w:rFonts w:eastAsia="TimesNewRoman" w:cs="Times New Roman"/>
                <w:bCs/>
                <w:szCs w:val="24"/>
              </w:rPr>
              <w:t>35</w:t>
            </w:r>
          </w:p>
        </w:tc>
        <w:tc>
          <w:tcPr>
            <w:tcW w:w="627" w:type="pct"/>
            <w:tcBorders>
              <w:top w:val="single" w:sz="4" w:space="0" w:color="auto"/>
            </w:tcBorders>
            <w:shd w:val="clear" w:color="auto" w:fill="FFFFFF"/>
            <w:vAlign w:val="center"/>
          </w:tcPr>
          <w:p w14:paraId="1BB56878" w14:textId="77777777" w:rsidR="009F33CD" w:rsidRDefault="00E40740">
            <w:pPr>
              <w:spacing w:line="240" w:lineRule="auto"/>
              <w:jc w:val="center"/>
              <w:rPr>
                <w:rFonts w:eastAsia="TimesNewRoman" w:cs="Times New Roman"/>
                <w:bCs/>
                <w:szCs w:val="24"/>
              </w:rPr>
            </w:pPr>
            <w:r>
              <w:rPr>
                <w:rFonts w:eastAsia="TimesNewRoman" w:cs="Times New Roman"/>
                <w:bCs/>
                <w:szCs w:val="24"/>
              </w:rPr>
              <w:t>54.7</w:t>
            </w:r>
          </w:p>
        </w:tc>
      </w:tr>
      <w:tr w:rsidR="009F33CD" w14:paraId="05AF1921" w14:textId="77777777">
        <w:trPr>
          <w:gridAfter w:val="1"/>
          <w:wAfter w:w="10" w:type="pct"/>
          <w:cantSplit/>
          <w:trHeight w:val="302"/>
        </w:trPr>
        <w:tc>
          <w:tcPr>
            <w:tcW w:w="3692" w:type="pct"/>
            <w:shd w:val="clear" w:color="auto" w:fill="FFFFFF"/>
            <w:vAlign w:val="center"/>
          </w:tcPr>
          <w:p w14:paraId="4E67F10A" w14:textId="77777777" w:rsidR="009F33CD" w:rsidRDefault="00E40740">
            <w:pPr>
              <w:spacing w:line="240" w:lineRule="auto"/>
              <w:rPr>
                <w:rFonts w:eastAsia="TimesNewRoman" w:cs="Times New Roman"/>
                <w:bCs/>
                <w:szCs w:val="24"/>
              </w:rPr>
            </w:pPr>
            <w:r>
              <w:rPr>
                <w:rFonts w:eastAsia="TimesNewRoman" w:cs="Times New Roman"/>
                <w:bCs/>
                <w:szCs w:val="24"/>
              </w:rPr>
              <w:t xml:space="preserve">Level Five hospitals should </w:t>
            </w:r>
            <w:bookmarkStart w:id="1283" w:name="_Hlk174287824"/>
            <w:r>
              <w:rPr>
                <w:rFonts w:eastAsia="TimesNewRoman" w:cs="Times New Roman"/>
                <w:bCs/>
                <w:szCs w:val="24"/>
              </w:rPr>
              <w:t xml:space="preserve">involve staff and train talent for championing environmental issues </w:t>
            </w:r>
            <w:bookmarkEnd w:id="1283"/>
            <w:r>
              <w:rPr>
                <w:rFonts w:eastAsia="TimesNewRoman" w:cs="Times New Roman"/>
                <w:bCs/>
                <w:szCs w:val="24"/>
              </w:rPr>
              <w:t>and reward that talent</w:t>
            </w:r>
          </w:p>
        </w:tc>
        <w:tc>
          <w:tcPr>
            <w:tcW w:w="671" w:type="pct"/>
            <w:shd w:val="clear" w:color="auto" w:fill="FFFFFF"/>
            <w:vAlign w:val="center"/>
          </w:tcPr>
          <w:p w14:paraId="0496FEFA" w14:textId="77777777" w:rsidR="009F33CD" w:rsidRDefault="00E40740">
            <w:pPr>
              <w:spacing w:line="240" w:lineRule="auto"/>
              <w:jc w:val="center"/>
              <w:rPr>
                <w:rFonts w:eastAsia="TimesNewRoman" w:cs="Times New Roman"/>
                <w:bCs/>
                <w:szCs w:val="24"/>
              </w:rPr>
            </w:pPr>
            <w:r>
              <w:rPr>
                <w:rFonts w:eastAsia="TimesNewRoman" w:cs="Times New Roman"/>
                <w:bCs/>
                <w:szCs w:val="24"/>
              </w:rPr>
              <w:t>21</w:t>
            </w:r>
          </w:p>
        </w:tc>
        <w:tc>
          <w:tcPr>
            <w:tcW w:w="627" w:type="pct"/>
            <w:shd w:val="clear" w:color="auto" w:fill="FFFFFF"/>
            <w:vAlign w:val="center"/>
          </w:tcPr>
          <w:p w14:paraId="2FC07757" w14:textId="77777777" w:rsidR="009F33CD" w:rsidRDefault="00E40740">
            <w:pPr>
              <w:spacing w:line="240" w:lineRule="auto"/>
              <w:jc w:val="center"/>
              <w:rPr>
                <w:rFonts w:eastAsia="TimesNewRoman" w:cs="Times New Roman"/>
                <w:bCs/>
                <w:szCs w:val="24"/>
              </w:rPr>
            </w:pPr>
            <w:r>
              <w:rPr>
                <w:rFonts w:eastAsia="TimesNewRoman" w:cs="Times New Roman"/>
                <w:bCs/>
                <w:szCs w:val="24"/>
              </w:rPr>
              <w:t>32.8</w:t>
            </w:r>
          </w:p>
        </w:tc>
      </w:tr>
      <w:tr w:rsidR="009F33CD" w14:paraId="1A304CA6" w14:textId="77777777" w:rsidTr="000748E0">
        <w:trPr>
          <w:gridAfter w:val="1"/>
          <w:wAfter w:w="10" w:type="pct"/>
          <w:cantSplit/>
          <w:trHeight w:val="288"/>
        </w:trPr>
        <w:tc>
          <w:tcPr>
            <w:tcW w:w="3692" w:type="pct"/>
            <w:tcBorders>
              <w:bottom w:val="nil"/>
            </w:tcBorders>
            <w:shd w:val="clear" w:color="auto" w:fill="FFFFFF"/>
            <w:vAlign w:val="center"/>
          </w:tcPr>
          <w:p w14:paraId="2963B645" w14:textId="77777777" w:rsidR="009F33CD" w:rsidRDefault="00E40740">
            <w:pPr>
              <w:spacing w:line="240" w:lineRule="auto"/>
              <w:rPr>
                <w:rFonts w:eastAsia="TimesNewRoman" w:cs="Times New Roman"/>
                <w:bCs/>
                <w:szCs w:val="24"/>
              </w:rPr>
            </w:pPr>
            <w:r>
              <w:rPr>
                <w:rFonts w:eastAsia="TimesNewRoman" w:cs="Times New Roman"/>
                <w:bCs/>
                <w:szCs w:val="24"/>
              </w:rPr>
              <w:t xml:space="preserve">Employees without information technology skills should be trained and the hospital should improve information technology infrastructure.   </w:t>
            </w:r>
          </w:p>
        </w:tc>
        <w:tc>
          <w:tcPr>
            <w:tcW w:w="671" w:type="pct"/>
            <w:tcBorders>
              <w:bottom w:val="nil"/>
            </w:tcBorders>
            <w:shd w:val="clear" w:color="auto" w:fill="FFFFFF"/>
            <w:vAlign w:val="center"/>
          </w:tcPr>
          <w:p w14:paraId="71544024" w14:textId="77777777" w:rsidR="009F33CD" w:rsidRDefault="00E40740">
            <w:pPr>
              <w:spacing w:line="240" w:lineRule="auto"/>
              <w:jc w:val="center"/>
              <w:rPr>
                <w:rFonts w:eastAsia="TimesNewRoman" w:cs="Times New Roman"/>
                <w:bCs/>
                <w:szCs w:val="24"/>
              </w:rPr>
            </w:pPr>
            <w:r>
              <w:rPr>
                <w:rFonts w:eastAsia="TimesNewRoman" w:cs="Times New Roman"/>
                <w:bCs/>
                <w:szCs w:val="24"/>
              </w:rPr>
              <w:t>8</w:t>
            </w:r>
          </w:p>
        </w:tc>
        <w:tc>
          <w:tcPr>
            <w:tcW w:w="627" w:type="pct"/>
            <w:tcBorders>
              <w:bottom w:val="nil"/>
            </w:tcBorders>
            <w:shd w:val="clear" w:color="auto" w:fill="FFFFFF"/>
            <w:vAlign w:val="center"/>
          </w:tcPr>
          <w:p w14:paraId="482DA56E" w14:textId="77777777" w:rsidR="009F33CD" w:rsidRDefault="00E40740">
            <w:pPr>
              <w:spacing w:line="240" w:lineRule="auto"/>
              <w:jc w:val="center"/>
              <w:rPr>
                <w:rFonts w:eastAsia="TimesNewRoman" w:cs="Times New Roman"/>
                <w:bCs/>
                <w:szCs w:val="24"/>
              </w:rPr>
            </w:pPr>
            <w:r>
              <w:rPr>
                <w:rFonts w:eastAsia="TimesNewRoman" w:cs="Times New Roman"/>
                <w:bCs/>
                <w:szCs w:val="24"/>
              </w:rPr>
              <w:t>12.5</w:t>
            </w:r>
          </w:p>
        </w:tc>
      </w:tr>
      <w:tr w:rsidR="009F33CD" w14:paraId="6B5C35FE" w14:textId="77777777" w:rsidTr="000748E0">
        <w:trPr>
          <w:gridAfter w:val="1"/>
          <w:wAfter w:w="10" w:type="pct"/>
          <w:cantSplit/>
          <w:trHeight w:val="54"/>
        </w:trPr>
        <w:tc>
          <w:tcPr>
            <w:tcW w:w="3692" w:type="pct"/>
            <w:tcBorders>
              <w:top w:val="nil"/>
              <w:bottom w:val="single" w:sz="4" w:space="0" w:color="auto"/>
            </w:tcBorders>
            <w:shd w:val="clear" w:color="auto" w:fill="FFFFFF"/>
            <w:vAlign w:val="center"/>
          </w:tcPr>
          <w:p w14:paraId="49F92E0F" w14:textId="77777777" w:rsidR="009F33CD" w:rsidRDefault="00E40740">
            <w:pPr>
              <w:spacing w:line="240" w:lineRule="auto"/>
              <w:rPr>
                <w:rFonts w:eastAsia="TimesNewRoman" w:cs="Times New Roman"/>
                <w:b/>
                <w:bCs/>
                <w:szCs w:val="24"/>
              </w:rPr>
            </w:pPr>
            <w:r>
              <w:rPr>
                <w:rFonts w:eastAsia="TimesNewRoman" w:cs="Times New Roman"/>
                <w:b/>
                <w:bCs/>
                <w:szCs w:val="24"/>
              </w:rPr>
              <w:t>Total</w:t>
            </w:r>
          </w:p>
        </w:tc>
        <w:tc>
          <w:tcPr>
            <w:tcW w:w="671" w:type="pct"/>
            <w:tcBorders>
              <w:top w:val="nil"/>
              <w:bottom w:val="single" w:sz="4" w:space="0" w:color="auto"/>
            </w:tcBorders>
            <w:shd w:val="clear" w:color="auto" w:fill="FFFFFF"/>
            <w:vAlign w:val="center"/>
          </w:tcPr>
          <w:p w14:paraId="7768C04D" w14:textId="77777777" w:rsidR="009F33CD" w:rsidRDefault="00E40740">
            <w:pPr>
              <w:spacing w:line="240" w:lineRule="auto"/>
              <w:jc w:val="center"/>
              <w:rPr>
                <w:rFonts w:eastAsia="TimesNewRoman" w:cs="Times New Roman"/>
                <w:b/>
                <w:bCs/>
                <w:szCs w:val="24"/>
              </w:rPr>
            </w:pPr>
            <w:r>
              <w:rPr>
                <w:rFonts w:eastAsia="TimesNewRoman" w:cs="Times New Roman"/>
                <w:b/>
                <w:bCs/>
                <w:szCs w:val="24"/>
              </w:rPr>
              <w:t>64</w:t>
            </w:r>
          </w:p>
        </w:tc>
        <w:tc>
          <w:tcPr>
            <w:tcW w:w="627" w:type="pct"/>
            <w:tcBorders>
              <w:top w:val="nil"/>
              <w:bottom w:val="single" w:sz="4" w:space="0" w:color="auto"/>
            </w:tcBorders>
            <w:shd w:val="clear" w:color="auto" w:fill="FFFFFF"/>
            <w:vAlign w:val="center"/>
          </w:tcPr>
          <w:p w14:paraId="08A6356C" w14:textId="77777777" w:rsidR="009F33CD" w:rsidRDefault="00E40740">
            <w:pPr>
              <w:spacing w:line="240" w:lineRule="auto"/>
              <w:jc w:val="center"/>
              <w:rPr>
                <w:rFonts w:eastAsia="TimesNewRoman" w:cs="Times New Roman"/>
                <w:b/>
                <w:bCs/>
                <w:szCs w:val="24"/>
              </w:rPr>
            </w:pPr>
            <w:r>
              <w:rPr>
                <w:rFonts w:eastAsia="TimesNewRoman" w:cs="Times New Roman"/>
                <w:b/>
                <w:bCs/>
                <w:szCs w:val="24"/>
              </w:rPr>
              <w:t>100.0</w:t>
            </w:r>
          </w:p>
        </w:tc>
      </w:tr>
    </w:tbl>
    <w:p w14:paraId="4B902F3C" w14:textId="77777777" w:rsidR="009F33CD" w:rsidRDefault="00E40740">
      <w:pPr>
        <w:spacing w:before="240"/>
        <w:rPr>
          <w:rFonts w:eastAsia="TimesNewRoman" w:cs="Times New Roman"/>
          <w:bCs/>
          <w:szCs w:val="24"/>
        </w:rPr>
      </w:pPr>
      <w:r>
        <w:rPr>
          <w:rFonts w:eastAsia="TimesNewRoman" w:cs="Times New Roman"/>
          <w:bCs/>
          <w:szCs w:val="24"/>
        </w:rPr>
        <w:t>The</w:t>
      </w:r>
      <w:r w:rsidR="00494588">
        <w:rPr>
          <w:rFonts w:eastAsia="TimesNewRoman" w:cs="Times New Roman"/>
          <w:bCs/>
          <w:szCs w:val="24"/>
        </w:rPr>
        <w:t xml:space="preserve"> results presented in Table 4.23</w:t>
      </w:r>
      <w:r>
        <w:rPr>
          <w:rFonts w:eastAsia="TimesNewRoman" w:cs="Times New Roman"/>
          <w:bCs/>
          <w:szCs w:val="24"/>
        </w:rPr>
        <w:t xml:space="preserve">, the majority of the respondents representing 54.7% suggested that Level Five Hospitals should develop strong policies on green initiatives and fully embrace e-learning modules and digital training in continuous medical education. This result implies that digital learning offers significant cost and time savings for employees who would otherwise commute to work. This not only reduces indoor air pollution but also helps prevent the spread of diseases like COVID-19. This finding agrees with Langat and Kwasira (2016) who recommended that there is a need for vigorous green training through workshops and seminars for the employees to build and nurture green behaviour among employees. Other respondents, 32.8% suggested that Level Five Hospitals should involve staff in green initiatives and train talent for championing environmental protection, and such talent should be rewarded. Another 12.5% suggested that employees without information technology skills should be trained and where possible the Level Five Hospitals should improve </w:t>
      </w:r>
      <w:r>
        <w:rPr>
          <w:rFonts w:eastAsia="TimesNewRoman" w:cs="Times New Roman"/>
          <w:bCs/>
          <w:szCs w:val="24"/>
        </w:rPr>
        <w:lastRenderedPageBreak/>
        <w:t xml:space="preserve">information technology infrastructure. This implies that induction of new employees and continuous medical education should be conducted through paperless methods, such as PowerPoint presentations, teleconferencing, zoom/webinars, and materials for this training distributed to the new employees through hospital website portals. Management meetings should be conducted online to prevent inconveniences emanating from environmental anxieties. </w:t>
      </w:r>
    </w:p>
    <w:p w14:paraId="7570E23E" w14:textId="77777777" w:rsidR="009F33CD" w:rsidRDefault="00E40740">
      <w:pPr>
        <w:spacing w:before="240"/>
        <w:rPr>
          <w:rFonts w:eastAsia="TimesNewRoman" w:cs="Times New Roman"/>
          <w:bCs/>
          <w:szCs w:val="24"/>
        </w:rPr>
      </w:pPr>
      <w:r>
        <w:rPr>
          <w:rFonts w:eastAsia="TimesNewRoman" w:cs="Times New Roman"/>
          <w:bCs/>
          <w:szCs w:val="24"/>
        </w:rPr>
        <w:t xml:space="preserve">Document analysis was conducted by checking and recording the number of green training needs assessments conducted during the period under study. Most hospitals did not provide evidence or file on green training needs assessment, but </w:t>
      </w:r>
      <w:r>
        <w:rPr>
          <w:rFonts w:eastAsia="TimesNewRoman" w:cs="Times New Roman"/>
          <w:bCs/>
          <w:szCs w:val="24"/>
          <w:lang w:val="en-US"/>
        </w:rPr>
        <w:t xml:space="preserve">they </w:t>
      </w:r>
      <w:r>
        <w:rPr>
          <w:rFonts w:eastAsia="TimesNewRoman" w:cs="Times New Roman"/>
          <w:bCs/>
          <w:szCs w:val="24"/>
        </w:rPr>
        <w:t xml:space="preserve">practiced green training as a mandatory requirement </w:t>
      </w:r>
      <w:r>
        <w:rPr>
          <w:rFonts w:eastAsia="TimesNewRoman" w:cs="Times New Roman"/>
          <w:bCs/>
          <w:szCs w:val="24"/>
          <w:lang w:val="en-US"/>
        </w:rPr>
        <w:t xml:space="preserve">in </w:t>
      </w:r>
      <w:r>
        <w:rPr>
          <w:rFonts w:eastAsia="TimesNewRoman" w:cs="Times New Roman"/>
          <w:bCs/>
          <w:szCs w:val="24"/>
        </w:rPr>
        <w:t xml:space="preserve">every week while others conducted it every month under a program called Continuous Medical Education (CME). The training committee and Infection Control Committee/ occupational safety, health, and environment committee should ensure that employees are trained on different eco-waste management methods for controlling infection by following safe and protective work practices, such as proper use of personal protective equipment, healthcare waste segregation by using color-coded bins and waste disposal methods that are environment friendly. </w:t>
      </w:r>
    </w:p>
    <w:p w14:paraId="06A44F60" w14:textId="77777777" w:rsidR="009F33CD" w:rsidRDefault="00E40740">
      <w:pPr>
        <w:spacing w:before="240"/>
        <w:rPr>
          <w:rFonts w:eastAsia="TimesNewRoman" w:cs="Times New Roman"/>
          <w:bCs/>
          <w:szCs w:val="24"/>
        </w:rPr>
      </w:pPr>
      <w:r>
        <w:rPr>
          <w:rFonts w:eastAsia="TimesNewRoman" w:cs="Times New Roman"/>
          <w:bCs/>
          <w:szCs w:val="24"/>
        </w:rPr>
        <w:t xml:space="preserve">In checking and recording the types of training programs provided, this study found that all hospitals provided green induction programs. The study's finding indicates a strong commitment to environmental sustainability across these healthcare facilities. Green induction training ensures that new employees are educated about the organization's environmental policies and practices from the outset. This foundational training helps to instil a culture of environmental responsibility and awareness among staff, which can lead to more consistent and effective implementation of green practices throughout the organization. By prioritizing green induction, these hospitals are taking proactive steps to promote sustainability and enhance their overall environmental performance. The finding is consistent with Yong et al (2019) who argue that green induction reorients new employees on the organization's mission, environmental management policies and practices, and green values. On-the-job instruction training included energy-saving methods (such as putting off lights when not in use, switching off computers and certain machines when not in use), and better </w:t>
      </w:r>
      <w:r>
        <w:rPr>
          <w:rFonts w:eastAsia="TimesNewRoman" w:cs="Times New Roman"/>
          <w:bCs/>
          <w:szCs w:val="24"/>
        </w:rPr>
        <w:lastRenderedPageBreak/>
        <w:t xml:space="preserve">methods of utilizing water. Soft copies of training modules are also provided on the hospital website for reference and detailed information. </w:t>
      </w:r>
    </w:p>
    <w:p w14:paraId="6885CA3F" w14:textId="77777777" w:rsidR="009F33CD" w:rsidRDefault="00E40740">
      <w:pPr>
        <w:spacing w:before="240"/>
        <w:rPr>
          <w:rFonts w:eastAsia="TimesNewRoman" w:cs="Times New Roman"/>
          <w:bCs/>
          <w:szCs w:val="24"/>
        </w:rPr>
      </w:pPr>
      <w:r>
        <w:rPr>
          <w:rFonts w:eastAsia="TimesNewRoman" w:cs="Times New Roman"/>
          <w:bCs/>
          <w:szCs w:val="24"/>
        </w:rPr>
        <w:t>Three key respondents from each of the four Level Five Hospitals were interviewed on certain issues related to green training and they gave the following information. All the respondents were asked to explain the extent to which their hospitals encouraged e-training and e-learning and all of them stated that a large number of employees are connected to the hospital intranet and are enrolled on e-learning platforms to access e-learning materials and modules. Employees also attend and participate in online training through webcam or zoom as part of their continuous medical education.</w:t>
      </w:r>
      <w:r>
        <w:rPr>
          <w:rFonts w:cs="Times New Roman"/>
          <w:bCs/>
          <w:szCs w:val="24"/>
        </w:rPr>
        <w:t xml:space="preserve"> The respondents were asked to explain if </w:t>
      </w:r>
      <w:r>
        <w:rPr>
          <w:rFonts w:eastAsia="TimesNewRoman" w:cs="Times New Roman"/>
          <w:bCs/>
          <w:szCs w:val="24"/>
        </w:rPr>
        <w:t xml:space="preserve">the hospital provides an online (paperless) induction program with the inclusion of information regarding the environmental culture of the hospital. All the 12 respondents explained that green induction is provided to new employees using a digital platform and soft copies of HR policies and practices are issued to them. The new employee is also advised to enrol in the hospital's online staff portal to access HR services online. The employee is further inducted into the green culture of the hospital and how to offer hospital services through digital platforms.  </w:t>
      </w:r>
    </w:p>
    <w:p w14:paraId="6FACD1D0" w14:textId="77777777" w:rsidR="009F33CD" w:rsidRDefault="00E40740">
      <w:pPr>
        <w:spacing w:before="240"/>
        <w:rPr>
          <w:rFonts w:eastAsia="TimesNewRoman" w:cs="Times New Roman"/>
          <w:bCs/>
          <w:szCs w:val="24"/>
        </w:rPr>
      </w:pPr>
      <w:r>
        <w:rPr>
          <w:rFonts w:eastAsia="TimesNewRoman" w:cs="Times New Roman"/>
          <w:bCs/>
          <w:szCs w:val="24"/>
        </w:rPr>
        <w:t xml:space="preserve">In answering the question of how paperless induction affects employee performance, the nine respondents said that employees were able to access human resource management services online quickly and efficiently. Further, this saves time and it enables employees to concentrate on meeting their performance targets of serving hospital clients instead of moving from office to office seeking such services. Secondly, employees were able to serve more clients as they used digital platforms to retrieve client’s health information and clients were restricted to using online payment methods. The other three respondents were undecided or </w:t>
      </w:r>
      <w:r w:rsidR="001C3D4C">
        <w:rPr>
          <w:rFonts w:eastAsia="TimesNewRoman" w:cs="Times New Roman"/>
          <w:bCs/>
          <w:szCs w:val="24"/>
        </w:rPr>
        <w:t>sceptical</w:t>
      </w:r>
      <w:r>
        <w:rPr>
          <w:rFonts w:eastAsia="TimesNewRoman" w:cs="Times New Roman"/>
          <w:bCs/>
          <w:szCs w:val="24"/>
        </w:rPr>
        <w:t xml:space="preserve"> about how online induction affected employee performance.</w:t>
      </w:r>
    </w:p>
    <w:p w14:paraId="53FA0D3A" w14:textId="77777777" w:rsidR="009F33CD" w:rsidRDefault="00E40740">
      <w:pPr>
        <w:pStyle w:val="Heading3"/>
        <w:rPr>
          <w:rFonts w:eastAsia="TimesNewRoman"/>
        </w:rPr>
      </w:pPr>
      <w:bookmarkStart w:id="1284" w:name="_Toc188443990"/>
      <w:bookmarkStart w:id="1285" w:name="_Toc185614112"/>
      <w:bookmarkStart w:id="1286" w:name="_Toc188442616"/>
      <w:bookmarkStart w:id="1287" w:name="_Toc187080884"/>
      <w:bookmarkStart w:id="1288" w:name="_Toc188130643"/>
      <w:bookmarkStart w:id="1289" w:name="_Toc224160680"/>
      <w:bookmarkStart w:id="1290" w:name="_Toc224237743"/>
      <w:bookmarkStart w:id="1291" w:name="_Toc165626410"/>
      <w:bookmarkStart w:id="1292" w:name="_Toc178942662"/>
      <w:bookmarkStart w:id="1293" w:name="_Toc178944320"/>
      <w:bookmarkStart w:id="1294" w:name="_Toc178945072"/>
      <w:bookmarkStart w:id="1295" w:name="_Toc165623629"/>
      <w:r>
        <w:t>4.7.2 Correlation Analysis Finding for Green Training and Performance</w:t>
      </w:r>
      <w:bookmarkEnd w:id="1284"/>
      <w:bookmarkEnd w:id="1285"/>
      <w:bookmarkEnd w:id="1286"/>
      <w:bookmarkEnd w:id="1287"/>
      <w:bookmarkEnd w:id="1288"/>
      <w:bookmarkEnd w:id="1289"/>
      <w:bookmarkEnd w:id="1290"/>
      <w:r>
        <w:t xml:space="preserve"> </w:t>
      </w:r>
      <w:bookmarkEnd w:id="1291"/>
      <w:bookmarkEnd w:id="1292"/>
      <w:bookmarkEnd w:id="1293"/>
      <w:bookmarkEnd w:id="1294"/>
      <w:bookmarkEnd w:id="1295"/>
    </w:p>
    <w:p w14:paraId="3ADA3CDE" w14:textId="77777777" w:rsidR="009F33CD" w:rsidRDefault="00E40740">
      <w:pPr>
        <w:spacing w:after="240"/>
        <w:rPr>
          <w:rFonts w:cs="Times New Roman"/>
        </w:rPr>
      </w:pPr>
      <w:r>
        <w:rPr>
          <w:rFonts w:cs="Times New Roman"/>
        </w:rPr>
        <w:t xml:space="preserve">Correlation analysis was conducted to determine the strength and direction of the relationship between green training and the performance of devolved healthcare services. From the findings in Table 4.23, the correlation analysis results revealed a </w:t>
      </w:r>
      <w:r>
        <w:rPr>
          <w:rFonts w:cs="Times New Roman"/>
        </w:rPr>
        <w:lastRenderedPageBreak/>
        <w:t>strong and positive relationship between green training and the performance of devolved healthcare services in Kenya.</w:t>
      </w:r>
      <w:r>
        <w:t xml:space="preserve"> </w:t>
      </w:r>
      <w:r>
        <w:rPr>
          <w:rFonts w:cs="Times New Roman"/>
        </w:rPr>
        <w:t>The correlation was statistically significant positive and strong (r = 0.686, n = 118, p = 0.000&lt;0.05).</w:t>
      </w:r>
      <w:r>
        <w:t xml:space="preserve"> </w:t>
      </w:r>
      <w:r>
        <w:rPr>
          <w:rFonts w:cs="Times New Roman"/>
          <w:lang w:val="af-ZA"/>
        </w:rPr>
        <w:t xml:space="preserve">This means that as green training initiatives increase, so do the levels of performance of devolved healthcare services. </w:t>
      </w:r>
      <w:r>
        <w:rPr>
          <w:rFonts w:cs="Times New Roman"/>
        </w:rPr>
        <w:t xml:space="preserve">This strong correlation provides evidence for policymakers to advocate and invest in green training programs within the Level Five Hospitals. These green training initiatives could include sustainable practices, energy-efficient procedures, and waste reduction strategies. The statistical significance (p = 0.000, which is less than 0.05) confirms that this correlation is not due to random chance. This finding suggests that the development and integration of green training in medical and healthcare education could be emphasized, ensuring that future healthcare professionals are well-equipped with sustainable practices. </w:t>
      </w:r>
    </w:p>
    <w:p w14:paraId="615DDF79" w14:textId="77777777" w:rsidR="009F33CD" w:rsidRDefault="000748E0">
      <w:pPr>
        <w:pStyle w:val="Heading6"/>
      </w:pPr>
      <w:bookmarkStart w:id="1296" w:name="_Toc185614113"/>
      <w:bookmarkStart w:id="1297" w:name="_Toc187080885"/>
      <w:bookmarkStart w:id="1298" w:name="_Toc224237453"/>
      <w:r>
        <w:t>Table 4.24</w:t>
      </w:r>
      <w:r w:rsidR="00E40740">
        <w:t>: Correlation for Green Training and Performance</w:t>
      </w:r>
      <w:bookmarkEnd w:id="1296"/>
      <w:bookmarkEnd w:id="1297"/>
      <w:bookmarkEnd w:id="129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2055"/>
        <w:gridCol w:w="2055"/>
        <w:gridCol w:w="2055"/>
      </w:tblGrid>
      <w:tr w:rsidR="009F33CD" w14:paraId="04BF6B7C" w14:textId="77777777">
        <w:trPr>
          <w:trHeight w:val="45"/>
        </w:trPr>
        <w:tc>
          <w:tcPr>
            <w:tcW w:w="1250" w:type="pct"/>
            <w:tcBorders>
              <w:top w:val="single" w:sz="4" w:space="0" w:color="auto"/>
              <w:bottom w:val="single" w:sz="4" w:space="0" w:color="auto"/>
            </w:tcBorders>
          </w:tcPr>
          <w:p w14:paraId="69530217" w14:textId="77777777" w:rsidR="009F33CD" w:rsidRDefault="00E40740">
            <w:pPr>
              <w:spacing w:line="240" w:lineRule="auto"/>
              <w:rPr>
                <w:b/>
              </w:rPr>
            </w:pPr>
            <w:r>
              <w:rPr>
                <w:b/>
              </w:rPr>
              <w:t>Performance</w:t>
            </w:r>
          </w:p>
        </w:tc>
        <w:tc>
          <w:tcPr>
            <w:tcW w:w="1250" w:type="pct"/>
            <w:tcBorders>
              <w:top w:val="single" w:sz="4" w:space="0" w:color="auto"/>
              <w:bottom w:val="single" w:sz="4" w:space="0" w:color="auto"/>
            </w:tcBorders>
          </w:tcPr>
          <w:p w14:paraId="30842418" w14:textId="77777777" w:rsidR="009F33CD" w:rsidRDefault="009F33CD">
            <w:pPr>
              <w:spacing w:line="240" w:lineRule="auto"/>
              <w:rPr>
                <w:b/>
              </w:rPr>
            </w:pPr>
          </w:p>
        </w:tc>
        <w:tc>
          <w:tcPr>
            <w:tcW w:w="1250" w:type="pct"/>
            <w:tcBorders>
              <w:top w:val="single" w:sz="4" w:space="0" w:color="auto"/>
              <w:bottom w:val="single" w:sz="4" w:space="0" w:color="auto"/>
            </w:tcBorders>
          </w:tcPr>
          <w:p w14:paraId="58696A3C" w14:textId="77777777" w:rsidR="009F33CD" w:rsidRDefault="00E40740">
            <w:pPr>
              <w:spacing w:line="240" w:lineRule="auto"/>
            </w:pPr>
            <w:r>
              <w:rPr>
                <w:b/>
              </w:rPr>
              <w:t>Performance</w:t>
            </w:r>
            <w:r>
              <w:t>1</w:t>
            </w:r>
          </w:p>
        </w:tc>
        <w:tc>
          <w:tcPr>
            <w:tcW w:w="1250" w:type="pct"/>
            <w:tcBorders>
              <w:top w:val="single" w:sz="4" w:space="0" w:color="auto"/>
              <w:bottom w:val="single" w:sz="4" w:space="0" w:color="auto"/>
            </w:tcBorders>
          </w:tcPr>
          <w:p w14:paraId="5F1D5E81" w14:textId="77777777" w:rsidR="009F33CD" w:rsidRDefault="009F33CD">
            <w:pPr>
              <w:spacing w:line="240" w:lineRule="auto"/>
              <w:rPr>
                <w:bCs/>
              </w:rPr>
            </w:pPr>
          </w:p>
        </w:tc>
      </w:tr>
      <w:tr w:rsidR="009F33CD" w14:paraId="04790335" w14:textId="77777777">
        <w:trPr>
          <w:trHeight w:val="239"/>
        </w:trPr>
        <w:tc>
          <w:tcPr>
            <w:tcW w:w="1250" w:type="pct"/>
          </w:tcPr>
          <w:p w14:paraId="3E8B27BF" w14:textId="77777777" w:rsidR="009F33CD" w:rsidRDefault="00E40740">
            <w:pPr>
              <w:spacing w:line="240" w:lineRule="auto"/>
              <w:rPr>
                <w:b/>
              </w:rPr>
            </w:pPr>
            <w:r>
              <w:rPr>
                <w:b/>
              </w:rPr>
              <w:t>GT</w:t>
            </w:r>
          </w:p>
        </w:tc>
        <w:tc>
          <w:tcPr>
            <w:tcW w:w="1250" w:type="pct"/>
          </w:tcPr>
          <w:p w14:paraId="7B80B0F6" w14:textId="77777777" w:rsidR="009F33CD" w:rsidRDefault="00E40740">
            <w:pPr>
              <w:spacing w:line="240" w:lineRule="auto"/>
              <w:rPr>
                <w:bCs/>
              </w:rPr>
            </w:pPr>
            <w:r>
              <w:rPr>
                <w:bCs/>
              </w:rPr>
              <w:t>Pearson Correlation</w:t>
            </w:r>
          </w:p>
        </w:tc>
        <w:tc>
          <w:tcPr>
            <w:tcW w:w="1250" w:type="pct"/>
          </w:tcPr>
          <w:p w14:paraId="1311C0C3" w14:textId="77777777" w:rsidR="009F33CD" w:rsidRDefault="00E40740">
            <w:pPr>
              <w:spacing w:line="240" w:lineRule="auto"/>
              <w:jc w:val="center"/>
              <w:rPr>
                <w:bCs/>
              </w:rPr>
            </w:pPr>
            <w:r>
              <w:rPr>
                <w:bCs/>
              </w:rPr>
              <w:t>0.686**</w:t>
            </w:r>
          </w:p>
        </w:tc>
        <w:tc>
          <w:tcPr>
            <w:tcW w:w="1250" w:type="pct"/>
          </w:tcPr>
          <w:p w14:paraId="2B1CA1D4" w14:textId="77777777" w:rsidR="009F33CD" w:rsidRDefault="00E40740">
            <w:pPr>
              <w:spacing w:line="240" w:lineRule="auto"/>
              <w:jc w:val="center"/>
              <w:rPr>
                <w:bCs/>
              </w:rPr>
            </w:pPr>
            <w:r>
              <w:rPr>
                <w:bCs/>
              </w:rPr>
              <w:t>1</w:t>
            </w:r>
          </w:p>
        </w:tc>
      </w:tr>
      <w:tr w:rsidR="009F33CD" w14:paraId="705D9687" w14:textId="77777777">
        <w:trPr>
          <w:trHeight w:val="198"/>
        </w:trPr>
        <w:tc>
          <w:tcPr>
            <w:tcW w:w="1250" w:type="pct"/>
          </w:tcPr>
          <w:p w14:paraId="317CBCC8" w14:textId="77777777" w:rsidR="009F33CD" w:rsidRDefault="009F33CD">
            <w:pPr>
              <w:spacing w:line="240" w:lineRule="auto"/>
              <w:rPr>
                <w:b/>
              </w:rPr>
            </w:pPr>
          </w:p>
        </w:tc>
        <w:tc>
          <w:tcPr>
            <w:tcW w:w="1250" w:type="pct"/>
          </w:tcPr>
          <w:p w14:paraId="196304CC" w14:textId="77777777" w:rsidR="009F33CD" w:rsidRDefault="00E40740">
            <w:pPr>
              <w:spacing w:line="240" w:lineRule="auto"/>
              <w:rPr>
                <w:bCs/>
              </w:rPr>
            </w:pPr>
            <w:r>
              <w:rPr>
                <w:bCs/>
              </w:rPr>
              <w:t>Sig. (2-tailed)</w:t>
            </w:r>
          </w:p>
        </w:tc>
        <w:tc>
          <w:tcPr>
            <w:tcW w:w="1250" w:type="pct"/>
          </w:tcPr>
          <w:p w14:paraId="06BBCC2C" w14:textId="77777777" w:rsidR="009F33CD" w:rsidRDefault="00E40740">
            <w:pPr>
              <w:spacing w:line="240" w:lineRule="auto"/>
              <w:jc w:val="center"/>
              <w:rPr>
                <w:bCs/>
              </w:rPr>
            </w:pPr>
            <w:r>
              <w:rPr>
                <w:bCs/>
              </w:rPr>
              <w:t>0.000</w:t>
            </w:r>
          </w:p>
        </w:tc>
        <w:tc>
          <w:tcPr>
            <w:tcW w:w="1250" w:type="pct"/>
          </w:tcPr>
          <w:p w14:paraId="6D946117" w14:textId="77777777" w:rsidR="009F33CD" w:rsidRDefault="009F33CD">
            <w:pPr>
              <w:spacing w:line="240" w:lineRule="auto"/>
              <w:jc w:val="center"/>
              <w:rPr>
                <w:bCs/>
              </w:rPr>
            </w:pPr>
          </w:p>
        </w:tc>
      </w:tr>
      <w:tr w:rsidR="009F33CD" w14:paraId="67B85D36" w14:textId="77777777">
        <w:trPr>
          <w:trHeight w:val="341"/>
        </w:trPr>
        <w:tc>
          <w:tcPr>
            <w:tcW w:w="1250" w:type="pct"/>
            <w:tcBorders>
              <w:bottom w:val="single" w:sz="4" w:space="0" w:color="auto"/>
            </w:tcBorders>
          </w:tcPr>
          <w:p w14:paraId="5164BDE4" w14:textId="77777777" w:rsidR="009F33CD" w:rsidRDefault="009F33CD">
            <w:pPr>
              <w:spacing w:line="240" w:lineRule="auto"/>
              <w:rPr>
                <w:bCs/>
              </w:rPr>
            </w:pPr>
          </w:p>
        </w:tc>
        <w:tc>
          <w:tcPr>
            <w:tcW w:w="1250" w:type="pct"/>
            <w:tcBorders>
              <w:bottom w:val="single" w:sz="4" w:space="0" w:color="auto"/>
            </w:tcBorders>
          </w:tcPr>
          <w:p w14:paraId="20D5AF9E" w14:textId="77777777" w:rsidR="009F33CD" w:rsidRDefault="00E40740">
            <w:pPr>
              <w:spacing w:line="240" w:lineRule="auto"/>
              <w:rPr>
                <w:bCs/>
              </w:rPr>
            </w:pPr>
            <w:r>
              <w:rPr>
                <w:bCs/>
              </w:rPr>
              <w:t>N</w:t>
            </w:r>
          </w:p>
        </w:tc>
        <w:tc>
          <w:tcPr>
            <w:tcW w:w="1250" w:type="pct"/>
            <w:tcBorders>
              <w:bottom w:val="single" w:sz="4" w:space="0" w:color="auto"/>
            </w:tcBorders>
          </w:tcPr>
          <w:p w14:paraId="40BF076E" w14:textId="77777777" w:rsidR="009F33CD" w:rsidRDefault="00E40740">
            <w:pPr>
              <w:spacing w:line="240" w:lineRule="auto"/>
              <w:jc w:val="center"/>
              <w:rPr>
                <w:bCs/>
              </w:rPr>
            </w:pPr>
            <w:r>
              <w:rPr>
                <w:bCs/>
              </w:rPr>
              <w:t>118</w:t>
            </w:r>
          </w:p>
        </w:tc>
        <w:tc>
          <w:tcPr>
            <w:tcW w:w="1250" w:type="pct"/>
            <w:tcBorders>
              <w:bottom w:val="single" w:sz="4" w:space="0" w:color="auto"/>
            </w:tcBorders>
          </w:tcPr>
          <w:p w14:paraId="7B8CE84A" w14:textId="77777777" w:rsidR="009F33CD" w:rsidRDefault="009F33CD">
            <w:pPr>
              <w:spacing w:line="240" w:lineRule="auto"/>
              <w:jc w:val="center"/>
              <w:rPr>
                <w:bCs/>
              </w:rPr>
            </w:pPr>
          </w:p>
        </w:tc>
      </w:tr>
      <w:tr w:rsidR="009F33CD" w14:paraId="7E59DB9E" w14:textId="77777777">
        <w:trPr>
          <w:trHeight w:val="45"/>
        </w:trPr>
        <w:tc>
          <w:tcPr>
            <w:tcW w:w="5000" w:type="pct"/>
            <w:gridSpan w:val="4"/>
            <w:tcBorders>
              <w:top w:val="single" w:sz="4" w:space="0" w:color="auto"/>
              <w:bottom w:val="nil"/>
            </w:tcBorders>
          </w:tcPr>
          <w:p w14:paraId="26DCC40D" w14:textId="77777777" w:rsidR="009F33CD" w:rsidRDefault="00E40740">
            <w:pPr>
              <w:spacing w:before="0" w:beforeAutospacing="0" w:after="0" w:afterAutospacing="0" w:line="240" w:lineRule="auto"/>
              <w:rPr>
                <w:bCs/>
                <w:sz w:val="20"/>
              </w:rPr>
            </w:pPr>
            <w:r>
              <w:rPr>
                <w:bCs/>
                <w:sz w:val="20"/>
              </w:rPr>
              <w:t>**. Correlation is significant at the 0.01 level (2-tailed).</w:t>
            </w:r>
          </w:p>
        </w:tc>
      </w:tr>
    </w:tbl>
    <w:p w14:paraId="584B45BE" w14:textId="77777777" w:rsidR="009F33CD" w:rsidRDefault="00E40740">
      <w:pPr>
        <w:spacing w:after="240"/>
        <w:rPr>
          <w:rFonts w:cs="Times New Roman"/>
        </w:rPr>
      </w:pPr>
      <w:r>
        <w:rPr>
          <w:rFonts w:cs="Times New Roman"/>
        </w:rPr>
        <w:t xml:space="preserve">The correlation results aligned with that of Adriana </w:t>
      </w:r>
      <w:r>
        <w:rPr>
          <w:rFonts w:cs="Times New Roman"/>
          <w:i/>
        </w:rPr>
        <w:t>et al.</w:t>
      </w:r>
      <w:r>
        <w:rPr>
          <w:rFonts w:cs="Times New Roman"/>
        </w:rPr>
        <w:t xml:space="preserve"> (2021) who found that green training had a statistically significant positive relationship with employee green behaviour in an organization. The study findings also agreed with the findings of Kuria and Mose (2019), who found that green training was significantly and positively related to the organizational effectiveness of universities in Kenya. According to Mwita (2019), the use of eco-friendly methods and techniques in green training and development can impact employees with the necessary skills and knowledge on how to minimize pollution and protect the environment at places of work. Therefore, providing green training to employees is a way to enhance the human capital of an organization, which is a valuable and rare resource that cannot easily be </w:t>
      </w:r>
      <w:r>
        <w:rPr>
          <w:rFonts w:cs="Times New Roman"/>
          <w:lang w:val="en-US"/>
        </w:rPr>
        <w:t>imitated</w:t>
      </w:r>
      <w:r>
        <w:rPr>
          <w:rFonts w:cs="Times New Roman"/>
        </w:rPr>
        <w:t xml:space="preserve"> (Haldorai </w:t>
      </w:r>
      <w:r>
        <w:rPr>
          <w:rFonts w:cs="Times New Roman"/>
          <w:i/>
        </w:rPr>
        <w:t>et al.,</w:t>
      </w:r>
      <w:r>
        <w:rPr>
          <w:rFonts w:cs="Times New Roman"/>
        </w:rPr>
        <w:t xml:space="preserve"> 2022).</w:t>
      </w:r>
    </w:p>
    <w:p w14:paraId="5ABF61EA" w14:textId="77777777" w:rsidR="009F33CD" w:rsidRDefault="00E40740">
      <w:pPr>
        <w:pStyle w:val="Heading3"/>
      </w:pPr>
      <w:bookmarkStart w:id="1299" w:name="_Toc188130644"/>
      <w:bookmarkStart w:id="1300" w:name="_Toc165626411"/>
      <w:bookmarkStart w:id="1301" w:name="_Toc178945073"/>
      <w:bookmarkStart w:id="1302" w:name="_Toc178942663"/>
      <w:bookmarkStart w:id="1303" w:name="_Toc165623630"/>
      <w:bookmarkStart w:id="1304" w:name="_Toc187080886"/>
      <w:bookmarkStart w:id="1305" w:name="_Toc178944321"/>
      <w:bookmarkStart w:id="1306" w:name="_Toc188442617"/>
      <w:bookmarkStart w:id="1307" w:name="_Toc188443991"/>
      <w:bookmarkStart w:id="1308" w:name="_Toc185614114"/>
      <w:bookmarkStart w:id="1309" w:name="_Toc224160681"/>
      <w:bookmarkStart w:id="1310" w:name="_Toc224237744"/>
      <w:r>
        <w:rPr>
          <w:rFonts w:eastAsia="TimesNewRoman"/>
        </w:rPr>
        <w:lastRenderedPageBreak/>
        <w:t>4.7.3</w:t>
      </w:r>
      <w:r>
        <w:t xml:space="preserve"> Simple Linear Regression Analysis Findings for Green Training and Performance</w:t>
      </w:r>
      <w:bookmarkEnd w:id="1299"/>
      <w:bookmarkEnd w:id="1300"/>
      <w:bookmarkEnd w:id="1301"/>
      <w:bookmarkEnd w:id="1302"/>
      <w:bookmarkEnd w:id="1303"/>
      <w:bookmarkEnd w:id="1304"/>
      <w:bookmarkEnd w:id="1305"/>
      <w:bookmarkEnd w:id="1306"/>
      <w:bookmarkEnd w:id="1307"/>
      <w:bookmarkEnd w:id="1308"/>
      <w:bookmarkEnd w:id="1309"/>
      <w:bookmarkEnd w:id="1310"/>
    </w:p>
    <w:p w14:paraId="7B1C2A51" w14:textId="77777777" w:rsidR="009F33CD" w:rsidRDefault="00E40740">
      <w:pPr>
        <w:rPr>
          <w:rFonts w:cs="Times New Roman"/>
          <w:bCs/>
        </w:rPr>
      </w:pPr>
      <w:r>
        <w:rPr>
          <w:rFonts w:cs="Times New Roman"/>
          <w:bCs/>
        </w:rPr>
        <w:t>A regression analysis was undertaken to evaluate the effect of green training on the performance of devolved healthcare services in Kenya.</w:t>
      </w:r>
      <w:r>
        <w:rPr>
          <w:rFonts w:cs="Times New Roman"/>
        </w:rPr>
        <w:t xml:space="preserve"> According to a study by Omondi (2018), there is empirical evidence to support the use of regression analysis as a statistical tool in data analysis.</w:t>
      </w:r>
      <w:r>
        <w:rPr>
          <w:rFonts w:cs="Times New Roman"/>
          <w:bCs/>
        </w:rPr>
        <w:t xml:space="preserve"> The analysis focused on the dependent variable, and t</w:t>
      </w:r>
      <w:r>
        <w:rPr>
          <w:rFonts w:cs="Times New Roman"/>
          <w:bCs/>
          <w:szCs w:val="24"/>
        </w:rPr>
        <w:t xml:space="preserve">herefore, a simple linear regression model for green training and performance of devolved healthcare services took the following format: </w:t>
      </w:r>
    </w:p>
    <w:p w14:paraId="02905D3D" w14:textId="77777777" w:rsidR="009F33CD" w:rsidRDefault="00E40740">
      <w:pPr>
        <w:ind w:left="720"/>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2</w:t>
      </w:r>
      <w:r>
        <w:rPr>
          <w:rFonts w:cs="Times New Roman"/>
          <w:bCs/>
          <w:szCs w:val="24"/>
        </w:rPr>
        <w:t>X</w:t>
      </w:r>
      <w:r>
        <w:rPr>
          <w:rFonts w:cs="Times New Roman"/>
          <w:bCs/>
          <w:szCs w:val="24"/>
          <w:vertAlign w:val="subscript"/>
        </w:rPr>
        <w:t>2</w:t>
      </w:r>
      <w:r>
        <w:rPr>
          <w:rFonts w:cs="Times New Roman"/>
          <w:bCs/>
          <w:szCs w:val="24"/>
        </w:rPr>
        <w:t xml:space="preserve"> +e</w:t>
      </w:r>
    </w:p>
    <w:p w14:paraId="7755B1B7" w14:textId="77777777" w:rsidR="009F33CD" w:rsidRDefault="00E40740">
      <w:pPr>
        <w:spacing w:after="240"/>
        <w:rPr>
          <w:rFonts w:cs="Times New Roman"/>
          <w:bCs/>
        </w:rPr>
      </w:pPr>
      <w:r>
        <w:rPr>
          <w:rFonts w:cs="Times New Roman"/>
          <w:bCs/>
        </w:rPr>
        <w:t>The statistical significance of the effect of green training (independent variable) on the performance of devolved healthcare services (dependent variable) was anal</w:t>
      </w:r>
      <w:r w:rsidR="00494588">
        <w:rPr>
          <w:rFonts w:cs="Times New Roman"/>
          <w:bCs/>
        </w:rPr>
        <w:t>yzed and presented in Table 4.25</w:t>
      </w:r>
      <w:r>
        <w:rPr>
          <w:rFonts w:cs="Times New Roman"/>
          <w:bCs/>
        </w:rPr>
        <w:t>.</w:t>
      </w:r>
    </w:p>
    <w:p w14:paraId="2D8FC167" w14:textId="77777777" w:rsidR="009F33CD" w:rsidRDefault="000748E0">
      <w:pPr>
        <w:pStyle w:val="Heading6"/>
      </w:pPr>
      <w:bookmarkStart w:id="1311" w:name="_Toc187080887"/>
      <w:bookmarkStart w:id="1312" w:name="_Toc185614115"/>
      <w:bookmarkStart w:id="1313" w:name="_Toc224237454"/>
      <w:bookmarkStart w:id="1314" w:name="_Toc178945074"/>
      <w:bookmarkStart w:id="1315" w:name="_Toc165626412"/>
      <w:bookmarkStart w:id="1316" w:name="_Toc165623631"/>
      <w:bookmarkStart w:id="1317" w:name="_Toc178942664"/>
      <w:bookmarkStart w:id="1318" w:name="_Toc178944322"/>
      <w:r>
        <w:t>Table 4.25</w:t>
      </w:r>
      <w:r w:rsidR="00E40740">
        <w:t>: Simple Linear Regression Findings for Green Training and Performance</w:t>
      </w:r>
      <w:bookmarkEnd w:id="1311"/>
      <w:bookmarkEnd w:id="1312"/>
      <w:bookmarkEnd w:id="1313"/>
      <w:r w:rsidR="00E40740">
        <w:t xml:space="preserve"> </w:t>
      </w:r>
      <w:bookmarkEnd w:id="1314"/>
      <w:bookmarkEnd w:id="1315"/>
      <w:bookmarkEnd w:id="1316"/>
      <w:bookmarkEnd w:id="1317"/>
      <w:bookmarkEnd w:id="1318"/>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60"/>
        <w:gridCol w:w="774"/>
        <w:gridCol w:w="1291"/>
        <w:gridCol w:w="2150"/>
        <w:gridCol w:w="3145"/>
      </w:tblGrid>
      <w:tr w:rsidR="009F33CD" w14:paraId="7207296D" w14:textId="77777777" w:rsidTr="00494588">
        <w:trPr>
          <w:cantSplit/>
          <w:trHeight w:val="203"/>
        </w:trPr>
        <w:tc>
          <w:tcPr>
            <w:tcW w:w="523" w:type="pct"/>
            <w:tcBorders>
              <w:top w:val="single" w:sz="4" w:space="0" w:color="auto"/>
              <w:bottom w:val="single" w:sz="4" w:space="0" w:color="auto"/>
            </w:tcBorders>
            <w:vAlign w:val="bottom"/>
          </w:tcPr>
          <w:p w14:paraId="7EFB6A00" w14:textId="77777777" w:rsidR="009F33CD" w:rsidRDefault="00E40740">
            <w:pPr>
              <w:spacing w:after="240" w:line="240" w:lineRule="auto"/>
              <w:rPr>
                <w:rFonts w:cs="Times New Roman"/>
                <w:b/>
                <w:bCs/>
              </w:rPr>
            </w:pPr>
            <w:r>
              <w:rPr>
                <w:rFonts w:cs="Times New Roman"/>
                <w:b/>
                <w:bCs/>
              </w:rPr>
              <w:t>Model</w:t>
            </w:r>
          </w:p>
        </w:tc>
        <w:tc>
          <w:tcPr>
            <w:tcW w:w="471" w:type="pct"/>
            <w:tcBorders>
              <w:top w:val="single" w:sz="4" w:space="0" w:color="auto"/>
              <w:bottom w:val="single" w:sz="4" w:space="0" w:color="auto"/>
            </w:tcBorders>
          </w:tcPr>
          <w:p w14:paraId="0E1E7D2F" w14:textId="77777777" w:rsidR="009F33CD" w:rsidRDefault="00E40740" w:rsidP="00494588">
            <w:pPr>
              <w:spacing w:after="240" w:line="240" w:lineRule="auto"/>
              <w:jc w:val="center"/>
              <w:rPr>
                <w:rFonts w:cs="Times New Roman"/>
                <w:b/>
                <w:bCs/>
              </w:rPr>
            </w:pPr>
            <w:r>
              <w:rPr>
                <w:rFonts w:cs="Times New Roman"/>
                <w:b/>
                <w:bCs/>
              </w:rPr>
              <w:t>R</w:t>
            </w:r>
          </w:p>
        </w:tc>
        <w:tc>
          <w:tcPr>
            <w:tcW w:w="785" w:type="pct"/>
            <w:tcBorders>
              <w:top w:val="single" w:sz="4" w:space="0" w:color="auto"/>
              <w:bottom w:val="single" w:sz="4" w:space="0" w:color="auto"/>
            </w:tcBorders>
          </w:tcPr>
          <w:p w14:paraId="42B53F3A" w14:textId="77777777" w:rsidR="009F33CD" w:rsidRDefault="00E40740" w:rsidP="00494588">
            <w:pPr>
              <w:spacing w:after="240" w:line="240" w:lineRule="auto"/>
              <w:jc w:val="center"/>
              <w:rPr>
                <w:rFonts w:cs="Times New Roman"/>
                <w:b/>
                <w:bCs/>
              </w:rPr>
            </w:pPr>
            <w:r>
              <w:rPr>
                <w:rFonts w:cs="Times New Roman"/>
                <w:b/>
                <w:bCs/>
              </w:rPr>
              <w:t>R Square</w:t>
            </w:r>
          </w:p>
        </w:tc>
        <w:tc>
          <w:tcPr>
            <w:tcW w:w="1308" w:type="pct"/>
            <w:tcBorders>
              <w:top w:val="single" w:sz="4" w:space="0" w:color="auto"/>
              <w:bottom w:val="single" w:sz="4" w:space="0" w:color="auto"/>
            </w:tcBorders>
          </w:tcPr>
          <w:p w14:paraId="3E477507" w14:textId="77777777" w:rsidR="009F33CD" w:rsidRDefault="00E40740" w:rsidP="00494588">
            <w:pPr>
              <w:spacing w:after="240" w:line="240" w:lineRule="auto"/>
              <w:jc w:val="center"/>
              <w:rPr>
                <w:rFonts w:cs="Times New Roman"/>
                <w:b/>
                <w:bCs/>
              </w:rPr>
            </w:pPr>
            <w:r>
              <w:rPr>
                <w:rFonts w:cs="Times New Roman"/>
                <w:b/>
                <w:bCs/>
              </w:rPr>
              <w:t>Adjusted R Square</w:t>
            </w:r>
          </w:p>
        </w:tc>
        <w:tc>
          <w:tcPr>
            <w:tcW w:w="1914" w:type="pct"/>
            <w:tcBorders>
              <w:top w:val="single" w:sz="4" w:space="0" w:color="auto"/>
              <w:bottom w:val="single" w:sz="4" w:space="0" w:color="auto"/>
            </w:tcBorders>
          </w:tcPr>
          <w:p w14:paraId="56616908" w14:textId="77777777" w:rsidR="009F33CD" w:rsidRDefault="00E40740" w:rsidP="00494588">
            <w:pPr>
              <w:spacing w:after="240" w:line="240" w:lineRule="auto"/>
              <w:jc w:val="center"/>
              <w:rPr>
                <w:rFonts w:cs="Times New Roman"/>
                <w:b/>
                <w:bCs/>
              </w:rPr>
            </w:pPr>
            <w:r>
              <w:rPr>
                <w:rFonts w:cs="Times New Roman"/>
                <w:b/>
                <w:bCs/>
              </w:rPr>
              <w:t>Std. Error of the Estimate</w:t>
            </w:r>
          </w:p>
        </w:tc>
      </w:tr>
      <w:tr w:rsidR="009F33CD" w14:paraId="5BCE9A1F" w14:textId="77777777" w:rsidTr="00494588">
        <w:trPr>
          <w:cantSplit/>
          <w:trHeight w:val="65"/>
        </w:trPr>
        <w:tc>
          <w:tcPr>
            <w:tcW w:w="523" w:type="pct"/>
            <w:tcBorders>
              <w:top w:val="single" w:sz="4" w:space="0" w:color="auto"/>
              <w:bottom w:val="single" w:sz="4" w:space="0" w:color="auto"/>
            </w:tcBorders>
            <w:shd w:val="clear" w:color="auto" w:fill="FFFFFF" w:themeFill="background1"/>
          </w:tcPr>
          <w:p w14:paraId="17CD2C6B" w14:textId="77777777" w:rsidR="009F33CD" w:rsidRDefault="00E40740">
            <w:pPr>
              <w:spacing w:after="240" w:line="240" w:lineRule="auto"/>
              <w:rPr>
                <w:rFonts w:cs="Times New Roman"/>
              </w:rPr>
            </w:pPr>
            <w:r>
              <w:rPr>
                <w:rFonts w:cs="Times New Roman"/>
              </w:rPr>
              <w:t>1</w:t>
            </w:r>
          </w:p>
        </w:tc>
        <w:tc>
          <w:tcPr>
            <w:tcW w:w="471" w:type="pct"/>
            <w:tcBorders>
              <w:top w:val="single" w:sz="4" w:space="0" w:color="auto"/>
              <w:bottom w:val="single" w:sz="4" w:space="0" w:color="auto"/>
            </w:tcBorders>
            <w:shd w:val="clear" w:color="auto" w:fill="FFFFFF" w:themeFill="background1"/>
          </w:tcPr>
          <w:p w14:paraId="352DB50D" w14:textId="77777777" w:rsidR="009F33CD" w:rsidRDefault="00E40740" w:rsidP="00494588">
            <w:pPr>
              <w:spacing w:after="240" w:line="240" w:lineRule="auto"/>
              <w:jc w:val="center"/>
              <w:rPr>
                <w:rFonts w:cs="Times New Roman"/>
              </w:rPr>
            </w:pPr>
            <w:r>
              <w:rPr>
                <w:rFonts w:cs="Times New Roman"/>
              </w:rPr>
              <w:t>.686</w:t>
            </w:r>
            <w:r>
              <w:rPr>
                <w:rFonts w:cs="Times New Roman"/>
                <w:vertAlign w:val="superscript"/>
              </w:rPr>
              <w:t>a</w:t>
            </w:r>
          </w:p>
        </w:tc>
        <w:tc>
          <w:tcPr>
            <w:tcW w:w="785" w:type="pct"/>
            <w:tcBorders>
              <w:top w:val="single" w:sz="4" w:space="0" w:color="auto"/>
              <w:bottom w:val="single" w:sz="4" w:space="0" w:color="auto"/>
            </w:tcBorders>
            <w:shd w:val="clear" w:color="auto" w:fill="FFFFFF" w:themeFill="background1"/>
          </w:tcPr>
          <w:p w14:paraId="358785B2" w14:textId="77777777" w:rsidR="009F33CD" w:rsidRDefault="00E40740" w:rsidP="00494588">
            <w:pPr>
              <w:spacing w:after="240" w:line="240" w:lineRule="auto"/>
              <w:jc w:val="center"/>
              <w:rPr>
                <w:rFonts w:cs="Times New Roman"/>
              </w:rPr>
            </w:pPr>
            <w:r>
              <w:rPr>
                <w:rFonts w:cs="Times New Roman"/>
              </w:rPr>
              <w:t>.471</w:t>
            </w:r>
          </w:p>
        </w:tc>
        <w:tc>
          <w:tcPr>
            <w:tcW w:w="1308" w:type="pct"/>
            <w:tcBorders>
              <w:top w:val="single" w:sz="4" w:space="0" w:color="auto"/>
              <w:bottom w:val="single" w:sz="4" w:space="0" w:color="auto"/>
            </w:tcBorders>
            <w:shd w:val="clear" w:color="auto" w:fill="FFFFFF" w:themeFill="background1"/>
          </w:tcPr>
          <w:p w14:paraId="2B20CC91" w14:textId="77777777" w:rsidR="009F33CD" w:rsidRDefault="00E40740" w:rsidP="00494588">
            <w:pPr>
              <w:spacing w:after="240" w:line="240" w:lineRule="auto"/>
              <w:jc w:val="center"/>
              <w:rPr>
                <w:rFonts w:cs="Times New Roman"/>
              </w:rPr>
            </w:pPr>
            <w:r>
              <w:rPr>
                <w:rFonts w:cs="Times New Roman"/>
              </w:rPr>
              <w:t>.466</w:t>
            </w:r>
          </w:p>
        </w:tc>
        <w:tc>
          <w:tcPr>
            <w:tcW w:w="1914" w:type="pct"/>
            <w:tcBorders>
              <w:top w:val="single" w:sz="4" w:space="0" w:color="auto"/>
              <w:bottom w:val="single" w:sz="4" w:space="0" w:color="auto"/>
            </w:tcBorders>
            <w:shd w:val="clear" w:color="auto" w:fill="FFFFFF" w:themeFill="background1"/>
          </w:tcPr>
          <w:p w14:paraId="2454946B" w14:textId="77777777" w:rsidR="009F33CD" w:rsidRDefault="00E40740" w:rsidP="00494588">
            <w:pPr>
              <w:spacing w:after="240" w:line="240" w:lineRule="auto"/>
              <w:jc w:val="center"/>
              <w:rPr>
                <w:rFonts w:cs="Times New Roman"/>
              </w:rPr>
            </w:pPr>
            <w:r>
              <w:rPr>
                <w:rFonts w:cs="Times New Roman"/>
              </w:rPr>
              <w:t>.67932</w:t>
            </w:r>
          </w:p>
        </w:tc>
      </w:tr>
      <w:tr w:rsidR="009F33CD" w14:paraId="0DBE5225" w14:textId="77777777">
        <w:trPr>
          <w:cantSplit/>
          <w:trHeight w:val="62"/>
        </w:trPr>
        <w:tc>
          <w:tcPr>
            <w:tcW w:w="5000" w:type="pct"/>
            <w:gridSpan w:val="5"/>
            <w:tcBorders>
              <w:top w:val="single" w:sz="4" w:space="0" w:color="auto"/>
              <w:bottom w:val="nil"/>
            </w:tcBorders>
            <w:shd w:val="clear" w:color="auto" w:fill="FFFFFF" w:themeFill="background1"/>
          </w:tcPr>
          <w:p w14:paraId="1FFB7B85" w14:textId="77777777" w:rsidR="009F33CD" w:rsidRDefault="00E40740">
            <w:pPr>
              <w:spacing w:before="0" w:beforeAutospacing="0" w:after="0" w:afterAutospacing="0" w:line="240" w:lineRule="auto"/>
              <w:rPr>
                <w:rFonts w:cs="Times New Roman"/>
              </w:rPr>
            </w:pPr>
            <w:r>
              <w:rPr>
                <w:rFonts w:cs="Times New Roman"/>
              </w:rPr>
              <w:t>a. Predictors: (Constant), Green Training</w:t>
            </w:r>
          </w:p>
        </w:tc>
      </w:tr>
    </w:tbl>
    <w:p w14:paraId="59620B17" w14:textId="77777777" w:rsidR="009F33CD" w:rsidRDefault="00494588">
      <w:pPr>
        <w:spacing w:after="240"/>
        <w:rPr>
          <w:rFonts w:cs="Times New Roman"/>
        </w:rPr>
      </w:pPr>
      <w:r>
        <w:rPr>
          <w:rFonts w:cs="Times New Roman"/>
        </w:rPr>
        <w:t>From the findings in Table 4.25</w:t>
      </w:r>
      <w:r w:rsidR="00E40740">
        <w:rPr>
          <w:rFonts w:cs="Times New Roman"/>
        </w:rPr>
        <w:t xml:space="preserve">, green training had an R squared of 0.471 which implies that 47.1% variations in the performance of devolved healthcare services are explained by green training. </w:t>
      </w:r>
      <w:bookmarkStart w:id="1319" w:name="_Hlk185244635"/>
      <w:r w:rsidR="00E40740">
        <w:rPr>
          <w:rFonts w:cs="Times New Roman"/>
        </w:rPr>
        <w:t>This finding implies that green training has a statistically significant effect on the performance of devolved healthcare services</w:t>
      </w:r>
      <w:bookmarkEnd w:id="1319"/>
      <w:r w:rsidR="00E40740">
        <w:rPr>
          <w:rFonts w:cs="Times New Roman"/>
        </w:rPr>
        <w:t xml:space="preserve">. This result is consistent with previous research by Bhutto and Auranzeb (2016), who found that green training and development significantly influenced organizational performance. The remaining 52.9% variations in the performance of devolved healthcare services could be explained by other green human resource management practices that were not included in the model. Additionally, trained healthcare professionals may experience increased job satisfaction and morale to contribute to the performance of devolved healthcare services and environmental sustainability. The adoption of green </w:t>
      </w:r>
      <w:r w:rsidR="00E40740">
        <w:rPr>
          <w:rFonts w:cs="Times New Roman"/>
        </w:rPr>
        <w:lastRenderedPageBreak/>
        <w:t>training could lead to a healthier environment, indirectly contributing to better public health outcomes by reducing pollution and promoting sustainable practices.</w:t>
      </w:r>
    </w:p>
    <w:p w14:paraId="21504D4B" w14:textId="77777777" w:rsidR="009F33CD" w:rsidRDefault="000748E0">
      <w:pPr>
        <w:pStyle w:val="Heading6"/>
      </w:pPr>
      <w:bookmarkStart w:id="1320" w:name="_Toc185614116"/>
      <w:bookmarkStart w:id="1321" w:name="_Toc187080888"/>
      <w:bookmarkStart w:id="1322" w:name="_Toc224237455"/>
      <w:bookmarkStart w:id="1323" w:name="_Toc165623632"/>
      <w:bookmarkStart w:id="1324" w:name="_Toc178944323"/>
      <w:bookmarkStart w:id="1325" w:name="_Toc178945075"/>
      <w:bookmarkStart w:id="1326" w:name="_Toc178942665"/>
      <w:bookmarkStart w:id="1327" w:name="_Toc165626413"/>
      <w:r>
        <w:t>Table 4.26</w:t>
      </w:r>
      <w:r w:rsidR="00E40740">
        <w:t>: Regression Coefficients for Green Training and Performance</w:t>
      </w:r>
      <w:bookmarkEnd w:id="1320"/>
      <w:bookmarkEnd w:id="1321"/>
      <w:bookmarkEnd w:id="1322"/>
      <w:r w:rsidR="00E40740">
        <w:t xml:space="preserve"> </w:t>
      </w:r>
      <w:bookmarkEnd w:id="1323"/>
      <w:bookmarkEnd w:id="1324"/>
      <w:bookmarkEnd w:id="1325"/>
      <w:bookmarkEnd w:id="1326"/>
      <w:bookmarkEnd w:id="1327"/>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74"/>
        <w:gridCol w:w="1085"/>
        <w:gridCol w:w="931"/>
        <w:gridCol w:w="1302"/>
        <w:gridCol w:w="1649"/>
        <w:gridCol w:w="1736"/>
        <w:gridCol w:w="843"/>
      </w:tblGrid>
      <w:tr w:rsidR="009F33CD" w14:paraId="09020475" w14:textId="77777777" w:rsidTr="00494588">
        <w:trPr>
          <w:cantSplit/>
          <w:trHeight w:val="359"/>
        </w:trPr>
        <w:tc>
          <w:tcPr>
            <w:tcW w:w="1070" w:type="pct"/>
            <w:gridSpan w:val="2"/>
            <w:vMerge w:val="restart"/>
          </w:tcPr>
          <w:p w14:paraId="20B20B38" w14:textId="77777777" w:rsidR="009F33CD" w:rsidRDefault="00E40740" w:rsidP="00494588">
            <w:pPr>
              <w:spacing w:before="0" w:beforeAutospacing="0" w:after="0" w:afterAutospacing="0" w:line="240" w:lineRule="auto"/>
              <w:jc w:val="left"/>
              <w:rPr>
                <w:rFonts w:cs="Times New Roman"/>
                <w:b/>
                <w:bCs/>
              </w:rPr>
            </w:pPr>
            <w:r>
              <w:rPr>
                <w:rFonts w:cs="Times New Roman"/>
                <w:b/>
                <w:bCs/>
              </w:rPr>
              <w:t>Model</w:t>
            </w:r>
          </w:p>
        </w:tc>
        <w:tc>
          <w:tcPr>
            <w:tcW w:w="1358" w:type="pct"/>
            <w:gridSpan w:val="2"/>
            <w:tcBorders>
              <w:bottom w:val="single" w:sz="4" w:space="0" w:color="auto"/>
            </w:tcBorders>
            <w:vAlign w:val="bottom"/>
          </w:tcPr>
          <w:p w14:paraId="69651611" w14:textId="77777777" w:rsidR="009F33CD" w:rsidRDefault="00E40740" w:rsidP="001E3129">
            <w:pPr>
              <w:spacing w:before="0" w:beforeAutospacing="0" w:after="0" w:afterAutospacing="0" w:line="240" w:lineRule="auto"/>
              <w:jc w:val="center"/>
              <w:rPr>
                <w:rFonts w:cs="Times New Roman"/>
                <w:b/>
                <w:bCs/>
              </w:rPr>
            </w:pPr>
            <w:r>
              <w:rPr>
                <w:rFonts w:cs="Times New Roman"/>
                <w:b/>
                <w:bCs/>
              </w:rPr>
              <w:t>Unstandardized Coefficients</w:t>
            </w:r>
          </w:p>
        </w:tc>
        <w:tc>
          <w:tcPr>
            <w:tcW w:w="1003" w:type="pct"/>
            <w:tcBorders>
              <w:bottom w:val="single" w:sz="4" w:space="0" w:color="auto"/>
            </w:tcBorders>
            <w:vAlign w:val="bottom"/>
          </w:tcPr>
          <w:p w14:paraId="660C8941" w14:textId="77777777" w:rsidR="009F33CD" w:rsidRDefault="00E40740" w:rsidP="001E3129">
            <w:pPr>
              <w:spacing w:before="0" w:beforeAutospacing="0" w:after="0" w:afterAutospacing="0" w:line="240" w:lineRule="auto"/>
              <w:jc w:val="center"/>
              <w:rPr>
                <w:rFonts w:cs="Times New Roman"/>
                <w:b/>
                <w:bCs/>
              </w:rPr>
            </w:pPr>
            <w:r>
              <w:rPr>
                <w:rFonts w:cs="Times New Roman"/>
                <w:b/>
                <w:bCs/>
              </w:rPr>
              <w:t>Standardized Coefficients</w:t>
            </w:r>
          </w:p>
        </w:tc>
        <w:tc>
          <w:tcPr>
            <w:tcW w:w="1056" w:type="pct"/>
            <w:vMerge w:val="restart"/>
          </w:tcPr>
          <w:p w14:paraId="09FA5EDB" w14:textId="77777777" w:rsidR="009F33CD" w:rsidRDefault="00E40740" w:rsidP="00494588">
            <w:pPr>
              <w:spacing w:before="0" w:beforeAutospacing="0" w:after="0" w:afterAutospacing="0" w:line="240" w:lineRule="auto"/>
              <w:jc w:val="center"/>
              <w:rPr>
                <w:rFonts w:cs="Times New Roman"/>
                <w:b/>
                <w:bCs/>
              </w:rPr>
            </w:pPr>
            <w:r>
              <w:rPr>
                <w:rFonts w:cs="Times New Roman"/>
                <w:b/>
                <w:bCs/>
              </w:rPr>
              <w:t>T</w:t>
            </w:r>
          </w:p>
        </w:tc>
        <w:tc>
          <w:tcPr>
            <w:tcW w:w="513" w:type="pct"/>
            <w:vMerge w:val="restart"/>
          </w:tcPr>
          <w:p w14:paraId="65159BAC" w14:textId="77777777" w:rsidR="009F33CD" w:rsidRDefault="00E40740" w:rsidP="00494588">
            <w:pPr>
              <w:spacing w:before="0" w:beforeAutospacing="0" w:after="0" w:afterAutospacing="0" w:line="240" w:lineRule="auto"/>
              <w:jc w:val="center"/>
              <w:rPr>
                <w:rFonts w:cs="Times New Roman"/>
                <w:b/>
                <w:bCs/>
              </w:rPr>
            </w:pPr>
            <w:r>
              <w:rPr>
                <w:rFonts w:cs="Times New Roman"/>
                <w:b/>
                <w:bCs/>
              </w:rPr>
              <w:t>Sig.</w:t>
            </w:r>
          </w:p>
        </w:tc>
      </w:tr>
      <w:tr w:rsidR="009F33CD" w14:paraId="5A5648AD" w14:textId="77777777" w:rsidTr="00494588">
        <w:trPr>
          <w:cantSplit/>
          <w:trHeight w:val="55"/>
        </w:trPr>
        <w:tc>
          <w:tcPr>
            <w:tcW w:w="1070" w:type="pct"/>
            <w:gridSpan w:val="2"/>
            <w:vMerge/>
            <w:tcBorders>
              <w:bottom w:val="single" w:sz="4" w:space="0" w:color="auto"/>
            </w:tcBorders>
            <w:vAlign w:val="bottom"/>
          </w:tcPr>
          <w:p w14:paraId="2D71B05B" w14:textId="77777777" w:rsidR="009F33CD" w:rsidRDefault="009F33CD">
            <w:pPr>
              <w:spacing w:before="0" w:beforeAutospacing="0" w:after="0" w:afterAutospacing="0" w:line="240" w:lineRule="auto"/>
              <w:rPr>
                <w:rFonts w:cs="Times New Roman"/>
                <w:b/>
                <w:bCs/>
              </w:rPr>
            </w:pPr>
          </w:p>
        </w:tc>
        <w:tc>
          <w:tcPr>
            <w:tcW w:w="566" w:type="pct"/>
            <w:tcBorders>
              <w:top w:val="single" w:sz="4" w:space="0" w:color="auto"/>
              <w:bottom w:val="single" w:sz="4" w:space="0" w:color="auto"/>
            </w:tcBorders>
            <w:vAlign w:val="bottom"/>
          </w:tcPr>
          <w:p w14:paraId="7D876135" w14:textId="77777777" w:rsidR="009F33CD" w:rsidRDefault="00E40740" w:rsidP="001E3129">
            <w:pPr>
              <w:spacing w:before="0" w:beforeAutospacing="0" w:after="0" w:afterAutospacing="0" w:line="240" w:lineRule="auto"/>
              <w:ind w:left="148"/>
              <w:jc w:val="center"/>
              <w:rPr>
                <w:rFonts w:cs="Times New Roman"/>
                <w:b/>
                <w:bCs/>
              </w:rPr>
            </w:pPr>
            <w:r>
              <w:rPr>
                <w:rFonts w:cs="Times New Roman"/>
                <w:b/>
                <w:bCs/>
              </w:rPr>
              <w:t>B</w:t>
            </w:r>
          </w:p>
        </w:tc>
        <w:tc>
          <w:tcPr>
            <w:tcW w:w="792" w:type="pct"/>
            <w:tcBorders>
              <w:top w:val="single" w:sz="4" w:space="0" w:color="auto"/>
              <w:bottom w:val="single" w:sz="4" w:space="0" w:color="auto"/>
            </w:tcBorders>
            <w:vAlign w:val="bottom"/>
          </w:tcPr>
          <w:p w14:paraId="4DA91967" w14:textId="77777777" w:rsidR="009F33CD" w:rsidRDefault="00E40740" w:rsidP="001E3129">
            <w:pPr>
              <w:spacing w:before="0" w:beforeAutospacing="0" w:after="0" w:afterAutospacing="0" w:line="240" w:lineRule="auto"/>
              <w:jc w:val="center"/>
              <w:rPr>
                <w:rFonts w:cs="Times New Roman"/>
                <w:b/>
                <w:bCs/>
              </w:rPr>
            </w:pPr>
            <w:r>
              <w:rPr>
                <w:rFonts w:cs="Times New Roman"/>
                <w:b/>
                <w:bCs/>
              </w:rPr>
              <w:t>Std. Error</w:t>
            </w:r>
          </w:p>
        </w:tc>
        <w:tc>
          <w:tcPr>
            <w:tcW w:w="1003" w:type="pct"/>
            <w:tcBorders>
              <w:top w:val="single" w:sz="4" w:space="0" w:color="auto"/>
              <w:bottom w:val="single" w:sz="4" w:space="0" w:color="auto"/>
            </w:tcBorders>
            <w:vAlign w:val="bottom"/>
          </w:tcPr>
          <w:p w14:paraId="6B4054AA" w14:textId="77777777" w:rsidR="009F33CD" w:rsidRDefault="00E40740" w:rsidP="001E3129">
            <w:pPr>
              <w:spacing w:before="0" w:beforeAutospacing="0" w:after="0" w:afterAutospacing="0" w:line="240" w:lineRule="auto"/>
              <w:jc w:val="center"/>
              <w:rPr>
                <w:rFonts w:cs="Times New Roman"/>
                <w:b/>
                <w:bCs/>
              </w:rPr>
            </w:pPr>
            <w:r>
              <w:rPr>
                <w:rFonts w:cs="Times New Roman"/>
                <w:b/>
                <w:bCs/>
              </w:rPr>
              <w:t>Beta</w:t>
            </w:r>
          </w:p>
        </w:tc>
        <w:tc>
          <w:tcPr>
            <w:tcW w:w="1056" w:type="pct"/>
            <w:vMerge/>
            <w:tcBorders>
              <w:bottom w:val="single" w:sz="4" w:space="0" w:color="auto"/>
            </w:tcBorders>
          </w:tcPr>
          <w:p w14:paraId="1DFCEC34" w14:textId="77777777" w:rsidR="009F33CD" w:rsidRDefault="009F33CD" w:rsidP="00494588">
            <w:pPr>
              <w:spacing w:before="0" w:beforeAutospacing="0" w:after="0" w:afterAutospacing="0" w:line="240" w:lineRule="auto"/>
              <w:jc w:val="center"/>
              <w:rPr>
                <w:rFonts w:cs="Times New Roman"/>
              </w:rPr>
            </w:pPr>
          </w:p>
        </w:tc>
        <w:tc>
          <w:tcPr>
            <w:tcW w:w="513" w:type="pct"/>
            <w:vMerge/>
            <w:tcBorders>
              <w:bottom w:val="single" w:sz="4" w:space="0" w:color="auto"/>
            </w:tcBorders>
          </w:tcPr>
          <w:p w14:paraId="0AFE56D8" w14:textId="77777777" w:rsidR="009F33CD" w:rsidRDefault="009F33CD" w:rsidP="00494588">
            <w:pPr>
              <w:spacing w:before="0" w:beforeAutospacing="0" w:after="0" w:afterAutospacing="0" w:line="240" w:lineRule="auto"/>
              <w:jc w:val="center"/>
              <w:rPr>
                <w:rFonts w:cs="Times New Roman"/>
              </w:rPr>
            </w:pPr>
          </w:p>
        </w:tc>
      </w:tr>
      <w:tr w:rsidR="009F33CD" w14:paraId="6FB6293A" w14:textId="77777777" w:rsidTr="00494588">
        <w:trPr>
          <w:cantSplit/>
          <w:trHeight w:val="45"/>
        </w:trPr>
        <w:tc>
          <w:tcPr>
            <w:tcW w:w="410" w:type="pct"/>
            <w:vMerge w:val="restart"/>
            <w:tcBorders>
              <w:top w:val="single" w:sz="4" w:space="0" w:color="auto"/>
              <w:bottom w:val="nil"/>
            </w:tcBorders>
          </w:tcPr>
          <w:p w14:paraId="3B2EF522" w14:textId="77777777" w:rsidR="009F33CD" w:rsidRDefault="00E40740">
            <w:pPr>
              <w:spacing w:before="0" w:beforeAutospacing="0" w:after="0" w:afterAutospacing="0" w:line="240" w:lineRule="auto"/>
              <w:rPr>
                <w:rFonts w:cs="Times New Roman"/>
              </w:rPr>
            </w:pPr>
            <w:r>
              <w:rPr>
                <w:rFonts w:cs="Times New Roman"/>
              </w:rPr>
              <w:t>1</w:t>
            </w:r>
          </w:p>
        </w:tc>
        <w:tc>
          <w:tcPr>
            <w:tcW w:w="660" w:type="pct"/>
            <w:tcBorders>
              <w:top w:val="single" w:sz="4" w:space="0" w:color="auto"/>
              <w:bottom w:val="nil"/>
            </w:tcBorders>
          </w:tcPr>
          <w:p w14:paraId="137EDC7E" w14:textId="77777777" w:rsidR="009F33CD" w:rsidRDefault="00E40740">
            <w:pPr>
              <w:spacing w:before="0" w:beforeAutospacing="0" w:after="0" w:afterAutospacing="0" w:line="240" w:lineRule="auto"/>
              <w:rPr>
                <w:rFonts w:cs="Times New Roman"/>
              </w:rPr>
            </w:pPr>
            <w:r>
              <w:rPr>
                <w:rFonts w:cs="Times New Roman"/>
              </w:rPr>
              <w:t>(Constant)</w:t>
            </w:r>
          </w:p>
        </w:tc>
        <w:tc>
          <w:tcPr>
            <w:tcW w:w="566" w:type="pct"/>
            <w:tcBorders>
              <w:top w:val="single" w:sz="4" w:space="0" w:color="auto"/>
              <w:bottom w:val="nil"/>
            </w:tcBorders>
          </w:tcPr>
          <w:p w14:paraId="04DD77AA" w14:textId="77777777" w:rsidR="009F33CD" w:rsidRDefault="00E40740" w:rsidP="001E3129">
            <w:pPr>
              <w:spacing w:before="0" w:beforeAutospacing="0" w:after="0" w:afterAutospacing="0" w:line="240" w:lineRule="auto"/>
              <w:jc w:val="center"/>
              <w:rPr>
                <w:rFonts w:cs="Times New Roman"/>
              </w:rPr>
            </w:pPr>
            <w:r>
              <w:rPr>
                <w:rFonts w:cs="Times New Roman"/>
              </w:rPr>
              <w:t>.816</w:t>
            </w:r>
          </w:p>
        </w:tc>
        <w:tc>
          <w:tcPr>
            <w:tcW w:w="792" w:type="pct"/>
            <w:tcBorders>
              <w:top w:val="single" w:sz="4" w:space="0" w:color="auto"/>
              <w:bottom w:val="nil"/>
            </w:tcBorders>
          </w:tcPr>
          <w:p w14:paraId="3F44567A" w14:textId="77777777" w:rsidR="009F33CD" w:rsidRDefault="00E40740" w:rsidP="001E3129">
            <w:pPr>
              <w:spacing w:before="0" w:beforeAutospacing="0" w:after="0" w:afterAutospacing="0" w:line="240" w:lineRule="auto"/>
              <w:jc w:val="center"/>
              <w:rPr>
                <w:rFonts w:cs="Times New Roman"/>
              </w:rPr>
            </w:pPr>
            <w:r>
              <w:rPr>
                <w:rFonts w:cs="Times New Roman"/>
              </w:rPr>
              <w:t>.261</w:t>
            </w:r>
          </w:p>
        </w:tc>
        <w:tc>
          <w:tcPr>
            <w:tcW w:w="1003" w:type="pct"/>
            <w:tcBorders>
              <w:top w:val="single" w:sz="4" w:space="0" w:color="auto"/>
              <w:bottom w:val="nil"/>
            </w:tcBorders>
            <w:vAlign w:val="center"/>
          </w:tcPr>
          <w:p w14:paraId="3BB6561F" w14:textId="77777777" w:rsidR="009F33CD" w:rsidRDefault="009F33CD" w:rsidP="001E3129">
            <w:pPr>
              <w:spacing w:before="0" w:beforeAutospacing="0" w:after="0" w:afterAutospacing="0" w:line="240" w:lineRule="auto"/>
              <w:jc w:val="center"/>
              <w:rPr>
                <w:rFonts w:cs="Times New Roman"/>
              </w:rPr>
            </w:pPr>
          </w:p>
        </w:tc>
        <w:tc>
          <w:tcPr>
            <w:tcW w:w="1056" w:type="pct"/>
            <w:tcBorders>
              <w:top w:val="single" w:sz="4" w:space="0" w:color="auto"/>
              <w:bottom w:val="nil"/>
            </w:tcBorders>
          </w:tcPr>
          <w:p w14:paraId="5D12A7E5" w14:textId="77777777" w:rsidR="009F33CD" w:rsidRDefault="00E40740" w:rsidP="00494588">
            <w:pPr>
              <w:spacing w:before="0" w:beforeAutospacing="0" w:after="0" w:afterAutospacing="0" w:line="240" w:lineRule="auto"/>
              <w:jc w:val="center"/>
              <w:rPr>
                <w:rFonts w:cs="Times New Roman"/>
              </w:rPr>
            </w:pPr>
            <w:r>
              <w:rPr>
                <w:rFonts w:cs="Times New Roman"/>
              </w:rPr>
              <w:t>3.125</w:t>
            </w:r>
          </w:p>
        </w:tc>
        <w:tc>
          <w:tcPr>
            <w:tcW w:w="513" w:type="pct"/>
            <w:tcBorders>
              <w:top w:val="single" w:sz="4" w:space="0" w:color="auto"/>
              <w:bottom w:val="nil"/>
            </w:tcBorders>
          </w:tcPr>
          <w:p w14:paraId="2FBFE4B8" w14:textId="77777777" w:rsidR="009F33CD" w:rsidRDefault="00E40740" w:rsidP="00494588">
            <w:pPr>
              <w:spacing w:before="0" w:beforeAutospacing="0" w:after="0" w:afterAutospacing="0" w:line="240" w:lineRule="auto"/>
              <w:jc w:val="center"/>
              <w:rPr>
                <w:rFonts w:cs="Times New Roman"/>
              </w:rPr>
            </w:pPr>
            <w:r>
              <w:rPr>
                <w:rFonts w:cs="Times New Roman"/>
              </w:rPr>
              <w:t>.002</w:t>
            </w:r>
          </w:p>
        </w:tc>
      </w:tr>
      <w:tr w:rsidR="009F33CD" w14:paraId="5593E3EA" w14:textId="77777777" w:rsidTr="00494588">
        <w:trPr>
          <w:cantSplit/>
          <w:trHeight w:val="55"/>
        </w:trPr>
        <w:tc>
          <w:tcPr>
            <w:tcW w:w="410" w:type="pct"/>
            <w:vMerge/>
            <w:tcBorders>
              <w:top w:val="nil"/>
              <w:bottom w:val="single" w:sz="4" w:space="0" w:color="auto"/>
            </w:tcBorders>
          </w:tcPr>
          <w:p w14:paraId="3A5893BA" w14:textId="77777777" w:rsidR="009F33CD" w:rsidRDefault="009F33CD">
            <w:pPr>
              <w:spacing w:before="0" w:beforeAutospacing="0" w:after="0" w:afterAutospacing="0" w:line="240" w:lineRule="auto"/>
              <w:rPr>
                <w:rFonts w:cs="Times New Roman"/>
              </w:rPr>
            </w:pPr>
          </w:p>
        </w:tc>
        <w:tc>
          <w:tcPr>
            <w:tcW w:w="660" w:type="pct"/>
            <w:tcBorders>
              <w:top w:val="nil"/>
              <w:bottom w:val="single" w:sz="4" w:space="0" w:color="auto"/>
            </w:tcBorders>
          </w:tcPr>
          <w:p w14:paraId="73281192" w14:textId="77777777" w:rsidR="009F33CD" w:rsidRDefault="00E40740">
            <w:pPr>
              <w:spacing w:before="0" w:beforeAutospacing="0" w:after="0" w:afterAutospacing="0" w:line="240" w:lineRule="auto"/>
              <w:rPr>
                <w:rFonts w:cs="Times New Roman"/>
              </w:rPr>
            </w:pPr>
            <w:r>
              <w:rPr>
                <w:rFonts w:cs="Times New Roman"/>
              </w:rPr>
              <w:t>X</w:t>
            </w:r>
            <w:r>
              <w:rPr>
                <w:rFonts w:cs="Times New Roman"/>
                <w:vertAlign w:val="subscript"/>
              </w:rPr>
              <w:t>2</w:t>
            </w:r>
          </w:p>
        </w:tc>
        <w:tc>
          <w:tcPr>
            <w:tcW w:w="566" w:type="pct"/>
            <w:tcBorders>
              <w:top w:val="nil"/>
              <w:bottom w:val="single" w:sz="4" w:space="0" w:color="auto"/>
            </w:tcBorders>
          </w:tcPr>
          <w:p w14:paraId="6337076C" w14:textId="77777777" w:rsidR="009F33CD" w:rsidRDefault="00E40740" w:rsidP="001E3129">
            <w:pPr>
              <w:spacing w:before="0" w:beforeAutospacing="0" w:after="0" w:afterAutospacing="0" w:line="240" w:lineRule="auto"/>
              <w:jc w:val="center"/>
              <w:rPr>
                <w:rFonts w:cs="Times New Roman"/>
              </w:rPr>
            </w:pPr>
            <w:r>
              <w:rPr>
                <w:rFonts w:cs="Times New Roman"/>
              </w:rPr>
              <w:t>.788</w:t>
            </w:r>
          </w:p>
        </w:tc>
        <w:tc>
          <w:tcPr>
            <w:tcW w:w="792" w:type="pct"/>
            <w:tcBorders>
              <w:top w:val="nil"/>
              <w:bottom w:val="single" w:sz="4" w:space="0" w:color="auto"/>
            </w:tcBorders>
          </w:tcPr>
          <w:p w14:paraId="51249DF7" w14:textId="77777777" w:rsidR="009F33CD" w:rsidRDefault="00E40740" w:rsidP="001E3129">
            <w:pPr>
              <w:spacing w:before="0" w:beforeAutospacing="0" w:after="0" w:afterAutospacing="0" w:line="240" w:lineRule="auto"/>
              <w:jc w:val="center"/>
              <w:rPr>
                <w:rFonts w:cs="Times New Roman"/>
              </w:rPr>
            </w:pPr>
            <w:r>
              <w:rPr>
                <w:rFonts w:cs="Times New Roman"/>
              </w:rPr>
              <w:t>.078</w:t>
            </w:r>
          </w:p>
        </w:tc>
        <w:tc>
          <w:tcPr>
            <w:tcW w:w="1003" w:type="pct"/>
            <w:tcBorders>
              <w:top w:val="nil"/>
              <w:bottom w:val="single" w:sz="4" w:space="0" w:color="auto"/>
            </w:tcBorders>
          </w:tcPr>
          <w:p w14:paraId="04CCDD82" w14:textId="77777777" w:rsidR="009F33CD" w:rsidRDefault="00E40740" w:rsidP="001E3129">
            <w:pPr>
              <w:spacing w:before="0" w:beforeAutospacing="0" w:after="0" w:afterAutospacing="0" w:line="240" w:lineRule="auto"/>
              <w:jc w:val="center"/>
              <w:rPr>
                <w:rFonts w:cs="Times New Roman"/>
              </w:rPr>
            </w:pPr>
            <w:r>
              <w:rPr>
                <w:rFonts w:cs="Times New Roman"/>
              </w:rPr>
              <w:t>.686</w:t>
            </w:r>
          </w:p>
        </w:tc>
        <w:tc>
          <w:tcPr>
            <w:tcW w:w="1056" w:type="pct"/>
            <w:tcBorders>
              <w:top w:val="nil"/>
              <w:bottom w:val="single" w:sz="4" w:space="0" w:color="auto"/>
            </w:tcBorders>
          </w:tcPr>
          <w:p w14:paraId="425A705C" w14:textId="77777777" w:rsidR="009F33CD" w:rsidRDefault="00E40740" w:rsidP="00494588">
            <w:pPr>
              <w:spacing w:before="0" w:beforeAutospacing="0" w:after="0" w:afterAutospacing="0" w:line="240" w:lineRule="auto"/>
              <w:jc w:val="center"/>
              <w:rPr>
                <w:rFonts w:cs="Times New Roman"/>
              </w:rPr>
            </w:pPr>
            <w:r>
              <w:rPr>
                <w:rFonts w:cs="Times New Roman"/>
              </w:rPr>
              <w:t>10.156</w:t>
            </w:r>
          </w:p>
        </w:tc>
        <w:tc>
          <w:tcPr>
            <w:tcW w:w="513" w:type="pct"/>
            <w:tcBorders>
              <w:top w:val="nil"/>
              <w:bottom w:val="single" w:sz="4" w:space="0" w:color="auto"/>
            </w:tcBorders>
          </w:tcPr>
          <w:p w14:paraId="229552BD" w14:textId="77777777" w:rsidR="009F33CD" w:rsidRDefault="00E40740" w:rsidP="00494588">
            <w:pPr>
              <w:spacing w:before="0" w:beforeAutospacing="0" w:after="0" w:afterAutospacing="0" w:line="240" w:lineRule="auto"/>
              <w:jc w:val="center"/>
              <w:rPr>
                <w:rFonts w:cs="Times New Roman"/>
              </w:rPr>
            </w:pPr>
            <w:r>
              <w:rPr>
                <w:rFonts w:cs="Times New Roman"/>
              </w:rPr>
              <w:t>.000</w:t>
            </w:r>
          </w:p>
        </w:tc>
      </w:tr>
      <w:tr w:rsidR="009F33CD" w14:paraId="5947027D" w14:textId="77777777">
        <w:trPr>
          <w:cantSplit/>
          <w:trHeight w:val="113"/>
        </w:trPr>
        <w:tc>
          <w:tcPr>
            <w:tcW w:w="5000" w:type="pct"/>
            <w:gridSpan w:val="7"/>
            <w:tcBorders>
              <w:top w:val="single" w:sz="4" w:space="0" w:color="auto"/>
              <w:bottom w:val="nil"/>
            </w:tcBorders>
          </w:tcPr>
          <w:p w14:paraId="259B7E3F" w14:textId="77777777" w:rsidR="009F33CD" w:rsidRDefault="00E40740">
            <w:pPr>
              <w:spacing w:before="0" w:beforeAutospacing="0" w:after="0" w:afterAutospacing="0" w:line="240" w:lineRule="auto"/>
              <w:rPr>
                <w:rFonts w:cs="Times New Roman"/>
              </w:rPr>
            </w:pPr>
            <w:r>
              <w:rPr>
                <w:rFonts w:cs="Times New Roman"/>
              </w:rPr>
              <w:t>a. Dependent Variable: performance of devolved healthcare services in Kenya</w:t>
            </w:r>
          </w:p>
        </w:tc>
      </w:tr>
    </w:tbl>
    <w:p w14:paraId="143759D1" w14:textId="77777777" w:rsidR="009F33CD" w:rsidRDefault="00E40740">
      <w:pPr>
        <w:spacing w:after="240"/>
        <w:rPr>
          <w:rFonts w:cs="Times New Roman"/>
        </w:rPr>
      </w:pPr>
      <w:r>
        <w:rPr>
          <w:rFonts w:cs="Times New Roman"/>
        </w:rPr>
        <w:t>From the regression coefficients shown in Table 4.2</w:t>
      </w:r>
      <w:r w:rsidR="00494588">
        <w:rPr>
          <w:rFonts w:cs="Times New Roman"/>
        </w:rPr>
        <w:t>6</w:t>
      </w:r>
      <w:r>
        <w:rPr>
          <w:rFonts w:cs="Times New Roman"/>
        </w:rPr>
        <w:t>, the findings revealed that there was a positive statistically significant relationship between green training and performance of devolved healthcare services as supported by a beta coefficient of β= 0.788 and a p=0.000&lt;0.05. Thus;</w:t>
      </w:r>
    </w:p>
    <w:p w14:paraId="2A7D69B0" w14:textId="77777777" w:rsidR="009F33CD" w:rsidRDefault="00E40740">
      <w:pPr>
        <w:spacing w:after="240"/>
        <w:jc w:val="right"/>
        <w:rPr>
          <w:rFonts w:cs="Times New Roman"/>
        </w:rPr>
      </w:pPr>
      <w:r>
        <w:rPr>
          <w:rFonts w:cs="Times New Roman"/>
        </w:rPr>
        <w:t>Y=0.816+0.788X</w:t>
      </w:r>
      <w:r>
        <w:rPr>
          <w:rFonts w:cs="Times New Roman"/>
          <w:vertAlign w:val="subscript"/>
        </w:rPr>
        <w:t>2</w:t>
      </w:r>
      <w:r>
        <w:rPr>
          <w:rFonts w:cs="Times New Roman"/>
        </w:rPr>
        <w:t xml:space="preserve"> …………………………………………………………. (eq. 2)</w:t>
      </w:r>
    </w:p>
    <w:p w14:paraId="284C58B6" w14:textId="77777777" w:rsidR="009F33CD" w:rsidRDefault="00E40740">
      <w:pPr>
        <w:spacing w:after="240"/>
        <w:rPr>
          <w:rFonts w:cs="Times New Roman"/>
        </w:rPr>
      </w:pPr>
      <w:r>
        <w:rPr>
          <w:rFonts w:cs="Times New Roman"/>
        </w:rPr>
        <w:t xml:space="preserve">The results imply that a unit increase in green training, </w:t>
      </w:r>
      <w:r>
        <w:rPr>
          <w:rFonts w:cs="Times New Roman"/>
          <w:lang w:val="en-US"/>
        </w:rPr>
        <w:t>while</w:t>
      </w:r>
      <w:r>
        <w:rPr>
          <w:rFonts w:cs="Times New Roman"/>
        </w:rPr>
        <w:t xml:space="preserve"> other factors </w:t>
      </w:r>
      <w:r>
        <w:rPr>
          <w:rFonts w:cs="Times New Roman"/>
          <w:lang w:val="en-US"/>
        </w:rPr>
        <w:t xml:space="preserve">are </w:t>
      </w:r>
      <w:r>
        <w:rPr>
          <w:rFonts w:cs="Times New Roman"/>
        </w:rPr>
        <w:t xml:space="preserve">held constant will increase the performance of devolved healthcare services in Kenya by 0.788 units. Further in support of the findings, t </w:t>
      </w:r>
      <w:r>
        <w:rPr>
          <w:rFonts w:cs="Times New Roman"/>
          <w:vertAlign w:val="subscript"/>
        </w:rPr>
        <w:t>cal</w:t>
      </w:r>
      <w:r>
        <w:rPr>
          <w:rFonts w:cs="Times New Roman"/>
        </w:rPr>
        <w:t xml:space="preserve">= 10.156&gt; t </w:t>
      </w:r>
      <w:r>
        <w:rPr>
          <w:rFonts w:cs="Times New Roman"/>
          <w:vertAlign w:val="subscript"/>
        </w:rPr>
        <w:t>critical</w:t>
      </w:r>
      <w:r>
        <w:rPr>
          <w:rFonts w:cs="Times New Roman"/>
        </w:rPr>
        <w:t xml:space="preserve"> =1.96 at a 95 percent confidence level, the null hypothesis (H</w:t>
      </w:r>
      <w:r>
        <w:rPr>
          <w:rFonts w:cs="Times New Roman"/>
          <w:vertAlign w:val="subscript"/>
        </w:rPr>
        <w:t>o2</w:t>
      </w:r>
      <w:r>
        <w:rPr>
          <w:rFonts w:cs="Times New Roman"/>
        </w:rPr>
        <w:t>) was rejected, and the alternative hypothesis was accepted.</w:t>
      </w:r>
      <w:r>
        <w:rPr>
          <w:rFonts w:cs="Times New Roman"/>
          <w:color w:val="000000"/>
          <w:szCs w:val="24"/>
        </w:rPr>
        <w:t xml:space="preserve"> The results, however, are not aligned with those of </w:t>
      </w:r>
      <w:r>
        <w:rPr>
          <w:rFonts w:cs="Times New Roman"/>
        </w:rPr>
        <w:t xml:space="preserve">Owino and Kwasira (2016) who found that employee green training and development programs indicated little effect on the sustainability of the environment. The results further agreed with that of Mandago (2019) who found that training and development practices had a significant positive influence on the environmental sustainability of service-based state corporations in Kenya. </w:t>
      </w:r>
    </w:p>
    <w:p w14:paraId="13F3F471" w14:textId="77777777" w:rsidR="009F33CD" w:rsidRDefault="00E40740">
      <w:pPr>
        <w:spacing w:after="240"/>
        <w:rPr>
          <w:rFonts w:cs="Times New Roman"/>
        </w:rPr>
      </w:pPr>
      <w:r>
        <w:rPr>
          <w:rFonts w:cs="Times New Roman"/>
        </w:rPr>
        <w:t xml:space="preserve">Analysis of Variance (ANOVA) was conducted to test the study hypothesis and thus establish whether the model was a significant fit for the data. From findings in Table 4.26, the study compared means using one-way ANOVA </w:t>
      </w:r>
      <w:bookmarkStart w:id="1328" w:name="_Hlk185191594"/>
      <w:r>
        <w:rPr>
          <w:rFonts w:cs="Times New Roman"/>
        </w:rPr>
        <w:t>and found significant differences in the means of different study variables; hence green training revealed a significant effect on the performance of devolved healthcare services F {(26, 91) = 7.650, p = 0.000}.</w:t>
      </w:r>
      <w:bookmarkEnd w:id="1328"/>
      <w:r>
        <w:rPr>
          <w:rFonts w:cs="Times New Roman"/>
        </w:rPr>
        <w:t xml:space="preserve"> </w:t>
      </w:r>
    </w:p>
    <w:p w14:paraId="10F560FB" w14:textId="77777777" w:rsidR="009F33CD" w:rsidRDefault="00E40740">
      <w:pPr>
        <w:spacing w:after="240"/>
        <w:rPr>
          <w:rFonts w:cs="Times New Roman"/>
        </w:rPr>
      </w:pPr>
      <w:r>
        <w:rPr>
          <w:rFonts w:cs="Times New Roman"/>
        </w:rPr>
        <w:lastRenderedPageBreak/>
        <w:t>This implies that GT practice significantly affected the performance of devolved healthcare services in Kenya. The null hypothesis (H</w:t>
      </w:r>
      <w:r>
        <w:rPr>
          <w:rFonts w:cs="Times New Roman"/>
          <w:vertAlign w:val="subscript"/>
        </w:rPr>
        <w:t>o2</w:t>
      </w:r>
      <w:r>
        <w:rPr>
          <w:rFonts w:cs="Times New Roman"/>
        </w:rPr>
        <w:t xml:space="preserve">) was, therefore, rejected and the alternative hypothesis was accepted. Thus; </w:t>
      </w:r>
    </w:p>
    <w:p w14:paraId="30962D10" w14:textId="77777777" w:rsidR="009F33CD" w:rsidRDefault="00E40740">
      <w:pPr>
        <w:spacing w:after="240"/>
        <w:rPr>
          <w:rFonts w:cs="Times New Roman"/>
        </w:rPr>
      </w:pPr>
      <w:r>
        <w:rPr>
          <w:rFonts w:cs="Times New Roman"/>
          <w:b/>
        </w:rPr>
        <w:t>H</w:t>
      </w:r>
      <w:r>
        <w:rPr>
          <w:rFonts w:cs="Times New Roman"/>
          <w:b/>
          <w:vertAlign w:val="subscript"/>
        </w:rPr>
        <w:t>2</w:t>
      </w:r>
      <w:r>
        <w:rPr>
          <w:rFonts w:cs="Times New Roman"/>
          <w:b/>
        </w:rPr>
        <w:t>:</w:t>
      </w:r>
      <w:r>
        <w:rPr>
          <w:rFonts w:cs="Times New Roman"/>
        </w:rPr>
        <w:t xml:space="preserve"> Green training has a statistically significant positive effect on the performance of devolved healthcare services in Kenya.</w:t>
      </w:r>
    </w:p>
    <w:p w14:paraId="0C4B9B47" w14:textId="77777777" w:rsidR="009F33CD" w:rsidRDefault="000748E0">
      <w:pPr>
        <w:pStyle w:val="Heading6"/>
      </w:pPr>
      <w:bookmarkStart w:id="1329" w:name="_Toc185614117"/>
      <w:bookmarkStart w:id="1330" w:name="_Toc187080889"/>
      <w:bookmarkStart w:id="1331" w:name="_Toc224237456"/>
      <w:bookmarkStart w:id="1332" w:name="_Toc147950248"/>
      <w:r>
        <w:t>Table 4.27</w:t>
      </w:r>
      <w:r w:rsidR="00E40740">
        <w:t>: One-Way ANOVA for Green Training</w:t>
      </w:r>
      <w:bookmarkEnd w:id="1329"/>
      <w:bookmarkEnd w:id="1330"/>
      <w:bookmarkEnd w:id="1331"/>
    </w:p>
    <w:tbl>
      <w:tblPr>
        <w:tblW w:w="4751"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3"/>
        <w:gridCol w:w="1773"/>
        <w:gridCol w:w="1692"/>
        <w:gridCol w:w="722"/>
        <w:gridCol w:w="1367"/>
        <w:gridCol w:w="1287"/>
        <w:gridCol w:w="487"/>
      </w:tblGrid>
      <w:tr w:rsidR="009F33CD" w14:paraId="05E3E06B" w14:textId="77777777">
        <w:trPr>
          <w:cantSplit/>
          <w:trHeight w:val="180"/>
        </w:trPr>
        <w:tc>
          <w:tcPr>
            <w:tcW w:w="1444" w:type="pct"/>
            <w:gridSpan w:val="2"/>
            <w:tcBorders>
              <w:top w:val="single" w:sz="4" w:space="0" w:color="auto"/>
              <w:bottom w:val="single" w:sz="4" w:space="0" w:color="auto"/>
            </w:tcBorders>
            <w:vAlign w:val="bottom"/>
          </w:tcPr>
          <w:p w14:paraId="4B90ABD0" w14:textId="77777777" w:rsidR="009F33CD" w:rsidRDefault="009F33CD">
            <w:pPr>
              <w:spacing w:before="0" w:beforeAutospacing="0" w:after="0" w:afterAutospacing="0" w:line="240" w:lineRule="auto"/>
              <w:rPr>
                <w:rFonts w:cs="Times New Roman"/>
                <w:b/>
              </w:rPr>
            </w:pPr>
          </w:p>
        </w:tc>
        <w:tc>
          <w:tcPr>
            <w:tcW w:w="1083" w:type="pct"/>
            <w:tcBorders>
              <w:top w:val="single" w:sz="4" w:space="0" w:color="auto"/>
              <w:bottom w:val="single" w:sz="4" w:space="0" w:color="auto"/>
            </w:tcBorders>
            <w:vAlign w:val="bottom"/>
          </w:tcPr>
          <w:p w14:paraId="081C2D2C" w14:textId="77777777" w:rsidR="009F33CD" w:rsidRDefault="00E40740">
            <w:pPr>
              <w:spacing w:before="0" w:beforeAutospacing="0" w:after="0" w:afterAutospacing="0" w:line="240" w:lineRule="auto"/>
              <w:rPr>
                <w:rFonts w:cs="Times New Roman"/>
                <w:b/>
              </w:rPr>
            </w:pPr>
            <w:r>
              <w:rPr>
                <w:rFonts w:cs="Times New Roman"/>
                <w:b/>
              </w:rPr>
              <w:t>Sum of Squares</w:t>
            </w:r>
          </w:p>
        </w:tc>
        <w:tc>
          <w:tcPr>
            <w:tcW w:w="462" w:type="pct"/>
            <w:tcBorders>
              <w:top w:val="single" w:sz="4" w:space="0" w:color="auto"/>
              <w:bottom w:val="single" w:sz="4" w:space="0" w:color="auto"/>
            </w:tcBorders>
            <w:vAlign w:val="bottom"/>
          </w:tcPr>
          <w:p w14:paraId="3BFDA5F6" w14:textId="77777777" w:rsidR="009F33CD" w:rsidRDefault="00E40740">
            <w:pPr>
              <w:spacing w:before="0" w:beforeAutospacing="0" w:after="0" w:afterAutospacing="0" w:line="240" w:lineRule="auto"/>
              <w:rPr>
                <w:rFonts w:cs="Times New Roman"/>
                <w:b/>
              </w:rPr>
            </w:pPr>
            <w:r>
              <w:rPr>
                <w:rFonts w:cs="Times New Roman"/>
                <w:b/>
              </w:rPr>
              <w:t xml:space="preserve">    Df</w:t>
            </w:r>
          </w:p>
        </w:tc>
        <w:tc>
          <w:tcPr>
            <w:tcW w:w="875" w:type="pct"/>
            <w:tcBorders>
              <w:top w:val="single" w:sz="4" w:space="0" w:color="auto"/>
              <w:bottom w:val="single" w:sz="4" w:space="0" w:color="auto"/>
            </w:tcBorders>
            <w:vAlign w:val="bottom"/>
          </w:tcPr>
          <w:p w14:paraId="0CD491F5" w14:textId="77777777" w:rsidR="009F33CD" w:rsidRDefault="00E40740">
            <w:pPr>
              <w:spacing w:before="0" w:beforeAutospacing="0" w:after="0" w:afterAutospacing="0" w:line="240" w:lineRule="auto"/>
              <w:rPr>
                <w:rFonts w:cs="Times New Roman"/>
                <w:b/>
              </w:rPr>
            </w:pPr>
            <w:r>
              <w:rPr>
                <w:rFonts w:cs="Times New Roman"/>
                <w:b/>
              </w:rPr>
              <w:t xml:space="preserve">Mean Square       </w:t>
            </w:r>
          </w:p>
        </w:tc>
        <w:tc>
          <w:tcPr>
            <w:tcW w:w="824" w:type="pct"/>
            <w:tcBorders>
              <w:top w:val="single" w:sz="4" w:space="0" w:color="auto"/>
              <w:bottom w:val="single" w:sz="4" w:space="0" w:color="auto"/>
            </w:tcBorders>
            <w:vAlign w:val="bottom"/>
          </w:tcPr>
          <w:p w14:paraId="51F01156" w14:textId="77777777" w:rsidR="009F33CD" w:rsidRDefault="00E40740">
            <w:pPr>
              <w:spacing w:before="0" w:beforeAutospacing="0" w:after="0" w:afterAutospacing="0" w:line="240" w:lineRule="auto"/>
              <w:rPr>
                <w:rFonts w:cs="Times New Roman"/>
                <w:b/>
              </w:rPr>
            </w:pPr>
            <w:r>
              <w:rPr>
                <w:rFonts w:cs="Times New Roman"/>
                <w:b/>
              </w:rPr>
              <w:t xml:space="preserve">        F</w:t>
            </w:r>
          </w:p>
        </w:tc>
        <w:tc>
          <w:tcPr>
            <w:tcW w:w="310" w:type="pct"/>
            <w:tcBorders>
              <w:top w:val="single" w:sz="4" w:space="0" w:color="auto"/>
              <w:bottom w:val="single" w:sz="4" w:space="0" w:color="auto"/>
            </w:tcBorders>
            <w:vAlign w:val="bottom"/>
          </w:tcPr>
          <w:p w14:paraId="01D5E5F7" w14:textId="77777777" w:rsidR="009F33CD" w:rsidRDefault="00E40740">
            <w:pPr>
              <w:spacing w:before="0" w:beforeAutospacing="0" w:after="0" w:afterAutospacing="0" w:line="240" w:lineRule="auto"/>
              <w:rPr>
                <w:rFonts w:cs="Times New Roman"/>
                <w:b/>
              </w:rPr>
            </w:pPr>
            <w:r>
              <w:rPr>
                <w:rFonts w:cs="Times New Roman"/>
                <w:b/>
              </w:rPr>
              <w:t>Sig.</w:t>
            </w:r>
          </w:p>
        </w:tc>
      </w:tr>
      <w:tr w:rsidR="009F33CD" w14:paraId="6A659599" w14:textId="77777777">
        <w:trPr>
          <w:cantSplit/>
          <w:trHeight w:val="185"/>
        </w:trPr>
        <w:tc>
          <w:tcPr>
            <w:tcW w:w="309" w:type="pct"/>
            <w:vMerge w:val="restart"/>
          </w:tcPr>
          <w:p w14:paraId="12251862" w14:textId="77777777" w:rsidR="009F33CD" w:rsidRDefault="00E40740">
            <w:pPr>
              <w:spacing w:before="0" w:beforeAutospacing="0" w:after="0" w:afterAutospacing="0" w:line="240" w:lineRule="auto"/>
              <w:rPr>
                <w:rFonts w:cs="Times New Roman"/>
                <w:bCs/>
              </w:rPr>
            </w:pPr>
            <w:r>
              <w:rPr>
                <w:rFonts w:cs="Times New Roman"/>
                <w:bCs/>
              </w:rPr>
              <w:t>X</w:t>
            </w:r>
            <w:r>
              <w:rPr>
                <w:rFonts w:cs="Times New Roman"/>
                <w:bCs/>
                <w:vertAlign w:val="subscript"/>
              </w:rPr>
              <w:t>2</w:t>
            </w:r>
          </w:p>
        </w:tc>
        <w:tc>
          <w:tcPr>
            <w:tcW w:w="1134" w:type="pct"/>
          </w:tcPr>
          <w:p w14:paraId="342511DA" w14:textId="77777777" w:rsidR="009F33CD" w:rsidRDefault="00E40740">
            <w:pPr>
              <w:spacing w:before="0" w:beforeAutospacing="0" w:after="0" w:afterAutospacing="0" w:line="240" w:lineRule="auto"/>
              <w:rPr>
                <w:rFonts w:cs="Times New Roman"/>
                <w:bCs/>
              </w:rPr>
            </w:pPr>
            <w:r>
              <w:rPr>
                <w:rFonts w:cs="Times New Roman"/>
                <w:bCs/>
              </w:rPr>
              <w:t>Between Groups</w:t>
            </w:r>
          </w:p>
        </w:tc>
        <w:tc>
          <w:tcPr>
            <w:tcW w:w="1083" w:type="pct"/>
          </w:tcPr>
          <w:p w14:paraId="0D2AB3E0" w14:textId="77777777" w:rsidR="009F33CD" w:rsidRDefault="00E40740">
            <w:pPr>
              <w:spacing w:before="0" w:beforeAutospacing="0" w:after="0" w:afterAutospacing="0" w:line="240" w:lineRule="auto"/>
              <w:jc w:val="center"/>
              <w:rPr>
                <w:rFonts w:cs="Times New Roman"/>
                <w:bCs/>
              </w:rPr>
            </w:pPr>
            <w:r>
              <w:rPr>
                <w:rFonts w:cs="Times New Roman"/>
                <w:bCs/>
              </w:rPr>
              <w:t>52.531</w:t>
            </w:r>
          </w:p>
        </w:tc>
        <w:tc>
          <w:tcPr>
            <w:tcW w:w="462" w:type="pct"/>
          </w:tcPr>
          <w:p w14:paraId="3A4341C6" w14:textId="77777777" w:rsidR="009F33CD" w:rsidRDefault="00E40740">
            <w:pPr>
              <w:spacing w:before="0" w:beforeAutospacing="0" w:after="0" w:afterAutospacing="0" w:line="240" w:lineRule="auto"/>
              <w:jc w:val="center"/>
              <w:rPr>
                <w:rFonts w:cs="Times New Roman"/>
                <w:bCs/>
              </w:rPr>
            </w:pPr>
            <w:r>
              <w:rPr>
                <w:rFonts w:cs="Times New Roman"/>
                <w:bCs/>
              </w:rPr>
              <w:t>26</w:t>
            </w:r>
          </w:p>
        </w:tc>
        <w:tc>
          <w:tcPr>
            <w:tcW w:w="875" w:type="pct"/>
          </w:tcPr>
          <w:p w14:paraId="413F1D43" w14:textId="77777777" w:rsidR="009F33CD" w:rsidRDefault="00E40740">
            <w:pPr>
              <w:spacing w:before="0" w:beforeAutospacing="0" w:after="0" w:afterAutospacing="0" w:line="240" w:lineRule="auto"/>
              <w:jc w:val="center"/>
              <w:rPr>
                <w:rFonts w:cs="Times New Roman"/>
                <w:bCs/>
              </w:rPr>
            </w:pPr>
            <w:r>
              <w:rPr>
                <w:rFonts w:cs="Times New Roman"/>
                <w:bCs/>
              </w:rPr>
              <w:t>2.020</w:t>
            </w:r>
          </w:p>
        </w:tc>
        <w:tc>
          <w:tcPr>
            <w:tcW w:w="824" w:type="pct"/>
          </w:tcPr>
          <w:p w14:paraId="2D526AB5" w14:textId="77777777" w:rsidR="009F33CD" w:rsidRDefault="00E40740">
            <w:pPr>
              <w:spacing w:before="0" w:beforeAutospacing="0" w:after="0" w:afterAutospacing="0" w:line="240" w:lineRule="auto"/>
              <w:jc w:val="center"/>
              <w:rPr>
                <w:rFonts w:cs="Times New Roman"/>
                <w:bCs/>
              </w:rPr>
            </w:pPr>
            <w:r>
              <w:rPr>
                <w:rFonts w:cs="Times New Roman"/>
                <w:bCs/>
              </w:rPr>
              <w:t>7.650</w:t>
            </w:r>
          </w:p>
        </w:tc>
        <w:tc>
          <w:tcPr>
            <w:tcW w:w="310" w:type="pct"/>
          </w:tcPr>
          <w:p w14:paraId="4DD473A6" w14:textId="77777777" w:rsidR="009F33CD" w:rsidRDefault="00E40740">
            <w:pPr>
              <w:spacing w:before="0" w:beforeAutospacing="0" w:after="0" w:afterAutospacing="0" w:line="240" w:lineRule="auto"/>
              <w:rPr>
                <w:rFonts w:cs="Times New Roman"/>
                <w:bCs/>
              </w:rPr>
            </w:pPr>
            <w:r>
              <w:rPr>
                <w:rFonts w:cs="Times New Roman"/>
                <w:bCs/>
              </w:rPr>
              <w:t>.000</w:t>
            </w:r>
          </w:p>
        </w:tc>
      </w:tr>
      <w:tr w:rsidR="009F33CD" w14:paraId="5F671ADE" w14:textId="77777777">
        <w:trPr>
          <w:cantSplit/>
          <w:trHeight w:val="88"/>
        </w:trPr>
        <w:tc>
          <w:tcPr>
            <w:tcW w:w="309" w:type="pct"/>
            <w:vMerge/>
            <w:tcBorders>
              <w:bottom w:val="single" w:sz="4" w:space="0" w:color="auto"/>
            </w:tcBorders>
          </w:tcPr>
          <w:p w14:paraId="5628F6CE" w14:textId="77777777" w:rsidR="009F33CD" w:rsidRDefault="009F33CD">
            <w:pPr>
              <w:spacing w:before="0" w:beforeAutospacing="0" w:after="0" w:afterAutospacing="0" w:line="240" w:lineRule="auto"/>
              <w:rPr>
                <w:rFonts w:cs="Times New Roman"/>
                <w:bCs/>
              </w:rPr>
            </w:pPr>
          </w:p>
        </w:tc>
        <w:tc>
          <w:tcPr>
            <w:tcW w:w="1134" w:type="pct"/>
            <w:tcBorders>
              <w:bottom w:val="single" w:sz="4" w:space="0" w:color="auto"/>
            </w:tcBorders>
          </w:tcPr>
          <w:p w14:paraId="7C913013" w14:textId="77777777" w:rsidR="009F33CD" w:rsidRDefault="00E40740">
            <w:pPr>
              <w:spacing w:before="0" w:beforeAutospacing="0" w:after="0" w:afterAutospacing="0" w:line="240" w:lineRule="auto"/>
              <w:rPr>
                <w:rFonts w:cs="Times New Roman"/>
                <w:bCs/>
              </w:rPr>
            </w:pPr>
            <w:r>
              <w:rPr>
                <w:rFonts w:cs="Times New Roman"/>
                <w:bCs/>
              </w:rPr>
              <w:t>Within Groups</w:t>
            </w:r>
          </w:p>
        </w:tc>
        <w:tc>
          <w:tcPr>
            <w:tcW w:w="1083" w:type="pct"/>
            <w:tcBorders>
              <w:bottom w:val="single" w:sz="4" w:space="0" w:color="auto"/>
            </w:tcBorders>
          </w:tcPr>
          <w:p w14:paraId="68EE30AD" w14:textId="77777777" w:rsidR="009F33CD" w:rsidRDefault="00E40740">
            <w:pPr>
              <w:spacing w:before="0" w:beforeAutospacing="0" w:after="0" w:afterAutospacing="0" w:line="240" w:lineRule="auto"/>
              <w:jc w:val="center"/>
              <w:rPr>
                <w:rFonts w:cs="Times New Roman"/>
                <w:bCs/>
              </w:rPr>
            </w:pPr>
            <w:r>
              <w:rPr>
                <w:rFonts w:cs="Times New Roman"/>
                <w:bCs/>
              </w:rPr>
              <w:t>24.035</w:t>
            </w:r>
          </w:p>
        </w:tc>
        <w:tc>
          <w:tcPr>
            <w:tcW w:w="462" w:type="pct"/>
            <w:tcBorders>
              <w:bottom w:val="single" w:sz="4" w:space="0" w:color="auto"/>
            </w:tcBorders>
          </w:tcPr>
          <w:p w14:paraId="14CE4CB8" w14:textId="77777777" w:rsidR="009F33CD" w:rsidRDefault="00E40740">
            <w:pPr>
              <w:spacing w:before="0" w:beforeAutospacing="0" w:after="0" w:afterAutospacing="0" w:line="240" w:lineRule="auto"/>
              <w:jc w:val="center"/>
              <w:rPr>
                <w:rFonts w:cs="Times New Roman"/>
                <w:bCs/>
              </w:rPr>
            </w:pPr>
            <w:r>
              <w:rPr>
                <w:rFonts w:cs="Times New Roman"/>
                <w:bCs/>
              </w:rPr>
              <w:t>91</w:t>
            </w:r>
          </w:p>
        </w:tc>
        <w:tc>
          <w:tcPr>
            <w:tcW w:w="875" w:type="pct"/>
            <w:tcBorders>
              <w:bottom w:val="single" w:sz="4" w:space="0" w:color="auto"/>
            </w:tcBorders>
          </w:tcPr>
          <w:p w14:paraId="4961E996" w14:textId="77777777" w:rsidR="009F33CD" w:rsidRDefault="00E40740">
            <w:pPr>
              <w:spacing w:before="0" w:beforeAutospacing="0" w:after="0" w:afterAutospacing="0" w:line="240" w:lineRule="auto"/>
              <w:jc w:val="center"/>
              <w:rPr>
                <w:rFonts w:cs="Times New Roman"/>
                <w:bCs/>
              </w:rPr>
            </w:pPr>
            <w:r>
              <w:rPr>
                <w:rFonts w:cs="Times New Roman"/>
                <w:bCs/>
              </w:rPr>
              <w:t>.264</w:t>
            </w:r>
          </w:p>
        </w:tc>
        <w:tc>
          <w:tcPr>
            <w:tcW w:w="824" w:type="pct"/>
            <w:tcBorders>
              <w:bottom w:val="single" w:sz="4" w:space="0" w:color="auto"/>
            </w:tcBorders>
            <w:vAlign w:val="center"/>
          </w:tcPr>
          <w:p w14:paraId="4C4B08EA" w14:textId="77777777" w:rsidR="009F33CD" w:rsidRDefault="009F33CD">
            <w:pPr>
              <w:spacing w:before="0" w:beforeAutospacing="0" w:after="0" w:afterAutospacing="0" w:line="240" w:lineRule="auto"/>
              <w:jc w:val="center"/>
              <w:rPr>
                <w:rFonts w:cs="Times New Roman"/>
                <w:bCs/>
              </w:rPr>
            </w:pPr>
          </w:p>
        </w:tc>
        <w:tc>
          <w:tcPr>
            <w:tcW w:w="310" w:type="pct"/>
            <w:tcBorders>
              <w:bottom w:val="single" w:sz="4" w:space="0" w:color="auto"/>
            </w:tcBorders>
            <w:vAlign w:val="center"/>
          </w:tcPr>
          <w:p w14:paraId="75A1E8A6" w14:textId="77777777" w:rsidR="009F33CD" w:rsidRDefault="009F33CD">
            <w:pPr>
              <w:spacing w:before="0" w:beforeAutospacing="0" w:after="0" w:afterAutospacing="0" w:line="240" w:lineRule="auto"/>
              <w:rPr>
                <w:rFonts w:cs="Times New Roman"/>
                <w:bCs/>
              </w:rPr>
            </w:pPr>
          </w:p>
        </w:tc>
      </w:tr>
      <w:tr w:rsidR="009F33CD" w14:paraId="43ACECB7" w14:textId="77777777">
        <w:trPr>
          <w:cantSplit/>
          <w:trHeight w:val="88"/>
        </w:trPr>
        <w:tc>
          <w:tcPr>
            <w:tcW w:w="5000" w:type="pct"/>
            <w:gridSpan w:val="7"/>
            <w:tcBorders>
              <w:top w:val="single" w:sz="4" w:space="0" w:color="auto"/>
              <w:bottom w:val="nil"/>
            </w:tcBorders>
          </w:tcPr>
          <w:p w14:paraId="117EAC84" w14:textId="77777777" w:rsidR="009F33CD" w:rsidRDefault="00E40740">
            <w:pPr>
              <w:spacing w:before="0" w:beforeAutospacing="0" w:after="0" w:afterAutospacing="0" w:line="240" w:lineRule="auto"/>
              <w:rPr>
                <w:rFonts w:cs="Times New Roman"/>
                <w:bCs/>
              </w:rPr>
            </w:pPr>
            <w:r>
              <w:rPr>
                <w:rFonts w:cs="Times New Roman"/>
              </w:rPr>
              <w:t>X</w:t>
            </w:r>
            <w:r>
              <w:rPr>
                <w:rFonts w:cs="Times New Roman"/>
                <w:vertAlign w:val="subscript"/>
              </w:rPr>
              <w:t>2</w:t>
            </w:r>
            <w:r>
              <w:rPr>
                <w:rFonts w:cs="Times New Roman"/>
              </w:rPr>
              <w:t xml:space="preserve"> = Green Training </w:t>
            </w:r>
          </w:p>
        </w:tc>
      </w:tr>
    </w:tbl>
    <w:p w14:paraId="5C01FB20" w14:textId="77777777" w:rsidR="009F33CD" w:rsidRDefault="00E40740">
      <w:pPr>
        <w:pStyle w:val="Heading2"/>
        <w:rPr>
          <w:lang w:val="en-GB"/>
        </w:rPr>
      </w:pPr>
      <w:bookmarkStart w:id="1333" w:name="_Toc224237745"/>
      <w:r>
        <w:rPr>
          <w:lang w:val="en-GB"/>
        </w:rPr>
        <w:t>4.8 Findings for Green Occupational Safety, Health, and Performance</w:t>
      </w:r>
      <w:bookmarkEnd w:id="1333"/>
      <w:r>
        <w:rPr>
          <w:lang w:val="en-GB"/>
        </w:rPr>
        <w:t xml:space="preserve"> </w:t>
      </w:r>
    </w:p>
    <w:p w14:paraId="530BE1E0" w14:textId="77777777" w:rsidR="009F33CD" w:rsidRDefault="00E40740">
      <w:pPr>
        <w:spacing w:before="240"/>
      </w:pPr>
      <w:r>
        <w:t xml:space="preserve">The third objective of the study was to examine the effect of green occupational safety and health on the performance of devolved healthcare services in Kenya. The findings for green occupational safety and health (GOSH) on the performance of devolved healthcare services are presented in this section starting with descriptive Statistical findings, Correlation Analysis Findings, Simple Linear Regression Findings, and finally analysis of variance findings (ANOVA). </w:t>
      </w:r>
    </w:p>
    <w:p w14:paraId="09E533C2" w14:textId="77777777" w:rsidR="009F33CD" w:rsidRDefault="00E40740">
      <w:pPr>
        <w:pStyle w:val="Heading3"/>
      </w:pPr>
      <w:bookmarkStart w:id="1334" w:name="_Toc188130646"/>
      <w:bookmarkStart w:id="1335" w:name="_Toc188443993"/>
      <w:bookmarkStart w:id="1336" w:name="_Toc178945077"/>
      <w:bookmarkStart w:id="1337" w:name="_Toc185614119"/>
      <w:bookmarkStart w:id="1338" w:name="_Toc178942667"/>
      <w:bookmarkStart w:id="1339" w:name="_Toc187080891"/>
      <w:bookmarkStart w:id="1340" w:name="_Toc165626415"/>
      <w:bookmarkStart w:id="1341" w:name="_Toc165623634"/>
      <w:bookmarkStart w:id="1342" w:name="_Toc178944325"/>
      <w:bookmarkStart w:id="1343" w:name="_Toc188442619"/>
      <w:bookmarkStart w:id="1344" w:name="_Toc224160683"/>
      <w:bookmarkStart w:id="1345" w:name="_Toc224237746"/>
      <w:r>
        <w:t>4.8.1 Descriptive Statistical Findings for Green Occupational Safety and Health</w:t>
      </w:r>
      <w:bookmarkEnd w:id="1334"/>
      <w:bookmarkEnd w:id="1335"/>
      <w:bookmarkEnd w:id="1336"/>
      <w:bookmarkEnd w:id="1337"/>
      <w:bookmarkEnd w:id="1338"/>
      <w:bookmarkEnd w:id="1339"/>
      <w:bookmarkEnd w:id="1340"/>
      <w:bookmarkEnd w:id="1341"/>
      <w:bookmarkEnd w:id="1342"/>
      <w:bookmarkEnd w:id="1343"/>
      <w:bookmarkEnd w:id="1344"/>
      <w:bookmarkEnd w:id="1345"/>
    </w:p>
    <w:bookmarkEnd w:id="1332"/>
    <w:p w14:paraId="38FF43BD" w14:textId="77777777" w:rsidR="009F33CD" w:rsidRDefault="00E40740">
      <w:pPr>
        <w:autoSpaceDE/>
        <w:autoSpaceDN/>
        <w:adjustRightInd/>
        <w:spacing w:before="240" w:after="200"/>
      </w:pPr>
      <w:r>
        <w:rPr>
          <w:rFonts w:eastAsia="TimesNewRomanPSMT"/>
        </w:rPr>
        <w:t>Green occupational safety and health in devolved healthcare services is an important component of traditional HRM practices. It affects the level at which the hospital can provide employee safety and health to improve performance while being sensitive to the environment. T</w:t>
      </w:r>
      <w:r>
        <w:rPr>
          <w:rFonts w:cs="Times New Roman"/>
          <w:bCs/>
          <w:szCs w:val="24"/>
        </w:rPr>
        <w:t xml:space="preserve">he respondents were requested to provide their honest opinion on the following GOSH statements based on the </w:t>
      </w:r>
      <w:r>
        <w:t>scale of: 1- Strongly Disagree (SD); 2- Disagree (D); 3- Undecided (UD); 4- Agree (A); and 5- Strongly Agree (SA). The results were analyzed and presented in the f</w:t>
      </w:r>
      <w:r w:rsidR="00494588">
        <w:t>orm of percentages in Table 4.27</w:t>
      </w:r>
      <w:r>
        <w:t xml:space="preserve">. The mean (M) was reported as a measure of central tendency and standard deviation (Sd) was reported as a measure of variability from the average or mean (dispersion).  </w:t>
      </w:r>
    </w:p>
    <w:p w14:paraId="33D66E38" w14:textId="77777777" w:rsidR="009F33CD" w:rsidRDefault="00E40740">
      <w:pPr>
        <w:pStyle w:val="Heading6"/>
        <w:rPr>
          <w:rFonts w:eastAsia="Calibri"/>
        </w:rPr>
      </w:pPr>
      <w:bookmarkStart w:id="1346" w:name="_Toc185614120"/>
      <w:bookmarkStart w:id="1347" w:name="_Toc187080892"/>
      <w:bookmarkStart w:id="1348" w:name="_Toc224237457"/>
      <w:bookmarkStart w:id="1349" w:name="_Toc178944326"/>
      <w:bookmarkStart w:id="1350" w:name="_Toc178945078"/>
      <w:bookmarkStart w:id="1351" w:name="_Toc178942668"/>
      <w:r>
        <w:rPr>
          <w:rFonts w:eastAsia="Calibri"/>
        </w:rPr>
        <w:lastRenderedPageBreak/>
        <w:t>Table</w:t>
      </w:r>
      <w:r w:rsidR="000748E0">
        <w:rPr>
          <w:rFonts w:eastAsia="Calibri"/>
        </w:rPr>
        <w:t xml:space="preserve"> 4.28</w:t>
      </w:r>
      <w:r>
        <w:rPr>
          <w:rFonts w:eastAsia="Calibri"/>
        </w:rPr>
        <w:t>: Descriptive Statistical Findings for Green Occupational Safety and Health</w:t>
      </w:r>
      <w:bookmarkEnd w:id="1346"/>
      <w:bookmarkEnd w:id="1347"/>
      <w:bookmarkEnd w:id="1348"/>
      <w:r>
        <w:rPr>
          <w:rFonts w:eastAsia="Calibri"/>
        </w:rPr>
        <w:t xml:space="preserve"> </w:t>
      </w:r>
      <w:bookmarkEnd w:id="1349"/>
      <w:bookmarkEnd w:id="1350"/>
      <w:bookmarkEnd w:id="1351"/>
    </w:p>
    <w:tbl>
      <w:tblPr>
        <w:tblStyle w:val="TableGrid0"/>
        <w:tblW w:w="5000" w:type="pct"/>
        <w:tblInd w:w="0" w:type="dxa"/>
        <w:tblBorders>
          <w:top w:val="single" w:sz="4" w:space="0" w:color="auto"/>
          <w:bottom w:val="single" w:sz="4" w:space="0" w:color="auto"/>
        </w:tblBorders>
        <w:tblLook w:val="04A0" w:firstRow="1" w:lastRow="0" w:firstColumn="1" w:lastColumn="0" w:noHBand="0" w:noVBand="1"/>
      </w:tblPr>
      <w:tblGrid>
        <w:gridCol w:w="4052"/>
        <w:gridCol w:w="651"/>
        <w:gridCol w:w="574"/>
        <w:gridCol w:w="669"/>
        <w:gridCol w:w="669"/>
        <w:gridCol w:w="669"/>
        <w:gridCol w:w="510"/>
        <w:gridCol w:w="426"/>
      </w:tblGrid>
      <w:tr w:rsidR="009F33CD" w:rsidRPr="00177B68" w14:paraId="48E01D0D" w14:textId="77777777">
        <w:trPr>
          <w:trHeight w:val="289"/>
        </w:trPr>
        <w:tc>
          <w:tcPr>
            <w:tcW w:w="2463" w:type="pct"/>
            <w:tcBorders>
              <w:top w:val="single" w:sz="4" w:space="0" w:color="auto"/>
              <w:bottom w:val="single" w:sz="4" w:space="0" w:color="auto"/>
            </w:tcBorders>
          </w:tcPr>
          <w:p w14:paraId="444F3BE7"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b/>
                <w:sz w:val="20"/>
                <w:szCs w:val="20"/>
              </w:rPr>
              <w:t xml:space="preserve">GOSH Statements   </w:t>
            </w:r>
          </w:p>
        </w:tc>
        <w:tc>
          <w:tcPr>
            <w:tcW w:w="396" w:type="pct"/>
            <w:tcBorders>
              <w:top w:val="single" w:sz="4" w:space="0" w:color="auto"/>
              <w:bottom w:val="single" w:sz="4" w:space="0" w:color="auto"/>
            </w:tcBorders>
          </w:tcPr>
          <w:p w14:paraId="2EB9D36D"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b/>
                <w:sz w:val="20"/>
                <w:szCs w:val="20"/>
              </w:rPr>
              <w:t>1</w:t>
            </w:r>
          </w:p>
        </w:tc>
        <w:tc>
          <w:tcPr>
            <w:tcW w:w="349" w:type="pct"/>
            <w:tcBorders>
              <w:top w:val="single" w:sz="4" w:space="0" w:color="auto"/>
              <w:bottom w:val="single" w:sz="4" w:space="0" w:color="auto"/>
            </w:tcBorders>
          </w:tcPr>
          <w:p w14:paraId="29F0D384"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b/>
                <w:sz w:val="20"/>
                <w:szCs w:val="20"/>
              </w:rPr>
              <w:t>2</w:t>
            </w:r>
          </w:p>
        </w:tc>
        <w:tc>
          <w:tcPr>
            <w:tcW w:w="407" w:type="pct"/>
            <w:tcBorders>
              <w:top w:val="single" w:sz="4" w:space="0" w:color="auto"/>
              <w:bottom w:val="single" w:sz="4" w:space="0" w:color="auto"/>
            </w:tcBorders>
          </w:tcPr>
          <w:p w14:paraId="16EF3D68"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b/>
                <w:sz w:val="20"/>
                <w:szCs w:val="20"/>
              </w:rPr>
              <w:t>3</w:t>
            </w:r>
          </w:p>
        </w:tc>
        <w:tc>
          <w:tcPr>
            <w:tcW w:w="407" w:type="pct"/>
            <w:tcBorders>
              <w:top w:val="single" w:sz="4" w:space="0" w:color="auto"/>
              <w:bottom w:val="single" w:sz="4" w:space="0" w:color="auto"/>
            </w:tcBorders>
          </w:tcPr>
          <w:p w14:paraId="73137913"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b/>
                <w:sz w:val="20"/>
                <w:szCs w:val="20"/>
              </w:rPr>
              <w:t>4</w:t>
            </w:r>
          </w:p>
        </w:tc>
        <w:tc>
          <w:tcPr>
            <w:tcW w:w="407" w:type="pct"/>
            <w:tcBorders>
              <w:top w:val="single" w:sz="4" w:space="0" w:color="auto"/>
              <w:bottom w:val="single" w:sz="4" w:space="0" w:color="auto"/>
            </w:tcBorders>
          </w:tcPr>
          <w:p w14:paraId="4D18B3E1"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b/>
                <w:sz w:val="20"/>
                <w:szCs w:val="20"/>
              </w:rPr>
              <w:t xml:space="preserve">5 </w:t>
            </w:r>
          </w:p>
        </w:tc>
        <w:tc>
          <w:tcPr>
            <w:tcW w:w="310" w:type="pct"/>
            <w:tcBorders>
              <w:top w:val="single" w:sz="4" w:space="0" w:color="auto"/>
              <w:bottom w:val="single" w:sz="4" w:space="0" w:color="auto"/>
            </w:tcBorders>
          </w:tcPr>
          <w:p w14:paraId="47B9A0D2"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b/>
                <w:sz w:val="20"/>
                <w:szCs w:val="20"/>
              </w:rPr>
              <w:t xml:space="preserve">M </w:t>
            </w:r>
          </w:p>
        </w:tc>
        <w:tc>
          <w:tcPr>
            <w:tcW w:w="259" w:type="pct"/>
            <w:tcBorders>
              <w:top w:val="single" w:sz="4" w:space="0" w:color="auto"/>
              <w:bottom w:val="single" w:sz="4" w:space="0" w:color="auto"/>
            </w:tcBorders>
          </w:tcPr>
          <w:p w14:paraId="375B6936"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b/>
                <w:sz w:val="20"/>
                <w:szCs w:val="20"/>
              </w:rPr>
              <w:t xml:space="preserve">Sd </w:t>
            </w:r>
          </w:p>
        </w:tc>
      </w:tr>
      <w:tr w:rsidR="009F33CD" w:rsidRPr="00177B68" w14:paraId="06D4E503" w14:textId="77777777">
        <w:trPr>
          <w:trHeight w:val="691"/>
        </w:trPr>
        <w:tc>
          <w:tcPr>
            <w:tcW w:w="2463" w:type="pct"/>
            <w:tcBorders>
              <w:top w:val="single" w:sz="4" w:space="0" w:color="auto"/>
            </w:tcBorders>
          </w:tcPr>
          <w:p w14:paraId="58C74CCB"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Green occupational safety and health management system reduce accidents and injuries and boost hospital performance. </w:t>
            </w:r>
          </w:p>
        </w:tc>
        <w:tc>
          <w:tcPr>
            <w:tcW w:w="396" w:type="pct"/>
            <w:tcBorders>
              <w:top w:val="single" w:sz="4" w:space="0" w:color="auto"/>
            </w:tcBorders>
          </w:tcPr>
          <w:p w14:paraId="70D9F61D"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1.8%</w:t>
            </w:r>
          </w:p>
        </w:tc>
        <w:tc>
          <w:tcPr>
            <w:tcW w:w="349" w:type="pct"/>
            <w:tcBorders>
              <w:top w:val="single" w:sz="4" w:space="0" w:color="auto"/>
            </w:tcBorders>
          </w:tcPr>
          <w:p w14:paraId="74C3A5BA"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1.5%</w:t>
            </w:r>
          </w:p>
        </w:tc>
        <w:tc>
          <w:tcPr>
            <w:tcW w:w="407" w:type="pct"/>
            <w:tcBorders>
              <w:top w:val="single" w:sz="4" w:space="0" w:color="auto"/>
            </w:tcBorders>
          </w:tcPr>
          <w:p w14:paraId="10B9BFB1"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10.2%</w:t>
            </w:r>
          </w:p>
        </w:tc>
        <w:tc>
          <w:tcPr>
            <w:tcW w:w="407" w:type="pct"/>
            <w:tcBorders>
              <w:top w:val="single" w:sz="4" w:space="0" w:color="auto"/>
            </w:tcBorders>
          </w:tcPr>
          <w:p w14:paraId="40FBAB2A"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54.2%</w:t>
            </w:r>
          </w:p>
        </w:tc>
        <w:tc>
          <w:tcPr>
            <w:tcW w:w="407" w:type="pct"/>
            <w:tcBorders>
              <w:top w:val="single" w:sz="4" w:space="0" w:color="auto"/>
            </w:tcBorders>
          </w:tcPr>
          <w:p w14:paraId="11E23723"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32.2% </w:t>
            </w:r>
          </w:p>
        </w:tc>
        <w:tc>
          <w:tcPr>
            <w:tcW w:w="310" w:type="pct"/>
            <w:tcBorders>
              <w:top w:val="single" w:sz="4" w:space="0" w:color="auto"/>
            </w:tcBorders>
          </w:tcPr>
          <w:p w14:paraId="2E69FB21"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4.14</w:t>
            </w:r>
          </w:p>
        </w:tc>
        <w:tc>
          <w:tcPr>
            <w:tcW w:w="259" w:type="pct"/>
            <w:tcBorders>
              <w:top w:val="single" w:sz="4" w:space="0" w:color="auto"/>
            </w:tcBorders>
          </w:tcPr>
          <w:p w14:paraId="32D3EA6B"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0.77</w:t>
            </w:r>
          </w:p>
        </w:tc>
      </w:tr>
      <w:tr w:rsidR="009F33CD" w:rsidRPr="00177B68" w14:paraId="6437E3D9" w14:textId="77777777">
        <w:trPr>
          <w:trHeight w:val="331"/>
        </w:trPr>
        <w:tc>
          <w:tcPr>
            <w:tcW w:w="2463" w:type="pct"/>
          </w:tcPr>
          <w:p w14:paraId="30626B46"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Paperless offices are encouraged in the hospital to create a clean and safe work environment. </w:t>
            </w:r>
          </w:p>
        </w:tc>
        <w:tc>
          <w:tcPr>
            <w:tcW w:w="396" w:type="pct"/>
          </w:tcPr>
          <w:p w14:paraId="4ABA255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1.2%</w:t>
            </w:r>
          </w:p>
        </w:tc>
        <w:tc>
          <w:tcPr>
            <w:tcW w:w="349" w:type="pct"/>
          </w:tcPr>
          <w:p w14:paraId="623723F7"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3.5%</w:t>
            </w:r>
          </w:p>
        </w:tc>
        <w:tc>
          <w:tcPr>
            <w:tcW w:w="407" w:type="pct"/>
          </w:tcPr>
          <w:p w14:paraId="786B9EC2"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11.7%</w:t>
            </w:r>
          </w:p>
        </w:tc>
        <w:tc>
          <w:tcPr>
            <w:tcW w:w="407" w:type="pct"/>
          </w:tcPr>
          <w:p w14:paraId="53B6651F"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45.4%</w:t>
            </w:r>
          </w:p>
        </w:tc>
        <w:tc>
          <w:tcPr>
            <w:tcW w:w="407" w:type="pct"/>
          </w:tcPr>
          <w:p w14:paraId="17523ECA"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38.2% </w:t>
            </w:r>
          </w:p>
        </w:tc>
        <w:tc>
          <w:tcPr>
            <w:tcW w:w="310" w:type="pct"/>
          </w:tcPr>
          <w:p w14:paraId="493F8DC5"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4.18</w:t>
            </w:r>
          </w:p>
        </w:tc>
        <w:tc>
          <w:tcPr>
            <w:tcW w:w="259" w:type="pct"/>
          </w:tcPr>
          <w:p w14:paraId="262E95DC"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0.81</w:t>
            </w:r>
          </w:p>
        </w:tc>
      </w:tr>
      <w:tr w:rsidR="009F33CD" w:rsidRPr="00177B68" w14:paraId="3DE58711" w14:textId="77777777">
        <w:trPr>
          <w:trHeight w:val="745"/>
        </w:trPr>
        <w:tc>
          <w:tcPr>
            <w:tcW w:w="2463" w:type="pct"/>
          </w:tcPr>
          <w:p w14:paraId="4F2CEE3F"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Eco-friendly disposal methods such as waste minimization, segregation, and recycling are encouraged among healthcare employees. </w:t>
            </w:r>
          </w:p>
        </w:tc>
        <w:tc>
          <w:tcPr>
            <w:tcW w:w="396" w:type="pct"/>
          </w:tcPr>
          <w:p w14:paraId="09BCCEBE"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w:t>
            </w:r>
          </w:p>
        </w:tc>
        <w:tc>
          <w:tcPr>
            <w:tcW w:w="349" w:type="pct"/>
          </w:tcPr>
          <w:p w14:paraId="2B53F90F"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3.4%</w:t>
            </w:r>
          </w:p>
        </w:tc>
        <w:tc>
          <w:tcPr>
            <w:tcW w:w="407" w:type="pct"/>
          </w:tcPr>
          <w:p w14:paraId="4F868A77"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15.3%</w:t>
            </w:r>
          </w:p>
        </w:tc>
        <w:tc>
          <w:tcPr>
            <w:tcW w:w="407" w:type="pct"/>
          </w:tcPr>
          <w:p w14:paraId="777AE52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36.4%</w:t>
            </w:r>
          </w:p>
        </w:tc>
        <w:tc>
          <w:tcPr>
            <w:tcW w:w="407" w:type="pct"/>
          </w:tcPr>
          <w:p w14:paraId="40B5CE8D"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44.9% </w:t>
            </w:r>
          </w:p>
        </w:tc>
        <w:tc>
          <w:tcPr>
            <w:tcW w:w="310" w:type="pct"/>
          </w:tcPr>
          <w:p w14:paraId="19C1D8DB"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4.23</w:t>
            </w:r>
          </w:p>
        </w:tc>
        <w:tc>
          <w:tcPr>
            <w:tcW w:w="259" w:type="pct"/>
          </w:tcPr>
          <w:p w14:paraId="3CA91709"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0.83</w:t>
            </w:r>
          </w:p>
        </w:tc>
      </w:tr>
      <w:tr w:rsidR="009F33CD" w:rsidRPr="00177B68" w14:paraId="05E0C97A" w14:textId="77777777">
        <w:trPr>
          <w:trHeight w:val="421"/>
        </w:trPr>
        <w:tc>
          <w:tcPr>
            <w:tcW w:w="2463" w:type="pct"/>
          </w:tcPr>
          <w:p w14:paraId="297B6601" w14:textId="77777777" w:rsidR="009F33CD" w:rsidRPr="00177B68" w:rsidRDefault="00E40740">
            <w:pPr>
              <w:spacing w:after="14" w:line="276" w:lineRule="auto"/>
              <w:ind w:left="-5" w:hanging="10"/>
              <w:rPr>
                <w:rFonts w:ascii="Times New Roman" w:hAnsi="Times New Roman" w:cs="Times New Roman"/>
                <w:sz w:val="20"/>
                <w:szCs w:val="20"/>
              </w:rPr>
            </w:pPr>
            <w:bookmarkStart w:id="1352" w:name="_Hlk184300255"/>
            <w:r w:rsidRPr="00177B68">
              <w:rPr>
                <w:rFonts w:ascii="Times New Roman" w:hAnsi="Times New Roman" w:cs="Times New Roman"/>
                <w:sz w:val="20"/>
                <w:szCs w:val="20"/>
              </w:rPr>
              <w:t>The employees are provided with eco-friendly safety gadgets (e.g., gloves) to enhance performance</w:t>
            </w:r>
            <w:bookmarkEnd w:id="1352"/>
            <w:r w:rsidRPr="00177B68">
              <w:rPr>
                <w:rFonts w:ascii="Times New Roman" w:hAnsi="Times New Roman" w:cs="Times New Roman"/>
                <w:sz w:val="20"/>
                <w:szCs w:val="20"/>
              </w:rPr>
              <w:t xml:space="preserve">. </w:t>
            </w:r>
          </w:p>
        </w:tc>
        <w:tc>
          <w:tcPr>
            <w:tcW w:w="396" w:type="pct"/>
          </w:tcPr>
          <w:p w14:paraId="7E04EB22"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w:t>
            </w:r>
          </w:p>
        </w:tc>
        <w:tc>
          <w:tcPr>
            <w:tcW w:w="349" w:type="pct"/>
          </w:tcPr>
          <w:p w14:paraId="1DBD6F17"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1.8%</w:t>
            </w:r>
          </w:p>
        </w:tc>
        <w:tc>
          <w:tcPr>
            <w:tcW w:w="407" w:type="pct"/>
          </w:tcPr>
          <w:p w14:paraId="075B830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9.2%</w:t>
            </w:r>
          </w:p>
        </w:tc>
        <w:tc>
          <w:tcPr>
            <w:tcW w:w="407" w:type="pct"/>
          </w:tcPr>
          <w:p w14:paraId="5CBE437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48.3%</w:t>
            </w:r>
          </w:p>
        </w:tc>
        <w:tc>
          <w:tcPr>
            <w:tcW w:w="407" w:type="pct"/>
          </w:tcPr>
          <w:p w14:paraId="0A2EEE3F"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40.7% </w:t>
            </w:r>
          </w:p>
        </w:tc>
        <w:tc>
          <w:tcPr>
            <w:tcW w:w="310" w:type="pct"/>
          </w:tcPr>
          <w:p w14:paraId="45769B5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4.28</w:t>
            </w:r>
          </w:p>
        </w:tc>
        <w:tc>
          <w:tcPr>
            <w:tcW w:w="259" w:type="pct"/>
          </w:tcPr>
          <w:p w14:paraId="723211C6"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0.70</w:t>
            </w:r>
          </w:p>
        </w:tc>
      </w:tr>
      <w:tr w:rsidR="009F33CD" w:rsidRPr="00177B68" w14:paraId="38126683" w14:textId="77777777">
        <w:trPr>
          <w:trHeight w:val="329"/>
        </w:trPr>
        <w:tc>
          <w:tcPr>
            <w:tcW w:w="2463" w:type="pct"/>
          </w:tcPr>
          <w:p w14:paraId="1B9DFA34"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Green occupational safety and health   audits are conducted to ensure safe work environment. </w:t>
            </w:r>
          </w:p>
        </w:tc>
        <w:tc>
          <w:tcPr>
            <w:tcW w:w="396" w:type="pct"/>
          </w:tcPr>
          <w:p w14:paraId="16946F2A"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0.6%</w:t>
            </w:r>
          </w:p>
        </w:tc>
        <w:tc>
          <w:tcPr>
            <w:tcW w:w="349" w:type="pct"/>
          </w:tcPr>
          <w:p w14:paraId="577962AB"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1.7%</w:t>
            </w:r>
          </w:p>
        </w:tc>
        <w:tc>
          <w:tcPr>
            <w:tcW w:w="407" w:type="pct"/>
          </w:tcPr>
          <w:p w14:paraId="66CB0DBD"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12.7%</w:t>
            </w:r>
          </w:p>
        </w:tc>
        <w:tc>
          <w:tcPr>
            <w:tcW w:w="407" w:type="pct"/>
          </w:tcPr>
          <w:p w14:paraId="16DB00C7"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42.6%</w:t>
            </w:r>
          </w:p>
        </w:tc>
        <w:tc>
          <w:tcPr>
            <w:tcW w:w="407" w:type="pct"/>
          </w:tcPr>
          <w:p w14:paraId="6AB98218"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42.4% </w:t>
            </w:r>
          </w:p>
        </w:tc>
        <w:tc>
          <w:tcPr>
            <w:tcW w:w="310" w:type="pct"/>
          </w:tcPr>
          <w:p w14:paraId="69C0CE93"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4.26</w:t>
            </w:r>
          </w:p>
        </w:tc>
        <w:tc>
          <w:tcPr>
            <w:tcW w:w="259" w:type="pct"/>
          </w:tcPr>
          <w:p w14:paraId="24C1C0E9"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0.74</w:t>
            </w:r>
          </w:p>
        </w:tc>
      </w:tr>
      <w:tr w:rsidR="009F33CD" w:rsidRPr="00177B68" w14:paraId="374FC78A" w14:textId="77777777">
        <w:trPr>
          <w:trHeight w:val="365"/>
        </w:trPr>
        <w:tc>
          <w:tcPr>
            <w:tcW w:w="2463" w:type="pct"/>
          </w:tcPr>
          <w:p w14:paraId="34F38E73"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Hospital buildings are spacious with ventilation and natural lighting to save energy and reduce infection. </w:t>
            </w:r>
          </w:p>
        </w:tc>
        <w:tc>
          <w:tcPr>
            <w:tcW w:w="396" w:type="pct"/>
          </w:tcPr>
          <w:p w14:paraId="7EACA9F7"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w:t>
            </w:r>
          </w:p>
        </w:tc>
        <w:tc>
          <w:tcPr>
            <w:tcW w:w="349" w:type="pct"/>
          </w:tcPr>
          <w:p w14:paraId="410160EA"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1.8%</w:t>
            </w:r>
          </w:p>
        </w:tc>
        <w:tc>
          <w:tcPr>
            <w:tcW w:w="407" w:type="pct"/>
          </w:tcPr>
          <w:p w14:paraId="6CEFD855"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12.5%</w:t>
            </w:r>
          </w:p>
        </w:tc>
        <w:tc>
          <w:tcPr>
            <w:tcW w:w="407" w:type="pct"/>
          </w:tcPr>
          <w:p w14:paraId="484B213A"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43.5%</w:t>
            </w:r>
          </w:p>
        </w:tc>
        <w:tc>
          <w:tcPr>
            <w:tcW w:w="407" w:type="pct"/>
          </w:tcPr>
          <w:p w14:paraId="05467ABA"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42.2% </w:t>
            </w:r>
          </w:p>
        </w:tc>
        <w:tc>
          <w:tcPr>
            <w:tcW w:w="310" w:type="pct"/>
          </w:tcPr>
          <w:p w14:paraId="7BDEDE13"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4.19</w:t>
            </w:r>
          </w:p>
        </w:tc>
        <w:tc>
          <w:tcPr>
            <w:tcW w:w="259" w:type="pct"/>
          </w:tcPr>
          <w:p w14:paraId="2FFA7B0F"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0.71</w:t>
            </w:r>
          </w:p>
        </w:tc>
      </w:tr>
      <w:tr w:rsidR="009F33CD" w:rsidRPr="00177B68" w14:paraId="7517140D" w14:textId="77777777">
        <w:trPr>
          <w:trHeight w:val="287"/>
        </w:trPr>
        <w:tc>
          <w:tcPr>
            <w:tcW w:w="2463" w:type="pct"/>
          </w:tcPr>
          <w:p w14:paraId="0AA6D1DA"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Green Occupational safety and health greatly affect the performance of devolved healthcare services.</w:t>
            </w:r>
          </w:p>
        </w:tc>
        <w:tc>
          <w:tcPr>
            <w:tcW w:w="396" w:type="pct"/>
          </w:tcPr>
          <w:p w14:paraId="3CCD4E12"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  0.8% </w:t>
            </w:r>
          </w:p>
        </w:tc>
        <w:tc>
          <w:tcPr>
            <w:tcW w:w="349" w:type="pct"/>
          </w:tcPr>
          <w:p w14:paraId="2B38D305"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1.6% </w:t>
            </w:r>
          </w:p>
        </w:tc>
        <w:tc>
          <w:tcPr>
            <w:tcW w:w="407" w:type="pct"/>
          </w:tcPr>
          <w:p w14:paraId="3E042F6C"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14.3% </w:t>
            </w:r>
          </w:p>
        </w:tc>
        <w:tc>
          <w:tcPr>
            <w:tcW w:w="407" w:type="pct"/>
          </w:tcPr>
          <w:p w14:paraId="419C1C73" w14:textId="77777777" w:rsidR="009F33CD" w:rsidRPr="00177B68" w:rsidRDefault="00E40740">
            <w:pPr>
              <w:spacing w:after="14" w:line="276" w:lineRule="auto"/>
              <w:ind w:left="-5" w:hanging="10"/>
              <w:rPr>
                <w:rFonts w:ascii="Times New Roman" w:hAnsi="Times New Roman" w:cs="Times New Roman"/>
                <w:sz w:val="20"/>
                <w:szCs w:val="20"/>
                <w:lang w:val="en-US"/>
              </w:rPr>
            </w:pPr>
            <w:r w:rsidRPr="00177B68">
              <w:rPr>
                <w:rFonts w:ascii="Times New Roman" w:hAnsi="Times New Roman" w:cs="Times New Roman"/>
                <w:sz w:val="20"/>
                <w:szCs w:val="20"/>
              </w:rPr>
              <w:t xml:space="preserve">51.4% </w:t>
            </w:r>
            <w:r w:rsidRPr="00177B68">
              <w:rPr>
                <w:rFonts w:ascii="Times New Roman" w:hAnsi="Times New Roman" w:cs="Times New Roman"/>
                <w:sz w:val="20"/>
                <w:szCs w:val="20"/>
                <w:lang w:val="en-US"/>
              </w:rPr>
              <w:t xml:space="preserve"> </w:t>
            </w:r>
          </w:p>
        </w:tc>
        <w:tc>
          <w:tcPr>
            <w:tcW w:w="407" w:type="pct"/>
          </w:tcPr>
          <w:p w14:paraId="1CFC35EE" w14:textId="77777777" w:rsidR="009F33CD" w:rsidRPr="00177B68" w:rsidRDefault="00E40740">
            <w:pPr>
              <w:spacing w:after="14" w:line="276" w:lineRule="auto"/>
              <w:ind w:left="-5" w:hanging="10"/>
              <w:rPr>
                <w:rFonts w:ascii="Times New Roman" w:hAnsi="Times New Roman" w:cs="Times New Roman"/>
                <w:sz w:val="20"/>
                <w:szCs w:val="20"/>
              </w:rPr>
            </w:pPr>
            <w:r w:rsidRPr="00177B68">
              <w:rPr>
                <w:rFonts w:ascii="Times New Roman" w:hAnsi="Times New Roman" w:cs="Times New Roman"/>
                <w:sz w:val="20"/>
                <w:szCs w:val="20"/>
              </w:rPr>
              <w:t xml:space="preserve">31.9% </w:t>
            </w:r>
          </w:p>
        </w:tc>
        <w:tc>
          <w:tcPr>
            <w:tcW w:w="310" w:type="pct"/>
          </w:tcPr>
          <w:p w14:paraId="12ADB040"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4.12</w:t>
            </w:r>
          </w:p>
        </w:tc>
        <w:tc>
          <w:tcPr>
            <w:tcW w:w="259" w:type="pct"/>
          </w:tcPr>
          <w:p w14:paraId="2C4F30FD" w14:textId="77777777" w:rsidR="009F33CD" w:rsidRPr="00177B68" w:rsidRDefault="00E40740">
            <w:pPr>
              <w:spacing w:after="14" w:line="276" w:lineRule="auto"/>
              <w:ind w:left="-5" w:hanging="10"/>
              <w:jc w:val="center"/>
              <w:rPr>
                <w:rFonts w:ascii="Times New Roman" w:hAnsi="Times New Roman" w:cs="Times New Roman"/>
                <w:sz w:val="20"/>
                <w:szCs w:val="20"/>
              </w:rPr>
            </w:pPr>
            <w:r w:rsidRPr="00177B68">
              <w:rPr>
                <w:rFonts w:ascii="Times New Roman" w:hAnsi="Times New Roman" w:cs="Times New Roman"/>
                <w:sz w:val="20"/>
                <w:szCs w:val="20"/>
              </w:rPr>
              <w:t>0.74</w:t>
            </w:r>
          </w:p>
        </w:tc>
      </w:tr>
    </w:tbl>
    <w:p w14:paraId="11693521" w14:textId="77777777" w:rsidR="009F33CD" w:rsidRDefault="00494588">
      <w:pPr>
        <w:rPr>
          <w:rFonts w:cs="Times New Roman"/>
          <w:bCs/>
          <w:szCs w:val="24"/>
        </w:rPr>
      </w:pPr>
      <w:r>
        <w:rPr>
          <w:rFonts w:cs="Times New Roman"/>
          <w:bCs/>
          <w:szCs w:val="24"/>
        </w:rPr>
        <w:t>From Table 4.28</w:t>
      </w:r>
      <w:r w:rsidR="00E40740">
        <w:rPr>
          <w:rFonts w:cs="Times New Roman"/>
          <w:bCs/>
          <w:szCs w:val="24"/>
        </w:rPr>
        <w:t xml:space="preserve"> findings, the majority of the respondents 86.4% with a mean (M) of 4.14, and a standard deviation (Sd) of 0.77 agreed that green occupational safety and health management systems reduce accidents and injuries and boost hospital performance. This result of strong agreement indicates that implementing GOSH practices can significantly reduce workplace accidents and injuries, enhancing overall safety in healthcare facilities. Further, this finding implies that with fewer accidents and injuries, hospitals can operate more efficiently, leading to better performance and potentially higher patient satisfaction. This study finding is consistent with a study conducted by Chaudhary (2020) which revealed that green occupational safety and health significantly influence employee behaviour and hence may reduce accidents and injuries and boost organizational performance. Respondents representing 3.3% disagreed with this statement, while 10.3 % remained undecided. The employees who disagreed or remained undecided with the statement show that they were either unaware of the OSH management system or had not interacted with it.  </w:t>
      </w:r>
    </w:p>
    <w:p w14:paraId="0C27F6F4" w14:textId="77777777" w:rsidR="00297E6F" w:rsidRDefault="00297E6F">
      <w:pPr>
        <w:autoSpaceDE/>
        <w:autoSpaceDN/>
        <w:adjustRightInd/>
        <w:spacing w:before="0" w:beforeAutospacing="0" w:after="0" w:afterAutospacing="0" w:line="240" w:lineRule="auto"/>
        <w:jc w:val="left"/>
        <w:rPr>
          <w:rFonts w:cs="Times New Roman"/>
          <w:bCs/>
          <w:szCs w:val="24"/>
        </w:rPr>
      </w:pPr>
      <w:r>
        <w:rPr>
          <w:rFonts w:cs="Times New Roman"/>
          <w:bCs/>
          <w:szCs w:val="24"/>
        </w:rPr>
        <w:br w:type="page"/>
      </w:r>
    </w:p>
    <w:p w14:paraId="74399873" w14:textId="77777777" w:rsidR="009F33CD" w:rsidRDefault="00E40740">
      <w:pPr>
        <w:rPr>
          <w:rFonts w:cs="Times New Roman"/>
          <w:bCs/>
          <w:szCs w:val="24"/>
        </w:rPr>
      </w:pPr>
      <w:r>
        <w:rPr>
          <w:rFonts w:cs="Times New Roman"/>
          <w:bCs/>
          <w:szCs w:val="24"/>
        </w:rPr>
        <w:lastRenderedPageBreak/>
        <w:t xml:space="preserve">The majority of the respondents, 83.6% with a mean of 4.18 and Sd of 0.81 agreed that Level Five Hospitals encourage paperless offices to create a clean and safe work environment. A paperless office promotes efficient use of resources such as minimizing paper use and creates a more organized and efficient workspace. This finding implies that paperless offices reduce the cost of printing paper and free up funds for </w:t>
      </w:r>
      <w:r>
        <w:rPr>
          <w:rFonts w:cs="Times New Roman"/>
          <w:bCs/>
          <w:szCs w:val="24"/>
          <w:lang w:val="en-US"/>
        </w:rPr>
        <w:t xml:space="preserve">purchase of </w:t>
      </w:r>
      <w:r>
        <w:rPr>
          <w:rFonts w:cs="Times New Roman"/>
          <w:bCs/>
          <w:szCs w:val="24"/>
        </w:rPr>
        <w:t>better medical equipment which have positive implications on patient care and financial performance. Additionally, through paperless offices, patients are encouraged to pay for services through M-pesa and electronic money transfer (visa card) which minimizes fraud, leads to an increase in revenue collection, and reduces operational costs. Further, digital records are easier to secure and backup than physical documents. Adopting paperless initiatives demonstrates a commitment to innovation and modernization. This finding concurs with that of Ahmad (2015) who opined that e-business and e-learning have converted ordinary offices into paperless offices which reduces the consumption of paper and minimizes the cost of paper-related activities. Those respondents who disagreed and remained undecided about this statement were 4.7% and 11.7% respectively.</w:t>
      </w:r>
      <w:r>
        <w:rPr>
          <w:bCs/>
        </w:rPr>
        <w:t xml:space="preserve"> </w:t>
      </w:r>
      <w:bookmarkStart w:id="1353" w:name="_Hlk183607598"/>
      <w:r>
        <w:rPr>
          <w:rFonts w:cs="Times New Roman"/>
          <w:bCs/>
          <w:szCs w:val="24"/>
        </w:rPr>
        <w:t xml:space="preserve">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w:t>
      </w:r>
      <w:bookmarkEnd w:id="1353"/>
      <w:r>
        <w:rPr>
          <w:rFonts w:cs="Times New Roman"/>
          <w:bCs/>
          <w:szCs w:val="24"/>
        </w:rPr>
        <w:t xml:space="preserve"> and this could be addressed through targeted initiatives to increase awareness and engagement.   </w:t>
      </w:r>
    </w:p>
    <w:p w14:paraId="609A5B40" w14:textId="77777777" w:rsidR="009F33CD" w:rsidRDefault="00E40740">
      <w:pPr>
        <w:rPr>
          <w:rFonts w:cs="Times New Roman"/>
          <w:bCs/>
          <w:szCs w:val="24"/>
        </w:rPr>
      </w:pPr>
      <w:r>
        <w:rPr>
          <w:rFonts w:cs="Times New Roman"/>
          <w:bCs/>
          <w:szCs w:val="24"/>
        </w:rPr>
        <w:t xml:space="preserve">The data shows that a significant majority, 81.3% (M= 4.23, Sd = 0.83) agreed with the statement that healthcare employees are encouraged to adopt eco-friendly disposal methods such as waste minimization, segregation, and recycling. This finding suggests that proper waste management practices can enhance the operational efficiency of devolved healthcare services. The result indicates that the healthcare employees are well informed about healthcare waste disposal methods as contained in Kenya’s OSH Act (2007). Safe and eco-friendly waste disposal methods protect public health by reducing exposure to hazardous materials and ensuring a safer environment for both employees and patients. Eco-friendly disposal methods can lead to significant cost savings. By minimizing waste, segregating materials properly, and recycling, healthcare facilities can reduce their waste management expenses. Respondents representing 15.3% remained undecided, and the remaining 3.4% of respondents </w:t>
      </w:r>
      <w:r>
        <w:rPr>
          <w:rFonts w:cs="Times New Roman"/>
          <w:bCs/>
          <w:szCs w:val="24"/>
        </w:rPr>
        <w:lastRenderedPageBreak/>
        <w:t>disagreed with the statement suggesting their lack of awareness regarding the statement.</w:t>
      </w:r>
    </w:p>
    <w:p w14:paraId="1CABA09C" w14:textId="77777777" w:rsidR="009F33CD" w:rsidRDefault="00E40740">
      <w:pPr>
        <w:rPr>
          <w:rFonts w:eastAsia="Times New Roman" w:hAnsi="Symbol" w:cs="Times New Roman"/>
          <w:szCs w:val="24"/>
        </w:rPr>
      </w:pPr>
      <w:r>
        <w:rPr>
          <w:rFonts w:cs="Times New Roman"/>
          <w:bCs/>
          <w:szCs w:val="24"/>
        </w:rPr>
        <w:t>A significant majority of the respondents representing 89% with M of 4.28 and Sd of 0.70 agreed with the statement that employees are provided with eco-friendly safety gadgets (e.g., gloves) to enhance performance.</w:t>
      </w:r>
      <w:r>
        <w:rPr>
          <w:rFonts w:eastAsia="Times New Roman" w:hAnsi="Symbol" w:cs="Times New Roman"/>
          <w:szCs w:val="24"/>
        </w:rPr>
        <w:t xml:space="preserve"> </w:t>
      </w:r>
      <w:r>
        <w:rPr>
          <w:rFonts w:cs="Times New Roman"/>
          <w:bCs/>
          <w:szCs w:val="24"/>
        </w:rPr>
        <w:t xml:space="preserve">This strong agreement among respondents indicates that using eco-friendly safety gadgets ensures that employees are protected while discharging their duties thereby reducing workplace injuries and illnesses. </w:t>
      </w:r>
      <w:bookmarkStart w:id="1354" w:name="_Hlk188211490"/>
      <w:r>
        <w:rPr>
          <w:rFonts w:cs="Times New Roman"/>
          <w:bCs/>
          <w:szCs w:val="24"/>
        </w:rPr>
        <w:t xml:space="preserve">This result agrees with that of Subhani (2010) who alluded that occupational safety and health management systems may reduce accidents and injuries and boost organizational performance. </w:t>
      </w:r>
      <w:bookmarkEnd w:id="1354"/>
      <w:r>
        <w:rPr>
          <w:rFonts w:cs="Times New Roman"/>
          <w:bCs/>
          <w:szCs w:val="24"/>
        </w:rPr>
        <w:t xml:space="preserve">The provision of eco-friendly safety gadgets indicates compliance with regulatory and sector standards and also demonstrates the hospitals’ commitment to the well-being of employees and the environment. Additionally, providing eco-friendly safety gadgets can improve employee morale and satisfaction, as workers feel their health and environmental concerns are being addressed. Respondents representing 9.2% were undecided, while the remaining 1.8% disagreed with the statement. This small segment of respondents who remained undecided or disagreed may imply that they were </w:t>
      </w:r>
      <w:r w:rsidR="001C3D4C">
        <w:rPr>
          <w:rFonts w:cs="Times New Roman"/>
          <w:bCs/>
          <w:szCs w:val="24"/>
        </w:rPr>
        <w:t>sceptical</w:t>
      </w:r>
      <w:r>
        <w:rPr>
          <w:rFonts w:cs="Times New Roman"/>
          <w:bCs/>
          <w:szCs w:val="24"/>
        </w:rPr>
        <w:t xml:space="preserve"> about the statement. </w:t>
      </w:r>
    </w:p>
    <w:p w14:paraId="7F3D4BE5" w14:textId="77777777" w:rsidR="009F33CD" w:rsidRDefault="00E40740">
      <w:pPr>
        <w:rPr>
          <w:rFonts w:cs="Times New Roman"/>
          <w:bCs/>
          <w:szCs w:val="24"/>
        </w:rPr>
      </w:pPr>
      <w:r>
        <w:rPr>
          <w:rFonts w:cs="Times New Roman"/>
          <w:bCs/>
          <w:szCs w:val="24"/>
        </w:rPr>
        <w:t>The respondents were further asked to rate the statement that green occupational safety and health audits are conducted to ensure a safe work environment. A significant majority (85%) of respondents agreed with the statement. A Mean of 4.26 on 5-point and Sd of 0.74 indicate a strong agreement among respondents regarding the importance and effectiveness of green audits in promoting a safe workplace. The results revealed that conducting GOSH audits help to maintain high workplace safety standards and ensures that potential hazards are identified and mitigated. This may enhance employee well-being, increase commitment to safety practices, protect the environment</w:t>
      </w:r>
      <w:r>
        <w:rPr>
          <w:rFonts w:cs="Times New Roman"/>
          <w:bCs/>
          <w:szCs w:val="24"/>
          <w:lang w:val="en-US"/>
        </w:rPr>
        <w:t xml:space="preserve"> and enhance employee performance</w:t>
      </w:r>
      <w:r>
        <w:rPr>
          <w:rFonts w:cs="Times New Roman"/>
          <w:bCs/>
          <w:szCs w:val="24"/>
        </w:rPr>
        <w:t xml:space="preserve">. By identifying and addressing safety and health issues promptly, these audits can help to improve operational efficiency and, therefore, help prevent accidents and injuries. Additionally, the result indicates that regular audits help hospitals to comply with sector regulations and standards. This finding is consistent with a study by Carson </w:t>
      </w:r>
      <w:r>
        <w:rPr>
          <w:rFonts w:cs="Times New Roman"/>
          <w:bCs/>
          <w:i/>
          <w:iCs/>
          <w:szCs w:val="24"/>
        </w:rPr>
        <w:t>et al.</w:t>
      </w:r>
      <w:r>
        <w:rPr>
          <w:rFonts w:cs="Times New Roman"/>
          <w:bCs/>
          <w:szCs w:val="24"/>
        </w:rPr>
        <w:t xml:space="preserve"> (2020) which found that environmental audit is a regulatory requirement for compliance. Those who </w:t>
      </w:r>
      <w:r>
        <w:rPr>
          <w:rFonts w:cs="Times New Roman"/>
          <w:bCs/>
          <w:szCs w:val="24"/>
        </w:rPr>
        <w:lastRenderedPageBreak/>
        <w:t xml:space="preserve">remained undecided were 12.7%, while those who disagreed with the statement were 2.3%. 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w:t>
      </w:r>
    </w:p>
    <w:p w14:paraId="6D959E7A" w14:textId="77777777" w:rsidR="009F33CD" w:rsidRDefault="00E40740">
      <w:pPr>
        <w:rPr>
          <w:rFonts w:cs="Times New Roman"/>
          <w:bCs/>
          <w:szCs w:val="24"/>
        </w:rPr>
      </w:pPr>
      <w:r>
        <w:rPr>
          <w:rFonts w:cs="Times New Roman"/>
          <w:bCs/>
          <w:szCs w:val="24"/>
        </w:rPr>
        <w:t xml:space="preserve">The findings revealed that spacious hospital buildings with ventilation and natural lighting save energy and reduce infection as supported by respondents, 85.7% with M of 4.19 and Sd of 0.71. This result shows that a large majority agreed with this statement. This finding suggests that adequate ventilation is important as it reduces the concentration of airborne pathogens and has antibacterial effects, thus contributing to a safer environment for both employees and patients. The implication of this finding is that use of spacious buildings will conserve energy and enhance employee well-being and safety which boost employee morale and productivity. </w:t>
      </w:r>
      <w:bookmarkStart w:id="1355" w:name="_Hlk174552544"/>
      <w:r>
        <w:rPr>
          <w:rFonts w:cs="Times New Roman"/>
          <w:bCs/>
          <w:szCs w:val="24"/>
        </w:rPr>
        <w:t xml:space="preserve">This means that a well-ventilated and naturally lit workspace improves employee mood, reduces fatigue, and increases productivity. This finding agrees with that of </w:t>
      </w:r>
      <w:r>
        <w:rPr>
          <w:sz w:val="22"/>
        </w:rPr>
        <w:t xml:space="preserve">Wargocki </w:t>
      </w:r>
      <w:r>
        <w:rPr>
          <w:iCs/>
          <w:sz w:val="22"/>
        </w:rPr>
        <w:t>et al.</w:t>
      </w:r>
      <w:r>
        <w:rPr>
          <w:sz w:val="22"/>
        </w:rPr>
        <w:t xml:space="preserve"> (2000) who stated that green buildings with good indoor air quality improve the health and well-being of an employee which in turn enhances productivity. </w:t>
      </w:r>
      <w:bookmarkEnd w:id="1355"/>
      <w:r>
        <w:rPr>
          <w:rFonts w:cs="Times New Roman"/>
          <w:bCs/>
          <w:szCs w:val="24"/>
        </w:rPr>
        <w:t>Employees representing 12.5% were undecided, while 1.8% disagreed with the statement. The employees who were undecided or disagreed imply that they were either ignorant or unaware of the meaning of green buildings and how they can boost health and safety</w:t>
      </w:r>
      <w:r>
        <w:rPr>
          <w:rFonts w:cs="Times New Roman"/>
          <w:bCs/>
          <w:szCs w:val="24"/>
          <w:lang w:val="en-US"/>
        </w:rPr>
        <w:t xml:space="preserve"> of employees and patients</w:t>
      </w:r>
      <w:r>
        <w:rPr>
          <w:rFonts w:cs="Times New Roman"/>
          <w:bCs/>
          <w:szCs w:val="24"/>
        </w:rPr>
        <w:t xml:space="preserve">. </w:t>
      </w:r>
    </w:p>
    <w:p w14:paraId="1FEDAC21" w14:textId="77777777" w:rsidR="009F33CD" w:rsidRDefault="00E40740">
      <w:pPr>
        <w:rPr>
          <w:rFonts w:cs="Times New Roman"/>
          <w:bCs/>
          <w:szCs w:val="24"/>
        </w:rPr>
      </w:pPr>
      <w:r>
        <w:rPr>
          <w:rFonts w:cs="Times New Roman"/>
          <w:bCs/>
          <w:szCs w:val="24"/>
        </w:rPr>
        <w:t xml:space="preserve">Finally, regarding the findings </w:t>
      </w:r>
      <w:r>
        <w:rPr>
          <w:rFonts w:cs="Times New Roman"/>
          <w:bCs/>
          <w:szCs w:val="24"/>
          <w:lang w:val="en-US"/>
        </w:rPr>
        <w:t>on t</w:t>
      </w:r>
      <w:r>
        <w:rPr>
          <w:rFonts w:cs="Times New Roman"/>
          <w:bCs/>
          <w:szCs w:val="24"/>
        </w:rPr>
        <w:t xml:space="preserve">he effect of occupational safety and health on the performance of devolved healthcare services, 81.3% of respondents </w:t>
      </w:r>
      <w:r>
        <w:rPr>
          <w:rFonts w:cs="Times New Roman"/>
          <w:bCs/>
          <w:szCs w:val="24"/>
          <w:lang w:val="en-US"/>
        </w:rPr>
        <w:t>(</w:t>
      </w:r>
      <w:r>
        <w:rPr>
          <w:rFonts w:cs="Times New Roman"/>
          <w:bCs/>
          <w:szCs w:val="24"/>
        </w:rPr>
        <w:t xml:space="preserve">M </w:t>
      </w:r>
      <w:r>
        <w:rPr>
          <w:rFonts w:cs="Times New Roman"/>
          <w:bCs/>
          <w:szCs w:val="24"/>
          <w:lang w:val="en-US"/>
        </w:rPr>
        <w:t>=</w:t>
      </w:r>
      <w:r>
        <w:rPr>
          <w:rFonts w:cs="Times New Roman"/>
          <w:bCs/>
          <w:szCs w:val="24"/>
        </w:rPr>
        <w:t xml:space="preserve"> 4.12 and Sd </w:t>
      </w:r>
      <w:r>
        <w:rPr>
          <w:rFonts w:cs="Times New Roman"/>
          <w:bCs/>
          <w:szCs w:val="24"/>
          <w:lang w:val="en-US"/>
        </w:rPr>
        <w:t>=</w:t>
      </w:r>
      <w:r>
        <w:rPr>
          <w:rFonts w:cs="Times New Roman"/>
          <w:bCs/>
          <w:szCs w:val="24"/>
        </w:rPr>
        <w:t xml:space="preserve"> 0.74</w:t>
      </w:r>
      <w:r>
        <w:rPr>
          <w:rFonts w:cs="Times New Roman"/>
          <w:bCs/>
          <w:szCs w:val="24"/>
          <w:lang w:val="en-US"/>
        </w:rPr>
        <w:t>)</w:t>
      </w:r>
      <w:r>
        <w:rPr>
          <w:rFonts w:cs="Times New Roman"/>
          <w:bCs/>
          <w:szCs w:val="24"/>
        </w:rPr>
        <w:t xml:space="preserve"> agreed</w:t>
      </w:r>
      <w:r>
        <w:rPr>
          <w:rFonts w:cs="Times New Roman"/>
          <w:bCs/>
          <w:szCs w:val="24"/>
          <w:lang w:val="en-US"/>
        </w:rPr>
        <w:t xml:space="preserve"> with the statement</w:t>
      </w:r>
      <w:r>
        <w:rPr>
          <w:rFonts w:cs="Times New Roman"/>
          <w:bCs/>
          <w:szCs w:val="24"/>
        </w:rPr>
        <w:t xml:space="preserve">. This finding of the study implies that integrating GOSH practices are important for improving the performance of devolved healthcare services. This means that implementation of GOSH management practices prevent accidents and incidents that disrupt healthcare operations leading to enhanced employee satisfaction, retention, and increased productivity. The findings of this study are consistent with that of Hameed </w:t>
      </w:r>
      <w:r>
        <w:rPr>
          <w:rFonts w:cs="Times New Roman"/>
          <w:bCs/>
          <w:i/>
          <w:szCs w:val="24"/>
        </w:rPr>
        <w:t>et al.</w:t>
      </w:r>
      <w:r>
        <w:rPr>
          <w:rFonts w:cs="Times New Roman"/>
          <w:bCs/>
          <w:szCs w:val="24"/>
        </w:rPr>
        <w:t xml:space="preserve"> (2020) who concluded that green safety and health are very important in promoting the safety and health of employees while at the same time providing a green environment that has less stress and reduced harmful effects. Further, Shah (2019) explained that a lot of effort is required to reduce occupational stress and sickness and initiate activities that protect the environment and livelihoods of communities. Of other respondents, 14.3% were undecided, while 2.4% </w:t>
      </w:r>
      <w:r>
        <w:rPr>
          <w:rFonts w:cs="Times New Roman"/>
          <w:bCs/>
          <w:szCs w:val="24"/>
        </w:rPr>
        <w:lastRenderedPageBreak/>
        <w:t xml:space="preserve">disagreed with the statement.  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regarding the effect of GOSH on performance. </w:t>
      </w:r>
    </w:p>
    <w:p w14:paraId="7BF12090" w14:textId="77777777" w:rsidR="009F33CD" w:rsidRDefault="00E40740">
      <w:pPr>
        <w:rPr>
          <w:rFonts w:cs="Times New Roman"/>
          <w:bCs/>
          <w:szCs w:val="24"/>
        </w:rPr>
      </w:pPr>
      <w:r>
        <w:rPr>
          <w:rFonts w:cs="Times New Roman"/>
          <w:bCs/>
          <w:szCs w:val="24"/>
        </w:rPr>
        <w:t>The respondents were further asked to suggest possible ways in which green occupational safety and health practices can be improved to enhance the performance of devolved healthcare services. Forty-three responses were received, arranged in themes, analyzed using Content analysis, and presented in frequencies and pe</w:t>
      </w:r>
      <w:r w:rsidR="006E2DB1">
        <w:rPr>
          <w:rFonts w:cs="Times New Roman"/>
          <w:bCs/>
          <w:szCs w:val="24"/>
        </w:rPr>
        <w:t>rcentages as shown in Table 4.29</w:t>
      </w:r>
      <w:r>
        <w:rPr>
          <w:rFonts w:cs="Times New Roman"/>
          <w:bCs/>
          <w:szCs w:val="24"/>
        </w:rPr>
        <w:t>.</w:t>
      </w:r>
    </w:p>
    <w:p w14:paraId="6C7B2574" w14:textId="77777777" w:rsidR="009F33CD" w:rsidRDefault="000748E0">
      <w:pPr>
        <w:pStyle w:val="Heading6"/>
      </w:pPr>
      <w:bookmarkStart w:id="1356" w:name="_Toc178945079"/>
      <w:bookmarkStart w:id="1357" w:name="_Toc165623636"/>
      <w:bookmarkStart w:id="1358" w:name="_Toc185614121"/>
      <w:bookmarkStart w:id="1359" w:name="_Toc165626417"/>
      <w:bookmarkStart w:id="1360" w:name="_Toc187080893"/>
      <w:bookmarkStart w:id="1361" w:name="_Toc178944327"/>
      <w:bookmarkStart w:id="1362" w:name="_Toc178942669"/>
      <w:bookmarkStart w:id="1363" w:name="_Toc224237458"/>
      <w:bookmarkStart w:id="1364" w:name="_Toc147950250"/>
      <w:bookmarkStart w:id="1365" w:name="_Toc147946911"/>
      <w:r>
        <w:t>Table 4.29</w:t>
      </w:r>
      <w:r w:rsidR="00E40740">
        <w:t>: Suggestions for Improvement of Green Occupational Safety and Health Practice</w:t>
      </w:r>
      <w:bookmarkEnd w:id="1356"/>
      <w:bookmarkEnd w:id="1357"/>
      <w:bookmarkEnd w:id="1358"/>
      <w:bookmarkEnd w:id="1359"/>
      <w:bookmarkEnd w:id="1360"/>
      <w:bookmarkEnd w:id="1361"/>
      <w:bookmarkEnd w:id="1362"/>
      <w:bookmarkEnd w:id="1363"/>
      <w:r w:rsidR="00E40740">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1473"/>
        <w:gridCol w:w="1542"/>
      </w:tblGrid>
      <w:tr w:rsidR="009F33CD" w14:paraId="36213B98" w14:textId="77777777">
        <w:trPr>
          <w:trHeight w:val="45"/>
        </w:trPr>
        <w:tc>
          <w:tcPr>
            <w:tcW w:w="3166" w:type="pct"/>
            <w:tcBorders>
              <w:top w:val="single" w:sz="4" w:space="0" w:color="auto"/>
              <w:bottom w:val="single" w:sz="4" w:space="0" w:color="auto"/>
            </w:tcBorders>
          </w:tcPr>
          <w:p w14:paraId="4B58B7C5" w14:textId="77777777" w:rsidR="009F33CD" w:rsidRDefault="00E40740">
            <w:pPr>
              <w:spacing w:before="0" w:beforeAutospacing="0" w:after="0" w:afterAutospacing="0" w:line="240" w:lineRule="auto"/>
              <w:ind w:right="-2"/>
              <w:rPr>
                <w:b/>
                <w:szCs w:val="24"/>
              </w:rPr>
            </w:pPr>
            <w:r>
              <w:rPr>
                <w:b/>
                <w:szCs w:val="24"/>
              </w:rPr>
              <w:t>Responses</w:t>
            </w:r>
          </w:p>
        </w:tc>
        <w:tc>
          <w:tcPr>
            <w:tcW w:w="896" w:type="pct"/>
            <w:tcBorders>
              <w:top w:val="single" w:sz="4" w:space="0" w:color="auto"/>
              <w:bottom w:val="single" w:sz="4" w:space="0" w:color="auto"/>
            </w:tcBorders>
          </w:tcPr>
          <w:p w14:paraId="258ED84F" w14:textId="77777777" w:rsidR="009F33CD" w:rsidRDefault="00E40740" w:rsidP="001E3129">
            <w:pPr>
              <w:spacing w:before="0" w:beforeAutospacing="0" w:after="0" w:afterAutospacing="0" w:line="240" w:lineRule="auto"/>
              <w:ind w:right="-2"/>
              <w:jc w:val="center"/>
              <w:rPr>
                <w:b/>
                <w:szCs w:val="24"/>
              </w:rPr>
            </w:pPr>
            <w:r>
              <w:rPr>
                <w:b/>
                <w:szCs w:val="24"/>
              </w:rPr>
              <w:t>F</w:t>
            </w:r>
          </w:p>
        </w:tc>
        <w:tc>
          <w:tcPr>
            <w:tcW w:w="939" w:type="pct"/>
            <w:tcBorders>
              <w:top w:val="single" w:sz="4" w:space="0" w:color="auto"/>
              <w:bottom w:val="single" w:sz="4" w:space="0" w:color="auto"/>
            </w:tcBorders>
          </w:tcPr>
          <w:p w14:paraId="740D1D12" w14:textId="77777777" w:rsidR="009F33CD" w:rsidRDefault="00E40740" w:rsidP="001E3129">
            <w:pPr>
              <w:spacing w:before="0" w:beforeAutospacing="0" w:after="0" w:afterAutospacing="0" w:line="240" w:lineRule="auto"/>
              <w:ind w:right="-2"/>
              <w:jc w:val="center"/>
              <w:rPr>
                <w:b/>
                <w:szCs w:val="24"/>
              </w:rPr>
            </w:pPr>
            <w:r>
              <w:rPr>
                <w:b/>
                <w:szCs w:val="24"/>
              </w:rPr>
              <w:t>%</w:t>
            </w:r>
          </w:p>
        </w:tc>
      </w:tr>
      <w:tr w:rsidR="009F33CD" w14:paraId="4D4A2847" w14:textId="77777777">
        <w:trPr>
          <w:trHeight w:val="506"/>
        </w:trPr>
        <w:tc>
          <w:tcPr>
            <w:tcW w:w="3166" w:type="pct"/>
            <w:tcBorders>
              <w:top w:val="single" w:sz="4" w:space="0" w:color="auto"/>
            </w:tcBorders>
          </w:tcPr>
          <w:p w14:paraId="33F7FA08" w14:textId="77777777" w:rsidR="009F33CD" w:rsidRDefault="00E40740">
            <w:pPr>
              <w:spacing w:before="0" w:beforeAutospacing="0" w:after="0" w:afterAutospacing="0" w:line="240" w:lineRule="auto"/>
              <w:ind w:left="14"/>
              <w:rPr>
                <w:szCs w:val="24"/>
              </w:rPr>
            </w:pPr>
            <w:r>
              <w:rPr>
                <w:szCs w:val="24"/>
              </w:rPr>
              <w:t xml:space="preserve">Devolved healthcare services should continue to embrace paperless offices  </w:t>
            </w:r>
          </w:p>
        </w:tc>
        <w:tc>
          <w:tcPr>
            <w:tcW w:w="896" w:type="pct"/>
            <w:tcBorders>
              <w:top w:val="single" w:sz="4" w:space="0" w:color="auto"/>
            </w:tcBorders>
          </w:tcPr>
          <w:p w14:paraId="4B3FC724" w14:textId="77777777" w:rsidR="009F33CD" w:rsidRDefault="00E40740" w:rsidP="001E3129">
            <w:pPr>
              <w:spacing w:before="0" w:beforeAutospacing="0" w:after="0" w:afterAutospacing="0" w:line="240" w:lineRule="auto"/>
              <w:ind w:right="-2"/>
              <w:jc w:val="center"/>
              <w:rPr>
                <w:bCs/>
                <w:szCs w:val="24"/>
              </w:rPr>
            </w:pPr>
            <w:r>
              <w:rPr>
                <w:bCs/>
                <w:szCs w:val="24"/>
              </w:rPr>
              <w:t>23</w:t>
            </w:r>
          </w:p>
        </w:tc>
        <w:tc>
          <w:tcPr>
            <w:tcW w:w="939" w:type="pct"/>
            <w:tcBorders>
              <w:top w:val="single" w:sz="4" w:space="0" w:color="auto"/>
            </w:tcBorders>
          </w:tcPr>
          <w:p w14:paraId="68C79FCB" w14:textId="77777777" w:rsidR="009F33CD" w:rsidRDefault="00E40740" w:rsidP="001E3129">
            <w:pPr>
              <w:spacing w:before="0" w:beforeAutospacing="0" w:after="0" w:afterAutospacing="0" w:line="240" w:lineRule="auto"/>
              <w:ind w:right="-2"/>
              <w:jc w:val="center"/>
              <w:rPr>
                <w:bCs/>
                <w:szCs w:val="24"/>
              </w:rPr>
            </w:pPr>
            <w:r>
              <w:rPr>
                <w:bCs/>
                <w:szCs w:val="24"/>
              </w:rPr>
              <w:t>53.5</w:t>
            </w:r>
          </w:p>
        </w:tc>
      </w:tr>
      <w:tr w:rsidR="009F33CD" w14:paraId="64BD883E" w14:textId="77777777">
        <w:trPr>
          <w:trHeight w:val="478"/>
        </w:trPr>
        <w:tc>
          <w:tcPr>
            <w:tcW w:w="3166" w:type="pct"/>
          </w:tcPr>
          <w:p w14:paraId="30F81D76" w14:textId="77777777" w:rsidR="009F33CD" w:rsidRDefault="00E40740">
            <w:pPr>
              <w:spacing w:before="0" w:beforeAutospacing="0" w:after="0" w:afterAutospacing="0" w:line="240" w:lineRule="auto"/>
              <w:ind w:right="-2"/>
              <w:rPr>
                <w:b/>
                <w:szCs w:val="24"/>
                <w:u w:val="single" w:color="000000"/>
              </w:rPr>
            </w:pPr>
            <w:r>
              <w:rPr>
                <w:szCs w:val="24"/>
              </w:rPr>
              <w:t xml:space="preserve">There is a need to </w:t>
            </w:r>
            <w:bookmarkStart w:id="1366" w:name="_Hlk174288443"/>
            <w:r>
              <w:rPr>
                <w:szCs w:val="24"/>
              </w:rPr>
              <w:t xml:space="preserve">design office and consultation spaces in accordance with eco-friendly building regulations </w:t>
            </w:r>
            <w:bookmarkEnd w:id="1366"/>
            <w:r>
              <w:rPr>
                <w:szCs w:val="24"/>
              </w:rPr>
              <w:t xml:space="preserve">to enhance employee’s safety and health  </w:t>
            </w:r>
          </w:p>
        </w:tc>
        <w:tc>
          <w:tcPr>
            <w:tcW w:w="896" w:type="pct"/>
          </w:tcPr>
          <w:p w14:paraId="398F0066" w14:textId="77777777" w:rsidR="009F33CD" w:rsidRDefault="00E40740" w:rsidP="001E3129">
            <w:pPr>
              <w:spacing w:before="0" w:beforeAutospacing="0" w:after="0" w:afterAutospacing="0" w:line="240" w:lineRule="auto"/>
              <w:ind w:right="-2"/>
              <w:jc w:val="center"/>
              <w:rPr>
                <w:bCs/>
                <w:szCs w:val="24"/>
              </w:rPr>
            </w:pPr>
            <w:r>
              <w:rPr>
                <w:bCs/>
                <w:szCs w:val="24"/>
              </w:rPr>
              <w:t>13</w:t>
            </w:r>
          </w:p>
        </w:tc>
        <w:tc>
          <w:tcPr>
            <w:tcW w:w="939" w:type="pct"/>
          </w:tcPr>
          <w:p w14:paraId="3E0F1C4D" w14:textId="77777777" w:rsidR="009F33CD" w:rsidRDefault="00E40740" w:rsidP="001E3129">
            <w:pPr>
              <w:spacing w:before="0" w:beforeAutospacing="0" w:after="0" w:afterAutospacing="0" w:line="240" w:lineRule="auto"/>
              <w:ind w:right="-2"/>
              <w:jc w:val="center"/>
              <w:rPr>
                <w:bCs/>
                <w:szCs w:val="24"/>
              </w:rPr>
            </w:pPr>
            <w:r>
              <w:rPr>
                <w:bCs/>
                <w:szCs w:val="24"/>
              </w:rPr>
              <w:t>30.2</w:t>
            </w:r>
          </w:p>
        </w:tc>
      </w:tr>
      <w:tr w:rsidR="009F33CD" w14:paraId="687E6F3D" w14:textId="77777777" w:rsidTr="001E3129">
        <w:trPr>
          <w:trHeight w:val="426"/>
        </w:trPr>
        <w:tc>
          <w:tcPr>
            <w:tcW w:w="3166" w:type="pct"/>
            <w:tcBorders>
              <w:bottom w:val="nil"/>
            </w:tcBorders>
          </w:tcPr>
          <w:p w14:paraId="56209D4C" w14:textId="77777777" w:rsidR="009F33CD" w:rsidRDefault="00E40740">
            <w:pPr>
              <w:spacing w:before="0" w:beforeAutospacing="0" w:after="0" w:afterAutospacing="0" w:line="240" w:lineRule="auto"/>
              <w:ind w:left="14"/>
              <w:rPr>
                <w:b/>
                <w:szCs w:val="24"/>
                <w:u w:val="single" w:color="000000"/>
              </w:rPr>
            </w:pPr>
            <w:r>
              <w:rPr>
                <w:szCs w:val="24"/>
              </w:rPr>
              <w:t>There is a need for Hospitals to supply adequate personal protective equipment (PPEs)</w:t>
            </w:r>
          </w:p>
        </w:tc>
        <w:tc>
          <w:tcPr>
            <w:tcW w:w="896" w:type="pct"/>
            <w:tcBorders>
              <w:bottom w:val="nil"/>
            </w:tcBorders>
          </w:tcPr>
          <w:p w14:paraId="3C3F403B" w14:textId="77777777" w:rsidR="009F33CD" w:rsidRDefault="00E40740" w:rsidP="001E3129">
            <w:pPr>
              <w:spacing w:before="0" w:beforeAutospacing="0" w:after="0" w:afterAutospacing="0" w:line="240" w:lineRule="auto"/>
              <w:ind w:right="-2"/>
              <w:jc w:val="center"/>
              <w:rPr>
                <w:bCs/>
                <w:szCs w:val="24"/>
              </w:rPr>
            </w:pPr>
            <w:r>
              <w:rPr>
                <w:bCs/>
                <w:szCs w:val="24"/>
              </w:rPr>
              <w:t>7</w:t>
            </w:r>
          </w:p>
        </w:tc>
        <w:tc>
          <w:tcPr>
            <w:tcW w:w="939" w:type="pct"/>
            <w:tcBorders>
              <w:bottom w:val="nil"/>
            </w:tcBorders>
          </w:tcPr>
          <w:p w14:paraId="618FE62E" w14:textId="77777777" w:rsidR="009F33CD" w:rsidRDefault="00E40740" w:rsidP="001E3129">
            <w:pPr>
              <w:spacing w:before="0" w:beforeAutospacing="0" w:after="0" w:afterAutospacing="0" w:line="240" w:lineRule="auto"/>
              <w:ind w:right="-2"/>
              <w:jc w:val="center"/>
              <w:rPr>
                <w:bCs/>
                <w:szCs w:val="24"/>
              </w:rPr>
            </w:pPr>
            <w:r>
              <w:rPr>
                <w:bCs/>
                <w:szCs w:val="24"/>
              </w:rPr>
              <w:t>16.3</w:t>
            </w:r>
          </w:p>
        </w:tc>
      </w:tr>
      <w:tr w:rsidR="009F33CD" w14:paraId="4D430CBB" w14:textId="77777777" w:rsidTr="001E3129">
        <w:trPr>
          <w:trHeight w:val="45"/>
        </w:trPr>
        <w:tc>
          <w:tcPr>
            <w:tcW w:w="3166" w:type="pct"/>
            <w:tcBorders>
              <w:top w:val="nil"/>
              <w:bottom w:val="single" w:sz="4" w:space="0" w:color="auto"/>
            </w:tcBorders>
          </w:tcPr>
          <w:p w14:paraId="557E7304" w14:textId="77777777" w:rsidR="009F33CD" w:rsidRDefault="00E40740">
            <w:pPr>
              <w:spacing w:before="0" w:beforeAutospacing="0" w:after="0" w:afterAutospacing="0" w:line="240" w:lineRule="auto"/>
              <w:ind w:right="-2"/>
              <w:rPr>
                <w:b/>
                <w:szCs w:val="24"/>
              </w:rPr>
            </w:pPr>
            <w:r>
              <w:rPr>
                <w:b/>
                <w:szCs w:val="24"/>
              </w:rPr>
              <w:t>Total</w:t>
            </w:r>
          </w:p>
        </w:tc>
        <w:tc>
          <w:tcPr>
            <w:tcW w:w="896" w:type="pct"/>
            <w:tcBorders>
              <w:top w:val="nil"/>
              <w:bottom w:val="single" w:sz="4" w:space="0" w:color="auto"/>
            </w:tcBorders>
          </w:tcPr>
          <w:p w14:paraId="6F0F43F5" w14:textId="77777777" w:rsidR="009F33CD" w:rsidRDefault="00E40740" w:rsidP="001E3129">
            <w:pPr>
              <w:spacing w:before="0" w:beforeAutospacing="0" w:after="0" w:afterAutospacing="0" w:line="240" w:lineRule="auto"/>
              <w:ind w:right="-2"/>
              <w:jc w:val="center"/>
              <w:rPr>
                <w:b/>
                <w:szCs w:val="24"/>
              </w:rPr>
            </w:pPr>
            <w:r>
              <w:rPr>
                <w:b/>
                <w:szCs w:val="24"/>
              </w:rPr>
              <w:t>43</w:t>
            </w:r>
          </w:p>
        </w:tc>
        <w:tc>
          <w:tcPr>
            <w:tcW w:w="939" w:type="pct"/>
            <w:tcBorders>
              <w:top w:val="nil"/>
              <w:bottom w:val="single" w:sz="4" w:space="0" w:color="auto"/>
            </w:tcBorders>
          </w:tcPr>
          <w:p w14:paraId="37AEF03C" w14:textId="77777777" w:rsidR="009F33CD" w:rsidRDefault="00E40740" w:rsidP="001E3129">
            <w:pPr>
              <w:spacing w:before="0" w:beforeAutospacing="0" w:after="0" w:afterAutospacing="0" w:line="240" w:lineRule="auto"/>
              <w:ind w:right="-2"/>
              <w:jc w:val="center"/>
              <w:rPr>
                <w:b/>
                <w:szCs w:val="24"/>
              </w:rPr>
            </w:pPr>
            <w:r>
              <w:rPr>
                <w:b/>
                <w:szCs w:val="24"/>
              </w:rPr>
              <w:t>100.0</w:t>
            </w:r>
          </w:p>
        </w:tc>
      </w:tr>
    </w:tbl>
    <w:p w14:paraId="204C4118" w14:textId="77777777" w:rsidR="009F33CD" w:rsidRDefault="006E2DB1">
      <w:r>
        <w:t>The findings in Table 4.29</w:t>
      </w:r>
      <w:r w:rsidR="00E40740">
        <w:t xml:space="preserve">, show majority 53.5% indicated that devolved healthcare services should continue to embrace paperless offices to reduce paper use and minimize the cost of printing paper. The finding suggests that GHRM practices can lead to cost savings through resource optimization, reduced energy consumption, and eco-friendly procurement. These measures enhance operational efficiency while maintaining high-quality patient care. Use of digital technology, employees use less time in locating reports and other associated information that are in paper form which leads to reduced pollution of the environment with waste paper. The finding is in agreement with that of Ahmad (2015) who found that e-business and e-learning had converted ordinary offices into paperless offices which reduces the consumption of paper and minimizes the cost of paper-related activities. </w:t>
      </w:r>
    </w:p>
    <w:p w14:paraId="286A036C" w14:textId="77777777" w:rsidR="009F33CD" w:rsidRDefault="00E40740">
      <w:r>
        <w:t xml:space="preserve">Other respondents 30.2% suggested that hospitals should </w:t>
      </w:r>
      <w:r>
        <w:rPr>
          <w:szCs w:val="24"/>
        </w:rPr>
        <w:t xml:space="preserve">design office and consultation spaces in accordance with eco-friendly building regulations </w:t>
      </w:r>
      <w:r>
        <w:t xml:space="preserve">to reduce </w:t>
      </w:r>
      <w:r>
        <w:lastRenderedPageBreak/>
        <w:t xml:space="preserve">overcrowding that causes risk of injury to the health of the employees. This suggests that spacious offices usually reduce overcrowding, promote fresh air circulation, and minimize infection which means that employees should be in good health to provide continuous healthcare services. It also indicates that providing spacious, well-designed work areas may significantly enhance the well-being and productivity of healthcare employees. Further, properly designed consultation spaces can also improve patient care, while reduced overcrowding leads to better patient flow and experience, and less stress among employees leading to higher job satisfaction. Finally, respondents representing 16.3% suggested the need for hospitals to supply adequate personal protective equipment. Employees who are provided with adequate protective gear feel safe and committed to discharge their </w:t>
      </w:r>
      <w:r>
        <w:rPr>
          <w:lang w:val="en-US"/>
        </w:rPr>
        <w:t xml:space="preserve">healthcare </w:t>
      </w:r>
      <w:r>
        <w:t>services</w:t>
      </w:r>
      <w:r>
        <w:rPr>
          <w:lang w:val="en-US"/>
        </w:rPr>
        <w:t xml:space="preserve"> on regular basis</w:t>
      </w:r>
      <w:r>
        <w:t xml:space="preserve">.  </w:t>
      </w:r>
    </w:p>
    <w:bookmarkEnd w:id="1364"/>
    <w:bookmarkEnd w:id="1365"/>
    <w:p w14:paraId="06120793" w14:textId="77777777" w:rsidR="009F33CD" w:rsidRDefault="00E40740">
      <w:pPr>
        <w:rPr>
          <w:rFonts w:cs="Times New Roman"/>
          <w:bCs/>
          <w:szCs w:val="24"/>
        </w:rPr>
      </w:pPr>
      <w:r>
        <w:rPr>
          <w:rFonts w:cs="Times New Roman"/>
          <w:bCs/>
          <w:szCs w:val="24"/>
        </w:rPr>
        <w:t xml:space="preserve">The study sought to check and record the types of safety measures implemented in the period between 2014 and 2019. The study found that Level Five Hospitals provided protective personal equipment, such as gloves, dust coats, and environmentally friendly shoes. The provision of personal protective gear to employees minimizes infection and spread of disease while ensuring employee safety and health. Further, it was found that Emergency safety and warning signs were displayed at entry or exit points to guide employees to safety; fire extinguishers were installed at strategic points with clearly designated fire assembly points. These signs play an important role in guiding employees during emergencies, swiftly directing employees to exits, fire-fighting equipment, and assembly points for safe evacuation and maintaining a safe environment. This finding is aligned with a study conducted by Jelimo (2018) who alluded that some </w:t>
      </w:r>
      <w:r>
        <w:rPr>
          <w:rFonts w:cs="Times New Roman"/>
          <w:bCs/>
          <w:szCs w:val="24"/>
          <w:lang w:val="en-US"/>
        </w:rPr>
        <w:t xml:space="preserve">green </w:t>
      </w:r>
      <w:r>
        <w:rPr>
          <w:rFonts w:cs="Times New Roman"/>
          <w:bCs/>
          <w:szCs w:val="24"/>
        </w:rPr>
        <w:t xml:space="preserve">practices of occupational health and safety for example fire prevention and employee protective gear had a positive significant relationship with the productivity of employees. The provision of standard operating procedures (SOPS) was evident in all work areas to aid work processes that are safe and eco-friendly. The study also sought to check and record the number of available Annual Environmental Audit reports for the past six years (2014-2019). An environmental audit is a regulatory requirement for compliance (Carson et al., 2020) that shows managers </w:t>
      </w:r>
      <w:r>
        <w:rPr>
          <w:rFonts w:cs="Times New Roman"/>
          <w:bCs/>
          <w:szCs w:val="24"/>
          <w:lang w:val="en-US"/>
        </w:rPr>
        <w:t xml:space="preserve">the </w:t>
      </w:r>
      <w:r>
        <w:rPr>
          <w:rFonts w:cs="Times New Roman"/>
          <w:bCs/>
          <w:szCs w:val="24"/>
        </w:rPr>
        <w:t>ways to improve environmental sustainability and indicates which work processes positively influence performance and which work-related risks need to be addressed.</w:t>
      </w:r>
      <w:r>
        <w:rPr>
          <w:rFonts w:cs="Times New Roman"/>
          <w:bCs/>
          <w:color w:val="000000"/>
          <w:szCs w:val="24"/>
          <w:lang w:eastAsia="en-GB" w:bidi="th-TH"/>
        </w:rPr>
        <w:t xml:space="preserve"> </w:t>
      </w:r>
    </w:p>
    <w:p w14:paraId="7CB954DC" w14:textId="77777777" w:rsidR="009F33CD" w:rsidRDefault="00E40740">
      <w:pPr>
        <w:rPr>
          <w:rFonts w:cs="Times New Roman"/>
          <w:bCs/>
          <w:szCs w:val="24"/>
        </w:rPr>
      </w:pPr>
      <w:r>
        <w:rPr>
          <w:rFonts w:cs="Times New Roman"/>
          <w:bCs/>
          <w:color w:val="000000"/>
          <w:szCs w:val="24"/>
          <w:lang w:eastAsia="en-GB" w:bidi="th-TH"/>
        </w:rPr>
        <w:lastRenderedPageBreak/>
        <w:t>Recent studies also indicate that environmental auditing can serve as a catalyst for eco-innovation business practices and enhance competitive advantage in a dynamic marketplace (Carson et al., 2020). The past study conducted by Rani and Mishra (2014) supports this study because green HR efforts over time should focus on increasing competency within processes, and reducing and eliminating environmental degradation.</w:t>
      </w:r>
      <w:r>
        <w:rPr>
          <w:rFonts w:cs="Times New Roman"/>
          <w:bCs/>
          <w:szCs w:val="24"/>
        </w:rPr>
        <w:t xml:space="preserve"> It was found that most devolved healthcare services had not conducted any annual environmental audit for the period under study, but they have health environmental policy statements committing the hospital employees towards continuous environmental protection and conservation as they discharge their healthcare services.   </w:t>
      </w:r>
    </w:p>
    <w:p w14:paraId="6CF9808B" w14:textId="77777777" w:rsidR="009F33CD" w:rsidRDefault="00E40740">
      <w:pPr>
        <w:rPr>
          <w:rFonts w:cs="Times New Roman"/>
          <w:bCs/>
        </w:rPr>
      </w:pPr>
      <w:r>
        <w:rPr>
          <w:rFonts w:cs="Times New Roman"/>
          <w:bCs/>
        </w:rPr>
        <w:t xml:space="preserve">The study also checked and recorded types of eco-friendly healthcare waste disposal methods for the period 2014-2019. From the records availed by the hospitals’ public health officers, it was noted that the devolved healthcare services have trained their employees to use waste segregation pins to separate different types of waste to maintain a safe and clean work environment. When healthcare waste is properly managed, the work environment is free from pollution and this boosts employee morale to work. This finding is supported by a study by </w:t>
      </w:r>
      <w:r>
        <w:rPr>
          <w:rFonts w:cs="Times New Roman"/>
        </w:rPr>
        <w:t>Mwita (2019), that the use of eco-friendly methods and techniques in training and development can impact employees with the necessary skills and knowledge on how to minimize pollution and protect the environment at places of work.</w:t>
      </w:r>
      <w:r>
        <w:rPr>
          <w:rFonts w:cs="Times New Roman"/>
          <w:bCs/>
        </w:rPr>
        <w:t xml:space="preserve"> Incineration method is used to destroy biological waste and cemetery for </w:t>
      </w:r>
      <w:r>
        <w:rPr>
          <w:rFonts w:cs="Times New Roman"/>
          <w:bCs/>
          <w:lang w:val="en-US"/>
        </w:rPr>
        <w:t xml:space="preserve">disposal of </w:t>
      </w:r>
      <w:r>
        <w:rPr>
          <w:rFonts w:cs="Times New Roman"/>
          <w:bCs/>
        </w:rPr>
        <w:t>unclaimed bodies; waste food is given to pig farmers; garbage is deposited at the dumpsite; wastewater is released to sewer ponds for treatment and reuse; plastic chairs and empty cans are sold for re-use or recycling; and in some cases, a burning method is used</w:t>
      </w:r>
      <w:r>
        <w:rPr>
          <w:rFonts w:cs="Times New Roman"/>
          <w:bCs/>
          <w:lang w:val="en-US"/>
        </w:rPr>
        <w:t xml:space="preserve"> for cloth- and paper-related waste</w:t>
      </w:r>
      <w:r>
        <w:rPr>
          <w:rFonts w:cs="Times New Roman"/>
          <w:bCs/>
        </w:rPr>
        <w:t xml:space="preserve">. This result concurs with </w:t>
      </w:r>
      <w:r>
        <w:rPr>
          <w:rFonts w:eastAsia="TimesNewRoman" w:cs="Times New Roman"/>
          <w:bCs/>
          <w:color w:val="222222"/>
        </w:rPr>
        <w:t>Pillai and Sivathanu (2014</w:t>
      </w:r>
      <w:r>
        <w:rPr>
          <w:rFonts w:eastAsia="TimesNewRoman" w:cs="Times New Roman"/>
          <w:bCs/>
          <w:color w:val="000000"/>
        </w:rPr>
        <w:t>)</w:t>
      </w:r>
      <w:r>
        <w:rPr>
          <w:rFonts w:eastAsia="TimesNewRoman" w:cs="Times New Roman"/>
          <w:bCs/>
          <w:color w:val="000000"/>
          <w:lang w:val="en-US"/>
        </w:rPr>
        <w:t xml:space="preserve"> who</w:t>
      </w:r>
      <w:r>
        <w:rPr>
          <w:rFonts w:eastAsia="TimesNewRoman" w:cs="Times New Roman"/>
          <w:bCs/>
          <w:color w:val="000000"/>
        </w:rPr>
        <w:t xml:space="preserve"> alluded </w:t>
      </w:r>
      <w:r>
        <w:rPr>
          <w:rFonts w:eastAsia="TimesNewRoman" w:cs="Times New Roman"/>
          <w:bCs/>
          <w:color w:val="000000"/>
          <w:lang w:val="en-US"/>
        </w:rPr>
        <w:t xml:space="preserve">that </w:t>
      </w:r>
      <w:r>
        <w:rPr>
          <w:rFonts w:eastAsia="TimesNewRoman" w:cs="Times New Roman"/>
          <w:bCs/>
          <w:color w:val="000000"/>
        </w:rPr>
        <w:t>green initiatives</w:t>
      </w:r>
      <w:r>
        <w:rPr>
          <w:rFonts w:cs="Times New Roman"/>
          <w:bCs/>
        </w:rPr>
        <w:t xml:space="preserve"> such as recycling campaigns, paper drives, and educational programs can be driven by HR personnel because they can contribute to a cleaner environment and save time and money. It was further noted that whenever these methods are used, environmental protection and conservation are taken into consideration. In recording types of disciplinary actions imposed on employees for non-compliance to GOSH activities for the past six years (2014-2019), the study found that any disciplinary matter related to non-compliance to GOSH was handled under the general disciplinary </w:t>
      </w:r>
      <w:r>
        <w:rPr>
          <w:rFonts w:cs="Times New Roman"/>
          <w:bCs/>
        </w:rPr>
        <w:lastRenderedPageBreak/>
        <w:t>procedure of the hospitals.</w:t>
      </w:r>
      <w:bookmarkStart w:id="1367" w:name="_Hlk174041492"/>
      <w:r>
        <w:rPr>
          <w:rFonts w:cs="Times New Roman"/>
          <w:bCs/>
        </w:rPr>
        <w:t xml:space="preserve"> </w:t>
      </w:r>
      <w:r>
        <w:rPr>
          <w:rFonts w:cs="Times New Roman"/>
        </w:rPr>
        <w:t xml:space="preserve">The study interviewed managers and the findings are indicated in the section that follows. Respondents were requested to explain how GOSH affects the performance of devolved healthcare services. </w:t>
      </w:r>
    </w:p>
    <w:p w14:paraId="3AC541D1" w14:textId="77777777" w:rsidR="009F33CD" w:rsidRDefault="00E40740">
      <w:pPr>
        <w:rPr>
          <w:rFonts w:cs="Times New Roman"/>
          <w:color w:val="000000"/>
        </w:rPr>
      </w:pPr>
      <w:r>
        <w:t>From the study findings, all twelve managers indicated that a clean and safe workplace should be provided to both employees and customers. The provision of a clean and safe workplace enhances the protection of employees against risks arising out of or connected with their activities and this makes them perform well.</w:t>
      </w:r>
      <w:r>
        <w:rPr>
          <w:color w:val="000000"/>
        </w:rPr>
        <w:t xml:space="preserve"> The findings are aligned with that of the World Health Organization (2012) which found that </w:t>
      </w:r>
      <w:r>
        <w:t>protection and promotion of workers’ health by preventing and controlling occupational diseases and accidents; development and promotion of healthy and safe work, work environments, and work organizations</w:t>
      </w:r>
      <w:r>
        <w:rPr>
          <w:color w:val="000000"/>
        </w:rPr>
        <w:t xml:space="preserve"> </w:t>
      </w:r>
      <w:r>
        <w:t xml:space="preserve">enable workers to conduct socially and economically productive lives and hence contribute positively to sustainable development. </w:t>
      </w:r>
      <w:r>
        <w:rPr>
          <w:rFonts w:cs="Times New Roman"/>
        </w:rPr>
        <w:t xml:space="preserve">This result is further supported by Hameed </w:t>
      </w:r>
      <w:r>
        <w:rPr>
          <w:rFonts w:cs="Times New Roman"/>
          <w:i/>
        </w:rPr>
        <w:t>et al.</w:t>
      </w:r>
      <w:r>
        <w:rPr>
          <w:rFonts w:cs="Times New Roman"/>
        </w:rPr>
        <w:t xml:space="preserve"> (2020) who opined that green safety and health are very important in promoting the safety and health of employees while at the same time providing a green environment that has less stress and reduced harmful effects.</w:t>
      </w:r>
    </w:p>
    <w:p w14:paraId="3C7AC95D" w14:textId="77777777" w:rsidR="009F33CD" w:rsidRDefault="00E40740">
      <w:pPr>
        <w:pStyle w:val="Pa10"/>
        <w:spacing w:before="240" w:line="360" w:lineRule="auto"/>
        <w:jc w:val="both"/>
        <w:rPr>
          <w:rFonts w:ascii="Times New Roman" w:hAnsi="Times New Roman" w:cs="Times New Roman"/>
          <w:lang w:val="en-GB"/>
        </w:rPr>
      </w:pPr>
      <w:r>
        <w:rPr>
          <w:rFonts w:ascii="Times New Roman" w:hAnsi="Times New Roman" w:cs="Times New Roman"/>
          <w:bCs/>
          <w:lang w:val="en-GB"/>
        </w:rPr>
        <w:t xml:space="preserve">The managers were asked to explain if the hospitals had a committee that specifically deals with the daily health issues of employees and their safety at work. All the 12 managers indicated that each Level Five Hospital has an established Infection Prevention and Control Committee that deals with daily safety, health, and welfare issues that affect employees and other persons lawfully present at workplaces. This finding indicates that the hospitals are compliant with the Occupational Safety, Health and Welfare Act (2017) of Kenya. </w:t>
      </w:r>
      <w:r>
        <w:rPr>
          <w:rFonts w:ascii="Times New Roman" w:hAnsi="Times New Roman" w:cs="Times New Roman"/>
          <w:lang w:val="en-GB"/>
        </w:rPr>
        <w:t xml:space="preserve">Sharaf and Khalil (2021) support this idea of compliance by arguing that organizations are putting in efforts to improve sustainability through effective employee safety and health policies, which can also encompass environmental issues. </w:t>
      </w:r>
    </w:p>
    <w:p w14:paraId="4D8BD7D7" w14:textId="77777777" w:rsidR="009F33CD" w:rsidRDefault="00E40740">
      <w:pPr>
        <w:pStyle w:val="Pa10"/>
        <w:spacing w:before="240" w:line="360" w:lineRule="auto"/>
        <w:jc w:val="both"/>
        <w:rPr>
          <w:rFonts w:ascii="Times New Roman" w:hAnsi="Times New Roman" w:cs="Times New Roman"/>
          <w:lang w:val="en-GB"/>
        </w:rPr>
      </w:pPr>
      <w:r>
        <w:rPr>
          <w:rFonts w:ascii="Times New Roman" w:hAnsi="Times New Roman" w:cs="Times New Roman"/>
          <w:bCs/>
          <w:lang w:val="en-GB"/>
        </w:rPr>
        <w:t xml:space="preserve">To ensure environmental sustainability, all 12 managers responded that they manage their staff by allocating specific duties and providing induction training on healthcare waste management, as well as infection prevention and control. </w:t>
      </w:r>
      <w:r>
        <w:rPr>
          <w:rFonts w:ascii="Times New Roman" w:hAnsi="Times New Roman" w:cs="Times New Roman"/>
          <w:lang w:val="en-GB"/>
        </w:rPr>
        <w:t xml:space="preserve">Green occupational safety and health practices tend to reduce harmful consequences in order to avoid </w:t>
      </w:r>
      <w:r>
        <w:rPr>
          <w:rFonts w:ascii="Times New Roman" w:hAnsi="Times New Roman" w:cs="Times New Roman"/>
          <w:lang w:val="en-GB"/>
        </w:rPr>
        <w:lastRenderedPageBreak/>
        <w:t>health concerns and improve the well-being of employees for increased performance. T</w:t>
      </w:r>
      <w:r>
        <w:rPr>
          <w:rFonts w:ascii="Times New Roman" w:hAnsi="Times New Roman" w:cs="Times New Roman"/>
          <w:bCs/>
          <w:lang w:val="en-GB"/>
        </w:rPr>
        <w:t xml:space="preserve">herefore, green induction to new staff and continuous awareness tend to give employees the ability, motivation, and opportunity (AMO) to manage waste properly and hence protect and conserve the environment as they also deliver healthcare services. In the same vein, </w:t>
      </w:r>
      <w:r>
        <w:rPr>
          <w:rFonts w:ascii="Times New Roman" w:hAnsi="Times New Roman" w:cs="Times New Roman"/>
          <w:lang w:val="en-GB"/>
        </w:rPr>
        <w:t xml:space="preserve">Shah (2019) explained that a lot of effort is required to reduce occupational stress and sickness and initiate activities that protect the environment and livelihoods of communities. </w:t>
      </w:r>
    </w:p>
    <w:p w14:paraId="08E431E5" w14:textId="77777777" w:rsidR="009F33CD" w:rsidRDefault="00E40740">
      <w:pPr>
        <w:rPr>
          <w:rFonts w:cs="Times New Roman"/>
          <w:bCs/>
          <w:szCs w:val="24"/>
        </w:rPr>
      </w:pPr>
      <w:r>
        <w:rPr>
          <w:rFonts w:cs="Times New Roman"/>
          <w:bCs/>
          <w:szCs w:val="24"/>
        </w:rPr>
        <w:t xml:space="preserve">The managers were asked to explain if they used paperless offices and the extent to which that practice affected the performance of devolved healthcare services. Nine out of 12 managers explained that most of their operations and offices were paperless, while three argued that their offices were partly paperless and partly not. This indicates a strong adoption of digital practices in most areas of healthcare services, while some areas still rely on traditional paper-based methods. The majority who have adopted paperless systems can experience efficiency in operations. This means that digital record-keeping and communication streamlines healthcare workflows, reduces administrative burdens, and speed up processes. Paperless offices save the time spent on searching paper documents and lead to improved speed of service delivery and reduced fraud of finance. </w:t>
      </w:r>
    </w:p>
    <w:p w14:paraId="355AC90D" w14:textId="77777777" w:rsidR="009F33CD" w:rsidRDefault="00E40740">
      <w:pPr>
        <w:rPr>
          <w:rFonts w:cs="Times New Roman"/>
          <w:bCs/>
          <w:szCs w:val="24"/>
        </w:rPr>
      </w:pPr>
      <w:r>
        <w:rPr>
          <w:rFonts w:cs="Times New Roman"/>
          <w:bCs/>
          <w:szCs w:val="24"/>
        </w:rPr>
        <w:t xml:space="preserve">Reduced printing paper leads to reduced waste paper to the environment and protection of trees that provide shade and produce paper and it also leads to cost savings which translates into increased revenues for the hospital. This finding is supported by </w:t>
      </w:r>
      <w:r>
        <w:rPr>
          <w:rFonts w:cs="Times New Roman"/>
          <w:bCs/>
          <w:color w:val="000000"/>
          <w:szCs w:val="24"/>
        </w:rPr>
        <w:t xml:space="preserve">Ahmad (2015) who found that </w:t>
      </w:r>
      <w:r>
        <w:rPr>
          <w:rFonts w:cs="Times New Roman"/>
          <w:bCs/>
          <w:szCs w:val="24"/>
        </w:rPr>
        <w:t xml:space="preserve">e-business and e-learning had changed ordinary offices into paperless offices which to a large extent reduces the consumption of paper and minimizes substantially the cost of paper-related activities. Additionally, digital records are more easily accessed and updated, reducing errors associated with manual entry. Streamlined processes for appointments, billing, and prescriptions lead to faster service delivery. Seamless data sharing between healthcare providers improves communication and collaboration, reduced reliance on paper and manual processes can lead to cost reductions in the long run. The shift towards paperless operations is likely to positively impact the performance of devolved healthcare services by improving efficiency, reducing costs, and enhancing sustainability. However, </w:t>
      </w:r>
      <w:r>
        <w:rPr>
          <w:rFonts w:cs="Times New Roman"/>
          <w:bCs/>
          <w:szCs w:val="24"/>
        </w:rPr>
        <w:lastRenderedPageBreak/>
        <w:t xml:space="preserve">addressing the challenges faced by those still partially reliant on paper-based methods will be crucial for maximizing these benefits.    </w:t>
      </w:r>
    </w:p>
    <w:p w14:paraId="76DFCDAA" w14:textId="77777777" w:rsidR="009F33CD" w:rsidRDefault="00E40740">
      <w:pPr>
        <w:pStyle w:val="Heading3"/>
        <w:rPr>
          <w:rFonts w:eastAsia="TimesNewRoman"/>
        </w:rPr>
      </w:pPr>
      <w:bookmarkStart w:id="1368" w:name="_Toc188130647"/>
      <w:bookmarkStart w:id="1369" w:name="_Toc188443994"/>
      <w:bookmarkStart w:id="1370" w:name="_Toc188442620"/>
      <w:bookmarkStart w:id="1371" w:name="_Toc165623637"/>
      <w:bookmarkStart w:id="1372" w:name="_Toc178945080"/>
      <w:bookmarkStart w:id="1373" w:name="_Toc185614122"/>
      <w:bookmarkStart w:id="1374" w:name="_Toc187080894"/>
      <w:bookmarkStart w:id="1375" w:name="_Toc178942670"/>
      <w:bookmarkStart w:id="1376" w:name="_Toc165626418"/>
      <w:bookmarkStart w:id="1377" w:name="_Toc178944328"/>
      <w:bookmarkStart w:id="1378" w:name="_Toc224160684"/>
      <w:bookmarkStart w:id="1379" w:name="_Toc224237747"/>
      <w:bookmarkEnd w:id="1367"/>
      <w:r>
        <w:t>4.8.2 Correlation Analysis Findings for Green Occupational Safety, Health and Performance</w:t>
      </w:r>
      <w:bookmarkEnd w:id="1368"/>
      <w:bookmarkEnd w:id="1369"/>
      <w:bookmarkEnd w:id="1370"/>
      <w:bookmarkEnd w:id="1371"/>
      <w:bookmarkEnd w:id="1372"/>
      <w:bookmarkEnd w:id="1373"/>
      <w:bookmarkEnd w:id="1374"/>
      <w:bookmarkEnd w:id="1375"/>
      <w:bookmarkEnd w:id="1376"/>
      <w:bookmarkEnd w:id="1377"/>
      <w:bookmarkEnd w:id="1378"/>
      <w:bookmarkEnd w:id="1379"/>
    </w:p>
    <w:p w14:paraId="02E1D9B7" w14:textId="77777777" w:rsidR="009F33CD" w:rsidRDefault="00E40740">
      <w:pPr>
        <w:rPr>
          <w:rFonts w:cs="Times New Roman"/>
        </w:rPr>
      </w:pPr>
      <w:r>
        <w:t xml:space="preserve">Correlation analysis was conducted to determine the strength and direction of the relationship between GOSH and the performance of devolved healthcare services. </w:t>
      </w:r>
      <w:bookmarkStart w:id="1380" w:name="_Hlk185225889"/>
      <w:r>
        <w:t>Pearson’s product-moment correlation coefficient (PPMC) formula was applied to conduct correlation analysis which shows the strength and direction of the relationship between independent variables (Mugenda &amp; Mugenda, 2013)</w:t>
      </w:r>
      <w:bookmarkEnd w:id="1380"/>
      <w:r>
        <w:t xml:space="preserve">. </w:t>
      </w:r>
      <w:r>
        <w:rPr>
          <w:rFonts w:cs="Times New Roman"/>
        </w:rPr>
        <w:t xml:space="preserve">The correlation test results in Table 4.29 indicated a significant strong and positive relationship between green occupational safety, health, and the performance of devolved healthcare services in Kenya. This relationship was statistically significant strong and positive (r = 0.731, n = 118, p = 0.000&lt;0.05). </w:t>
      </w:r>
    </w:p>
    <w:p w14:paraId="2D69E4C6" w14:textId="77777777" w:rsidR="009F33CD" w:rsidRDefault="000748E0">
      <w:pPr>
        <w:pStyle w:val="Heading6"/>
      </w:pPr>
      <w:bookmarkStart w:id="1381" w:name="_Toc185614123"/>
      <w:bookmarkStart w:id="1382" w:name="_Toc187080895"/>
      <w:bookmarkStart w:id="1383" w:name="_Toc224237459"/>
      <w:r>
        <w:t>Table 4.30</w:t>
      </w:r>
      <w:r w:rsidR="00E40740">
        <w:t>: Correlation for Green Occupational Safety, Health, and Performance</w:t>
      </w:r>
      <w:bookmarkEnd w:id="1381"/>
      <w:bookmarkEnd w:id="1382"/>
      <w:bookmarkEnd w:id="138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088"/>
        <w:gridCol w:w="2216"/>
        <w:gridCol w:w="1745"/>
      </w:tblGrid>
      <w:tr w:rsidR="009F33CD" w14:paraId="4A196247" w14:textId="77777777">
        <w:trPr>
          <w:trHeight w:val="271"/>
        </w:trPr>
        <w:tc>
          <w:tcPr>
            <w:tcW w:w="2234" w:type="dxa"/>
            <w:tcBorders>
              <w:top w:val="single" w:sz="4" w:space="0" w:color="auto"/>
              <w:bottom w:val="single" w:sz="4" w:space="0" w:color="auto"/>
            </w:tcBorders>
          </w:tcPr>
          <w:p w14:paraId="527A489D" w14:textId="77777777" w:rsidR="009F33CD" w:rsidRDefault="00E40740">
            <w:pPr>
              <w:spacing w:before="0" w:beforeAutospacing="0" w:after="0" w:afterAutospacing="0" w:line="240" w:lineRule="auto"/>
              <w:rPr>
                <w:b/>
              </w:rPr>
            </w:pPr>
            <w:r>
              <w:rPr>
                <w:b/>
              </w:rPr>
              <w:t>Performance</w:t>
            </w:r>
          </w:p>
        </w:tc>
        <w:tc>
          <w:tcPr>
            <w:tcW w:w="2165" w:type="dxa"/>
            <w:tcBorders>
              <w:top w:val="single" w:sz="4" w:space="0" w:color="auto"/>
              <w:bottom w:val="single" w:sz="4" w:space="0" w:color="auto"/>
            </w:tcBorders>
          </w:tcPr>
          <w:p w14:paraId="384080DC" w14:textId="77777777" w:rsidR="009F33CD" w:rsidRDefault="009F33CD">
            <w:pPr>
              <w:spacing w:before="0" w:beforeAutospacing="0" w:after="0" w:afterAutospacing="0" w:line="240" w:lineRule="auto"/>
              <w:rPr>
                <w:b/>
              </w:rPr>
            </w:pPr>
          </w:p>
        </w:tc>
        <w:tc>
          <w:tcPr>
            <w:tcW w:w="2270" w:type="dxa"/>
            <w:tcBorders>
              <w:top w:val="single" w:sz="4" w:space="0" w:color="auto"/>
              <w:bottom w:val="single" w:sz="4" w:space="0" w:color="auto"/>
            </w:tcBorders>
          </w:tcPr>
          <w:p w14:paraId="1D9C38E3" w14:textId="77777777" w:rsidR="009F33CD" w:rsidRDefault="00E40740" w:rsidP="001E3129">
            <w:pPr>
              <w:spacing w:before="0" w:beforeAutospacing="0" w:after="0" w:afterAutospacing="0" w:line="240" w:lineRule="auto"/>
              <w:jc w:val="center"/>
              <w:rPr>
                <w:b/>
              </w:rPr>
            </w:pPr>
            <w:r>
              <w:rPr>
                <w:b/>
              </w:rPr>
              <w:t>Performance</w:t>
            </w:r>
            <w:r>
              <w:t>1</w:t>
            </w:r>
          </w:p>
        </w:tc>
        <w:tc>
          <w:tcPr>
            <w:tcW w:w="1885" w:type="dxa"/>
            <w:tcBorders>
              <w:top w:val="single" w:sz="4" w:space="0" w:color="auto"/>
              <w:bottom w:val="single" w:sz="4" w:space="0" w:color="auto"/>
            </w:tcBorders>
          </w:tcPr>
          <w:p w14:paraId="0D3F2274" w14:textId="77777777" w:rsidR="009F33CD" w:rsidRDefault="009F33CD" w:rsidP="001E3129">
            <w:pPr>
              <w:spacing w:before="0" w:beforeAutospacing="0" w:after="0" w:afterAutospacing="0" w:line="240" w:lineRule="auto"/>
              <w:jc w:val="center"/>
              <w:rPr>
                <w:bCs/>
              </w:rPr>
            </w:pPr>
          </w:p>
        </w:tc>
      </w:tr>
      <w:tr w:rsidR="009F33CD" w14:paraId="492F8CAC" w14:textId="77777777">
        <w:trPr>
          <w:trHeight w:val="170"/>
        </w:trPr>
        <w:tc>
          <w:tcPr>
            <w:tcW w:w="2234" w:type="dxa"/>
          </w:tcPr>
          <w:p w14:paraId="4ADC2917" w14:textId="77777777" w:rsidR="009F33CD" w:rsidRDefault="00E40740">
            <w:pPr>
              <w:spacing w:before="0" w:beforeAutospacing="0" w:after="0" w:afterAutospacing="0" w:line="240" w:lineRule="auto"/>
              <w:rPr>
                <w:b/>
              </w:rPr>
            </w:pPr>
            <w:r>
              <w:rPr>
                <w:b/>
              </w:rPr>
              <w:t>GOSH</w:t>
            </w:r>
          </w:p>
        </w:tc>
        <w:tc>
          <w:tcPr>
            <w:tcW w:w="2165" w:type="dxa"/>
          </w:tcPr>
          <w:p w14:paraId="7B213563" w14:textId="77777777" w:rsidR="009F33CD" w:rsidRDefault="00E40740">
            <w:pPr>
              <w:spacing w:before="0" w:beforeAutospacing="0" w:after="0" w:afterAutospacing="0" w:line="240" w:lineRule="auto"/>
              <w:rPr>
                <w:bCs/>
              </w:rPr>
            </w:pPr>
            <w:r>
              <w:rPr>
                <w:bCs/>
              </w:rPr>
              <w:t>Pearson Correlation</w:t>
            </w:r>
          </w:p>
        </w:tc>
        <w:tc>
          <w:tcPr>
            <w:tcW w:w="2270" w:type="dxa"/>
          </w:tcPr>
          <w:p w14:paraId="440A1598" w14:textId="77777777" w:rsidR="009F33CD" w:rsidRDefault="00E40740" w:rsidP="001E3129">
            <w:pPr>
              <w:spacing w:before="0" w:beforeAutospacing="0" w:after="0" w:afterAutospacing="0" w:line="240" w:lineRule="auto"/>
              <w:jc w:val="center"/>
              <w:rPr>
                <w:bCs/>
              </w:rPr>
            </w:pPr>
            <w:r>
              <w:rPr>
                <w:bCs/>
              </w:rPr>
              <w:t>0.731**</w:t>
            </w:r>
          </w:p>
        </w:tc>
        <w:tc>
          <w:tcPr>
            <w:tcW w:w="1885" w:type="dxa"/>
          </w:tcPr>
          <w:p w14:paraId="51EB4128" w14:textId="77777777" w:rsidR="009F33CD" w:rsidRDefault="00E40740" w:rsidP="001E3129">
            <w:pPr>
              <w:spacing w:before="0" w:beforeAutospacing="0" w:after="0" w:afterAutospacing="0" w:line="240" w:lineRule="auto"/>
              <w:jc w:val="center"/>
              <w:rPr>
                <w:bCs/>
              </w:rPr>
            </w:pPr>
            <w:r>
              <w:rPr>
                <w:bCs/>
              </w:rPr>
              <w:t>1</w:t>
            </w:r>
          </w:p>
        </w:tc>
      </w:tr>
      <w:tr w:rsidR="009F33CD" w14:paraId="524AA9DB" w14:textId="77777777">
        <w:trPr>
          <w:trHeight w:val="243"/>
        </w:trPr>
        <w:tc>
          <w:tcPr>
            <w:tcW w:w="2234" w:type="dxa"/>
          </w:tcPr>
          <w:p w14:paraId="403486F7" w14:textId="77777777" w:rsidR="009F33CD" w:rsidRDefault="009F33CD">
            <w:pPr>
              <w:spacing w:before="0" w:beforeAutospacing="0" w:after="0" w:afterAutospacing="0" w:line="240" w:lineRule="auto"/>
              <w:rPr>
                <w:b/>
              </w:rPr>
            </w:pPr>
          </w:p>
        </w:tc>
        <w:tc>
          <w:tcPr>
            <w:tcW w:w="2165" w:type="dxa"/>
          </w:tcPr>
          <w:p w14:paraId="3A2A7B76" w14:textId="77777777" w:rsidR="009F33CD" w:rsidRDefault="00E40740">
            <w:pPr>
              <w:spacing w:before="0" w:beforeAutospacing="0" w:after="0" w:afterAutospacing="0" w:line="240" w:lineRule="auto"/>
              <w:rPr>
                <w:bCs/>
              </w:rPr>
            </w:pPr>
            <w:r>
              <w:rPr>
                <w:bCs/>
              </w:rPr>
              <w:t>Sig. (2-tailed)</w:t>
            </w:r>
          </w:p>
        </w:tc>
        <w:tc>
          <w:tcPr>
            <w:tcW w:w="2270" w:type="dxa"/>
          </w:tcPr>
          <w:p w14:paraId="0ACF2D85" w14:textId="77777777" w:rsidR="009F33CD" w:rsidRDefault="00E40740" w:rsidP="001E3129">
            <w:pPr>
              <w:spacing w:before="0" w:beforeAutospacing="0" w:after="0" w:afterAutospacing="0" w:line="240" w:lineRule="auto"/>
              <w:jc w:val="center"/>
              <w:rPr>
                <w:bCs/>
              </w:rPr>
            </w:pPr>
            <w:r>
              <w:rPr>
                <w:bCs/>
              </w:rPr>
              <w:t>0.000</w:t>
            </w:r>
          </w:p>
        </w:tc>
        <w:tc>
          <w:tcPr>
            <w:tcW w:w="1885" w:type="dxa"/>
          </w:tcPr>
          <w:p w14:paraId="4911FE04" w14:textId="77777777" w:rsidR="009F33CD" w:rsidRDefault="009F33CD" w:rsidP="001E3129">
            <w:pPr>
              <w:spacing w:before="0" w:beforeAutospacing="0" w:after="0" w:afterAutospacing="0" w:line="240" w:lineRule="auto"/>
              <w:jc w:val="center"/>
              <w:rPr>
                <w:bCs/>
              </w:rPr>
            </w:pPr>
          </w:p>
        </w:tc>
      </w:tr>
      <w:tr w:rsidR="009F33CD" w14:paraId="264CBCB7" w14:textId="77777777">
        <w:trPr>
          <w:trHeight w:val="55"/>
        </w:trPr>
        <w:tc>
          <w:tcPr>
            <w:tcW w:w="2234" w:type="dxa"/>
            <w:tcBorders>
              <w:bottom w:val="single" w:sz="4" w:space="0" w:color="auto"/>
            </w:tcBorders>
          </w:tcPr>
          <w:p w14:paraId="15631E90" w14:textId="77777777" w:rsidR="009F33CD" w:rsidRDefault="009F33CD">
            <w:pPr>
              <w:spacing w:before="0" w:beforeAutospacing="0" w:after="0" w:afterAutospacing="0" w:line="240" w:lineRule="auto"/>
              <w:rPr>
                <w:bCs/>
              </w:rPr>
            </w:pPr>
          </w:p>
        </w:tc>
        <w:tc>
          <w:tcPr>
            <w:tcW w:w="2165" w:type="dxa"/>
            <w:tcBorders>
              <w:bottom w:val="single" w:sz="4" w:space="0" w:color="auto"/>
            </w:tcBorders>
          </w:tcPr>
          <w:p w14:paraId="16983249" w14:textId="77777777" w:rsidR="009F33CD" w:rsidRDefault="00E40740">
            <w:pPr>
              <w:spacing w:before="0" w:beforeAutospacing="0" w:after="0" w:afterAutospacing="0" w:line="240" w:lineRule="auto"/>
              <w:rPr>
                <w:bCs/>
              </w:rPr>
            </w:pPr>
            <w:r>
              <w:rPr>
                <w:bCs/>
              </w:rPr>
              <w:t>N</w:t>
            </w:r>
          </w:p>
        </w:tc>
        <w:tc>
          <w:tcPr>
            <w:tcW w:w="2270" w:type="dxa"/>
            <w:tcBorders>
              <w:bottom w:val="single" w:sz="4" w:space="0" w:color="auto"/>
            </w:tcBorders>
          </w:tcPr>
          <w:p w14:paraId="67CDE84B" w14:textId="77777777" w:rsidR="009F33CD" w:rsidRDefault="00E40740" w:rsidP="001E3129">
            <w:pPr>
              <w:spacing w:before="0" w:beforeAutospacing="0" w:after="0" w:afterAutospacing="0" w:line="240" w:lineRule="auto"/>
              <w:jc w:val="center"/>
              <w:rPr>
                <w:bCs/>
              </w:rPr>
            </w:pPr>
            <w:r>
              <w:rPr>
                <w:bCs/>
              </w:rPr>
              <w:t>118</w:t>
            </w:r>
          </w:p>
        </w:tc>
        <w:tc>
          <w:tcPr>
            <w:tcW w:w="1885" w:type="dxa"/>
            <w:tcBorders>
              <w:bottom w:val="single" w:sz="4" w:space="0" w:color="auto"/>
            </w:tcBorders>
          </w:tcPr>
          <w:p w14:paraId="615573EA" w14:textId="77777777" w:rsidR="009F33CD" w:rsidRDefault="009F33CD" w:rsidP="001E3129">
            <w:pPr>
              <w:spacing w:before="0" w:beforeAutospacing="0" w:after="0" w:afterAutospacing="0" w:line="240" w:lineRule="auto"/>
              <w:jc w:val="center"/>
              <w:rPr>
                <w:bCs/>
              </w:rPr>
            </w:pPr>
          </w:p>
        </w:tc>
      </w:tr>
      <w:tr w:rsidR="009F33CD" w14:paraId="6B225F66" w14:textId="77777777">
        <w:trPr>
          <w:trHeight w:val="55"/>
        </w:trPr>
        <w:tc>
          <w:tcPr>
            <w:tcW w:w="8554" w:type="dxa"/>
            <w:gridSpan w:val="4"/>
            <w:tcBorders>
              <w:top w:val="single" w:sz="4" w:space="0" w:color="auto"/>
              <w:bottom w:val="nil"/>
            </w:tcBorders>
          </w:tcPr>
          <w:p w14:paraId="68F070C0" w14:textId="77777777" w:rsidR="009F33CD" w:rsidRDefault="00E40740">
            <w:pPr>
              <w:spacing w:before="0" w:beforeAutospacing="0" w:after="0" w:afterAutospacing="0" w:line="240" w:lineRule="auto"/>
              <w:rPr>
                <w:bCs/>
                <w:sz w:val="20"/>
              </w:rPr>
            </w:pPr>
            <w:bookmarkStart w:id="1384" w:name="_Hlk183572533"/>
            <w:r>
              <w:rPr>
                <w:bCs/>
                <w:sz w:val="20"/>
              </w:rPr>
              <w:t>**. Correlation is significant at the 0.01 level (2-tailed).</w:t>
            </w:r>
            <w:bookmarkEnd w:id="1384"/>
          </w:p>
        </w:tc>
      </w:tr>
    </w:tbl>
    <w:p w14:paraId="20B2AA3E" w14:textId="77777777" w:rsidR="009F33CD" w:rsidRDefault="004A77B4">
      <w:pPr>
        <w:spacing w:before="240"/>
        <w:rPr>
          <w:rFonts w:cs="Times New Roman"/>
        </w:rPr>
      </w:pPr>
      <w:r>
        <w:rPr>
          <w:rFonts w:cs="Times New Roman"/>
        </w:rPr>
        <w:t>The results in Table 4.30</w:t>
      </w:r>
      <w:r w:rsidR="00E40740">
        <w:rPr>
          <w:rFonts w:cs="Times New Roman"/>
        </w:rPr>
        <w:t xml:space="preserve">, show that GOSH positively and strongly influences the performance of devolved healthcare services. Continuous training of healthcare employees in green occupational safety and health practices leads to better healthcare service delivery, hence creating a safer and healthier work environment.  This finding is aligned with a study by Chaudhary (2020) who revealed that green occupational safety and health significantly influence employee behaviour and satisfaction and </w:t>
      </w:r>
      <w:r w:rsidR="00E40740">
        <w:rPr>
          <w:rFonts w:cs="Times New Roman"/>
          <w:bCs/>
        </w:rPr>
        <w:t>Subhani (2010) who alluded that green occupational safety and health management systems may reduce accidents and injuries and boost organizational performance.</w:t>
      </w:r>
    </w:p>
    <w:p w14:paraId="0139CC71" w14:textId="77777777" w:rsidR="009F33CD" w:rsidRDefault="00E40740">
      <w:pPr>
        <w:pStyle w:val="Heading3"/>
        <w:spacing w:after="0"/>
        <w:rPr>
          <w:rFonts w:eastAsia="TimesNewRoman"/>
        </w:rPr>
      </w:pPr>
      <w:bookmarkStart w:id="1385" w:name="_Toc188442621"/>
      <w:bookmarkStart w:id="1386" w:name="_Toc188443995"/>
      <w:bookmarkStart w:id="1387" w:name="_Toc185614124"/>
      <w:bookmarkStart w:id="1388" w:name="_Toc187080896"/>
      <w:bookmarkStart w:id="1389" w:name="_Toc188130648"/>
      <w:bookmarkStart w:id="1390" w:name="_Toc224160685"/>
      <w:bookmarkStart w:id="1391" w:name="_Toc224237748"/>
      <w:bookmarkStart w:id="1392" w:name="_Toc178945081"/>
      <w:bookmarkStart w:id="1393" w:name="_Toc165623638"/>
      <w:bookmarkStart w:id="1394" w:name="_Toc178942671"/>
      <w:bookmarkStart w:id="1395" w:name="_Toc165626419"/>
      <w:bookmarkStart w:id="1396" w:name="_Toc178944329"/>
      <w:r>
        <w:lastRenderedPageBreak/>
        <w:t>4.8.3 Simple Linear Regression Analysis Finding for Green Occupational Safety, Health and Performance</w:t>
      </w:r>
      <w:bookmarkEnd w:id="1385"/>
      <w:bookmarkEnd w:id="1386"/>
      <w:bookmarkEnd w:id="1387"/>
      <w:bookmarkEnd w:id="1388"/>
      <w:bookmarkEnd w:id="1389"/>
      <w:bookmarkEnd w:id="1390"/>
      <w:bookmarkEnd w:id="1391"/>
      <w:r>
        <w:t xml:space="preserve"> </w:t>
      </w:r>
      <w:bookmarkEnd w:id="1392"/>
      <w:bookmarkEnd w:id="1393"/>
      <w:bookmarkEnd w:id="1394"/>
      <w:bookmarkEnd w:id="1395"/>
      <w:bookmarkEnd w:id="1396"/>
    </w:p>
    <w:p w14:paraId="2164BC35" w14:textId="77777777" w:rsidR="009F33CD" w:rsidRDefault="00E40740">
      <w:pPr>
        <w:spacing w:before="240"/>
        <w:rPr>
          <w:rFonts w:cs="Times New Roman"/>
        </w:rPr>
      </w:pPr>
      <w:r>
        <w:rPr>
          <w:rFonts w:cs="Times New Roman"/>
          <w:bCs/>
        </w:rPr>
        <w:t xml:space="preserve">Simple linear regression analysis was conducted to determine the effect of green occupational safety and health on the performance of devolved healthcare services in Kenya. </w:t>
      </w:r>
      <w:r>
        <w:rPr>
          <w:rFonts w:cs="Times New Roman"/>
        </w:rPr>
        <w:t xml:space="preserve">According to a study by Omondi (2018), there is empirical evidence to support the use of regression analysis as a statistical tool in data analysis. </w:t>
      </w:r>
      <w:r>
        <w:rPr>
          <w:rFonts w:cs="Times New Roman"/>
          <w:bCs/>
        </w:rPr>
        <w:t>The analysis focused on the dependent variable, and t</w:t>
      </w:r>
      <w:r>
        <w:rPr>
          <w:rFonts w:cs="Times New Roman"/>
          <w:bCs/>
          <w:szCs w:val="24"/>
        </w:rPr>
        <w:t xml:space="preserve">herefore, a simple linear regression model for green Occupational Safety and Health and performance of devolved healthcare services took the following format: </w:t>
      </w:r>
    </w:p>
    <w:p w14:paraId="3094F6BA" w14:textId="77777777" w:rsidR="009F33CD" w:rsidRDefault="00E40740">
      <w:pPr>
        <w:ind w:left="720"/>
        <w:rPr>
          <w:rFonts w:cs="Times New Roman"/>
          <w:bCs/>
          <w:szCs w:val="24"/>
        </w:rPr>
      </w:pPr>
      <w:r>
        <w:rPr>
          <w:rFonts w:cs="Times New Roman"/>
          <w:bCs/>
          <w:szCs w:val="24"/>
        </w:rPr>
        <w:t>Y = β</w:t>
      </w:r>
      <w:r>
        <w:rPr>
          <w:rFonts w:cs="Times New Roman"/>
          <w:bCs/>
          <w:szCs w:val="24"/>
          <w:vertAlign w:val="subscript"/>
        </w:rPr>
        <w:t>0</w:t>
      </w:r>
      <w:r>
        <w:rPr>
          <w:rFonts w:cs="Times New Roman"/>
          <w:bCs/>
          <w:szCs w:val="24"/>
        </w:rPr>
        <w:t>+β</w:t>
      </w:r>
      <w:r>
        <w:rPr>
          <w:rFonts w:cs="Times New Roman"/>
          <w:bCs/>
          <w:szCs w:val="24"/>
          <w:vertAlign w:val="subscript"/>
        </w:rPr>
        <w:t>3</w:t>
      </w:r>
      <w:r>
        <w:rPr>
          <w:rFonts w:cs="Times New Roman"/>
          <w:bCs/>
          <w:szCs w:val="24"/>
        </w:rPr>
        <w:t>X</w:t>
      </w:r>
      <w:r>
        <w:rPr>
          <w:rFonts w:cs="Times New Roman"/>
          <w:bCs/>
          <w:szCs w:val="24"/>
          <w:vertAlign w:val="subscript"/>
        </w:rPr>
        <w:t>3</w:t>
      </w:r>
      <w:r>
        <w:rPr>
          <w:rFonts w:cs="Times New Roman"/>
          <w:bCs/>
          <w:szCs w:val="24"/>
        </w:rPr>
        <w:t xml:space="preserve"> +e</w:t>
      </w:r>
    </w:p>
    <w:p w14:paraId="5DCA08C2" w14:textId="77777777" w:rsidR="009F33CD" w:rsidRDefault="00E40740">
      <w:pPr>
        <w:spacing w:after="240"/>
        <w:rPr>
          <w:rFonts w:cs="Times New Roman"/>
          <w:bCs/>
        </w:rPr>
      </w:pPr>
      <w:r>
        <w:rPr>
          <w:rFonts w:cs="Times New Roman"/>
          <w:bCs/>
        </w:rPr>
        <w:t>The statistical significance of the effect of green occupational safety and health (independent variable) on the performance of devolved healthcare services (dependent variable) was anal</w:t>
      </w:r>
      <w:r w:rsidR="004A77B4">
        <w:rPr>
          <w:rFonts w:cs="Times New Roman"/>
          <w:bCs/>
        </w:rPr>
        <w:t>yzed and presented in Table 4.31</w:t>
      </w:r>
      <w:r>
        <w:rPr>
          <w:rFonts w:cs="Times New Roman"/>
          <w:bCs/>
        </w:rPr>
        <w:t>.</w:t>
      </w:r>
    </w:p>
    <w:p w14:paraId="2ABEF21A" w14:textId="77777777" w:rsidR="009F33CD" w:rsidRDefault="000748E0">
      <w:pPr>
        <w:pStyle w:val="Heading6"/>
      </w:pPr>
      <w:bookmarkStart w:id="1397" w:name="_Toc187080897"/>
      <w:bookmarkStart w:id="1398" w:name="_Toc185614125"/>
      <w:bookmarkStart w:id="1399" w:name="_Toc224237460"/>
      <w:bookmarkStart w:id="1400" w:name="_Toc165623639"/>
      <w:bookmarkStart w:id="1401" w:name="_Toc178942672"/>
      <w:bookmarkStart w:id="1402" w:name="_Toc178945082"/>
      <w:bookmarkStart w:id="1403" w:name="_Toc178944330"/>
      <w:bookmarkStart w:id="1404" w:name="_Toc165626420"/>
      <w:r>
        <w:t>Table 4.31</w:t>
      </w:r>
      <w:r w:rsidR="00E40740">
        <w:t>: Simple Linear Regression Findings for GOSH and Performance</w:t>
      </w:r>
      <w:bookmarkEnd w:id="1397"/>
      <w:bookmarkEnd w:id="1398"/>
      <w:bookmarkEnd w:id="1399"/>
      <w:r w:rsidR="00E40740">
        <w:t xml:space="preserve"> </w:t>
      </w:r>
      <w:bookmarkEnd w:id="1400"/>
      <w:bookmarkEnd w:id="1401"/>
      <w:bookmarkEnd w:id="1402"/>
      <w:bookmarkEnd w:id="1403"/>
      <w:bookmarkEnd w:id="1404"/>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64"/>
        <w:gridCol w:w="950"/>
        <w:gridCol w:w="1123"/>
        <w:gridCol w:w="2247"/>
        <w:gridCol w:w="3036"/>
      </w:tblGrid>
      <w:tr w:rsidR="009F33CD" w14:paraId="056C4A62" w14:textId="77777777" w:rsidTr="004A77B4">
        <w:trPr>
          <w:cantSplit/>
          <w:trHeight w:val="95"/>
        </w:trPr>
        <w:tc>
          <w:tcPr>
            <w:tcW w:w="525" w:type="pct"/>
            <w:tcBorders>
              <w:top w:val="single" w:sz="4" w:space="0" w:color="auto"/>
              <w:bottom w:val="single" w:sz="4" w:space="0" w:color="auto"/>
            </w:tcBorders>
          </w:tcPr>
          <w:p w14:paraId="7A5A95BA" w14:textId="77777777" w:rsidR="009F33CD" w:rsidRDefault="00E40740" w:rsidP="004A77B4">
            <w:pPr>
              <w:spacing w:before="0" w:beforeAutospacing="0" w:after="0" w:afterAutospacing="0" w:line="240" w:lineRule="auto"/>
              <w:jc w:val="center"/>
              <w:rPr>
                <w:rFonts w:cs="Times New Roman"/>
                <w:b/>
                <w:bCs/>
              </w:rPr>
            </w:pPr>
            <w:bookmarkStart w:id="1405" w:name="_Hlk174544106"/>
            <w:r>
              <w:rPr>
                <w:rFonts w:cs="Times New Roman"/>
                <w:b/>
                <w:bCs/>
              </w:rPr>
              <w:t>Model</w:t>
            </w:r>
          </w:p>
        </w:tc>
        <w:tc>
          <w:tcPr>
            <w:tcW w:w="578" w:type="pct"/>
            <w:tcBorders>
              <w:top w:val="single" w:sz="4" w:space="0" w:color="auto"/>
              <w:bottom w:val="single" w:sz="4" w:space="0" w:color="auto"/>
            </w:tcBorders>
          </w:tcPr>
          <w:p w14:paraId="002EE8F3" w14:textId="77777777" w:rsidR="009F33CD" w:rsidRDefault="00E40740" w:rsidP="004A77B4">
            <w:pPr>
              <w:spacing w:before="0" w:beforeAutospacing="0" w:after="0" w:afterAutospacing="0" w:line="240" w:lineRule="auto"/>
              <w:jc w:val="center"/>
              <w:rPr>
                <w:rFonts w:cs="Times New Roman"/>
                <w:b/>
                <w:bCs/>
              </w:rPr>
            </w:pPr>
            <w:r>
              <w:rPr>
                <w:rFonts w:cs="Times New Roman"/>
                <w:b/>
                <w:bCs/>
              </w:rPr>
              <w:t>R</w:t>
            </w:r>
          </w:p>
        </w:tc>
        <w:tc>
          <w:tcPr>
            <w:tcW w:w="683" w:type="pct"/>
            <w:tcBorders>
              <w:top w:val="single" w:sz="4" w:space="0" w:color="auto"/>
              <w:bottom w:val="single" w:sz="4" w:space="0" w:color="auto"/>
            </w:tcBorders>
          </w:tcPr>
          <w:p w14:paraId="22AB66CE" w14:textId="77777777" w:rsidR="009F33CD" w:rsidRDefault="00E40740" w:rsidP="004A77B4">
            <w:pPr>
              <w:spacing w:before="0" w:beforeAutospacing="0" w:after="0" w:afterAutospacing="0" w:line="240" w:lineRule="auto"/>
              <w:jc w:val="center"/>
              <w:rPr>
                <w:rFonts w:cs="Times New Roman"/>
                <w:b/>
                <w:bCs/>
              </w:rPr>
            </w:pPr>
            <w:r>
              <w:rPr>
                <w:rFonts w:cs="Times New Roman"/>
                <w:b/>
                <w:bCs/>
              </w:rPr>
              <w:t>R Square</w:t>
            </w:r>
          </w:p>
        </w:tc>
        <w:tc>
          <w:tcPr>
            <w:tcW w:w="1367" w:type="pct"/>
            <w:tcBorders>
              <w:top w:val="single" w:sz="4" w:space="0" w:color="auto"/>
              <w:bottom w:val="single" w:sz="4" w:space="0" w:color="auto"/>
            </w:tcBorders>
          </w:tcPr>
          <w:p w14:paraId="2493ACFA" w14:textId="77777777" w:rsidR="009F33CD" w:rsidRDefault="00E40740" w:rsidP="004A77B4">
            <w:pPr>
              <w:spacing w:before="0" w:beforeAutospacing="0" w:after="0" w:afterAutospacing="0" w:line="240" w:lineRule="auto"/>
              <w:jc w:val="center"/>
              <w:rPr>
                <w:rFonts w:cs="Times New Roman"/>
                <w:b/>
                <w:bCs/>
              </w:rPr>
            </w:pPr>
            <w:r>
              <w:rPr>
                <w:rFonts w:cs="Times New Roman"/>
                <w:b/>
                <w:bCs/>
              </w:rPr>
              <w:t>Adjusted R Square</w:t>
            </w:r>
          </w:p>
        </w:tc>
        <w:tc>
          <w:tcPr>
            <w:tcW w:w="1847" w:type="pct"/>
            <w:tcBorders>
              <w:top w:val="single" w:sz="4" w:space="0" w:color="auto"/>
              <w:bottom w:val="single" w:sz="4" w:space="0" w:color="auto"/>
            </w:tcBorders>
          </w:tcPr>
          <w:p w14:paraId="505FC744" w14:textId="77777777" w:rsidR="009F33CD" w:rsidRDefault="00E40740" w:rsidP="004A77B4">
            <w:pPr>
              <w:spacing w:before="0" w:beforeAutospacing="0" w:after="0" w:afterAutospacing="0" w:line="240" w:lineRule="auto"/>
              <w:jc w:val="center"/>
              <w:rPr>
                <w:rFonts w:cs="Times New Roman"/>
                <w:b/>
                <w:bCs/>
              </w:rPr>
            </w:pPr>
            <w:r>
              <w:rPr>
                <w:rFonts w:cs="Times New Roman"/>
                <w:b/>
                <w:bCs/>
              </w:rPr>
              <w:t>Std. Error of the Estimate</w:t>
            </w:r>
          </w:p>
        </w:tc>
      </w:tr>
      <w:tr w:rsidR="009F33CD" w14:paraId="3951E5B2" w14:textId="77777777" w:rsidTr="004A77B4">
        <w:trPr>
          <w:cantSplit/>
          <w:trHeight w:val="85"/>
        </w:trPr>
        <w:tc>
          <w:tcPr>
            <w:tcW w:w="525" w:type="pct"/>
            <w:tcBorders>
              <w:top w:val="single" w:sz="4" w:space="0" w:color="auto"/>
              <w:bottom w:val="single" w:sz="4" w:space="0" w:color="auto"/>
            </w:tcBorders>
          </w:tcPr>
          <w:p w14:paraId="266E3A70" w14:textId="77777777" w:rsidR="009F33CD" w:rsidRDefault="00E40740" w:rsidP="004A77B4">
            <w:pPr>
              <w:spacing w:before="0" w:beforeAutospacing="0" w:after="0" w:afterAutospacing="0" w:line="240" w:lineRule="auto"/>
              <w:jc w:val="center"/>
              <w:rPr>
                <w:rFonts w:cs="Times New Roman"/>
              </w:rPr>
            </w:pPr>
            <w:r>
              <w:rPr>
                <w:rFonts w:cs="Times New Roman"/>
              </w:rPr>
              <w:t>1</w:t>
            </w:r>
          </w:p>
        </w:tc>
        <w:tc>
          <w:tcPr>
            <w:tcW w:w="578" w:type="pct"/>
            <w:tcBorders>
              <w:top w:val="single" w:sz="4" w:space="0" w:color="auto"/>
              <w:bottom w:val="single" w:sz="4" w:space="0" w:color="auto"/>
            </w:tcBorders>
          </w:tcPr>
          <w:p w14:paraId="6DC4B44D" w14:textId="77777777" w:rsidR="009F33CD" w:rsidRDefault="00E40740" w:rsidP="004A77B4">
            <w:pPr>
              <w:spacing w:before="0" w:beforeAutospacing="0" w:after="0" w:afterAutospacing="0" w:line="240" w:lineRule="auto"/>
              <w:jc w:val="center"/>
              <w:rPr>
                <w:rFonts w:cs="Times New Roman"/>
              </w:rPr>
            </w:pPr>
            <w:r>
              <w:rPr>
                <w:rFonts w:cs="Times New Roman"/>
              </w:rPr>
              <w:t>.731</w:t>
            </w:r>
            <w:r>
              <w:rPr>
                <w:rFonts w:cs="Times New Roman"/>
                <w:vertAlign w:val="superscript"/>
              </w:rPr>
              <w:t>a</w:t>
            </w:r>
          </w:p>
        </w:tc>
        <w:tc>
          <w:tcPr>
            <w:tcW w:w="683" w:type="pct"/>
            <w:tcBorders>
              <w:top w:val="single" w:sz="4" w:space="0" w:color="auto"/>
              <w:bottom w:val="single" w:sz="4" w:space="0" w:color="auto"/>
            </w:tcBorders>
          </w:tcPr>
          <w:p w14:paraId="2E45D11B" w14:textId="77777777" w:rsidR="009F33CD" w:rsidRDefault="00E40740" w:rsidP="004A77B4">
            <w:pPr>
              <w:spacing w:before="0" w:beforeAutospacing="0" w:after="0" w:afterAutospacing="0" w:line="240" w:lineRule="auto"/>
              <w:jc w:val="center"/>
              <w:rPr>
                <w:rFonts w:cs="Times New Roman"/>
              </w:rPr>
            </w:pPr>
            <w:r>
              <w:rPr>
                <w:rFonts w:cs="Times New Roman"/>
              </w:rPr>
              <w:t>.534</w:t>
            </w:r>
          </w:p>
        </w:tc>
        <w:tc>
          <w:tcPr>
            <w:tcW w:w="1367" w:type="pct"/>
            <w:tcBorders>
              <w:top w:val="single" w:sz="4" w:space="0" w:color="auto"/>
              <w:bottom w:val="single" w:sz="4" w:space="0" w:color="auto"/>
            </w:tcBorders>
          </w:tcPr>
          <w:p w14:paraId="4773B846" w14:textId="77777777" w:rsidR="009F33CD" w:rsidRDefault="00E40740" w:rsidP="004A77B4">
            <w:pPr>
              <w:spacing w:before="0" w:beforeAutospacing="0" w:after="0" w:afterAutospacing="0" w:line="240" w:lineRule="auto"/>
              <w:jc w:val="center"/>
              <w:rPr>
                <w:rFonts w:cs="Times New Roman"/>
              </w:rPr>
            </w:pPr>
            <w:r>
              <w:rPr>
                <w:rFonts w:cs="Times New Roman"/>
              </w:rPr>
              <w:t>.530</w:t>
            </w:r>
          </w:p>
        </w:tc>
        <w:tc>
          <w:tcPr>
            <w:tcW w:w="1847" w:type="pct"/>
            <w:tcBorders>
              <w:top w:val="single" w:sz="4" w:space="0" w:color="auto"/>
              <w:bottom w:val="single" w:sz="4" w:space="0" w:color="auto"/>
            </w:tcBorders>
          </w:tcPr>
          <w:p w14:paraId="3D712980" w14:textId="77777777" w:rsidR="009F33CD" w:rsidRDefault="00E40740" w:rsidP="004A77B4">
            <w:pPr>
              <w:spacing w:before="0" w:beforeAutospacing="0" w:after="0" w:afterAutospacing="0" w:line="240" w:lineRule="auto"/>
              <w:jc w:val="center"/>
              <w:rPr>
                <w:rFonts w:cs="Times New Roman"/>
              </w:rPr>
            </w:pPr>
            <w:r>
              <w:rPr>
                <w:rFonts w:cs="Times New Roman"/>
              </w:rPr>
              <w:t>.63741</w:t>
            </w:r>
          </w:p>
        </w:tc>
      </w:tr>
      <w:tr w:rsidR="009F33CD" w14:paraId="2A3BF056" w14:textId="77777777">
        <w:trPr>
          <w:cantSplit/>
          <w:trHeight w:val="231"/>
        </w:trPr>
        <w:tc>
          <w:tcPr>
            <w:tcW w:w="5000" w:type="pct"/>
            <w:gridSpan w:val="5"/>
            <w:tcBorders>
              <w:top w:val="single" w:sz="4" w:space="0" w:color="auto"/>
              <w:bottom w:val="nil"/>
            </w:tcBorders>
          </w:tcPr>
          <w:p w14:paraId="15E5C179" w14:textId="77777777" w:rsidR="009F33CD" w:rsidRDefault="00E40740">
            <w:pPr>
              <w:spacing w:after="240" w:line="240" w:lineRule="auto"/>
              <w:rPr>
                <w:rFonts w:cs="Times New Roman"/>
              </w:rPr>
            </w:pPr>
            <w:r>
              <w:rPr>
                <w:rFonts w:cs="Times New Roman"/>
              </w:rPr>
              <w:t>a. Predictors: (Constant), Green occupational safety and health</w:t>
            </w:r>
          </w:p>
        </w:tc>
      </w:tr>
    </w:tbl>
    <w:bookmarkEnd w:id="1405"/>
    <w:p w14:paraId="587FE19E" w14:textId="77777777" w:rsidR="009F33CD" w:rsidRDefault="004A77B4">
      <w:pPr>
        <w:spacing w:after="240"/>
        <w:rPr>
          <w:rFonts w:cs="Times New Roman"/>
        </w:rPr>
      </w:pPr>
      <w:r>
        <w:rPr>
          <w:rFonts w:cs="Times New Roman"/>
        </w:rPr>
        <w:t>From the findings in Table 4.31</w:t>
      </w:r>
      <w:r w:rsidR="00E40740">
        <w:rPr>
          <w:rFonts w:cs="Times New Roman"/>
        </w:rPr>
        <w:t>, green occupational safety and health had R</w:t>
      </w:r>
      <w:r w:rsidR="00E40740">
        <w:rPr>
          <w:rFonts w:cs="Times New Roman"/>
          <w:vertAlign w:val="superscript"/>
        </w:rPr>
        <w:t>2</w:t>
      </w:r>
      <w:r w:rsidR="00E40740">
        <w:rPr>
          <w:rFonts w:cs="Times New Roman"/>
        </w:rPr>
        <w:t xml:space="preserve"> of 0.534 which implies that 53.4% variations in the performance of devolved healthcare services are explained by green occupational safety and health. The implication is that by focusing on enhancing green occupational safety and health measures, healthcare services can achieve notable improvements in their performance. This includes better patient care, increased efficiency, and reduced environmental impact. </w:t>
      </w:r>
    </w:p>
    <w:p w14:paraId="3CFF4417" w14:textId="77777777" w:rsidR="009F33CD" w:rsidRDefault="00E40740">
      <w:pPr>
        <w:spacing w:after="240"/>
        <w:rPr>
          <w:rFonts w:cs="Times New Roman"/>
        </w:rPr>
      </w:pPr>
      <w:r>
        <w:rPr>
          <w:rFonts w:cs="Times New Roman"/>
        </w:rPr>
        <w:t xml:space="preserve">Additionally, integrating green occupational safety and health practices contributes to the sustainability of healthcare services by reducing environmental effects and promoting employee satisfaction and productivity. The findings revealed that GOSH had a statistically significant positive but moderate effect on the performance of devolved healthcare services. This finding justifies investing in GOSH because more </w:t>
      </w:r>
      <w:r>
        <w:rPr>
          <w:rFonts w:cs="Times New Roman"/>
        </w:rPr>
        <w:lastRenderedPageBreak/>
        <w:t xml:space="preserve">than half of the performance variations are influenced by GOSH practices. This result agrees with Achieng and Kwasira, (2016), who found that green occupational safety and health significantly impacted environmental sustainability at Menengai Oil Refinery in Nakuru, Kenya. The remaining unexplained 46.6% variations in the performance of devolved healthcare services could be explained by other green human resource management practices that were not included in the model. </w:t>
      </w:r>
    </w:p>
    <w:p w14:paraId="27E3EA18" w14:textId="77777777" w:rsidR="009F33CD" w:rsidRDefault="000748E0">
      <w:pPr>
        <w:pStyle w:val="Heading6"/>
      </w:pPr>
      <w:bookmarkStart w:id="1406" w:name="_Toc178942673"/>
      <w:bookmarkStart w:id="1407" w:name="_Toc178944331"/>
      <w:bookmarkStart w:id="1408" w:name="_Toc187080898"/>
      <w:bookmarkStart w:id="1409" w:name="_Toc178945083"/>
      <w:bookmarkStart w:id="1410" w:name="_Toc185614126"/>
      <w:bookmarkStart w:id="1411" w:name="_Toc165626421"/>
      <w:bookmarkStart w:id="1412" w:name="_Toc165623640"/>
      <w:bookmarkStart w:id="1413" w:name="_Toc224237461"/>
      <w:r>
        <w:t>Table 4.32</w:t>
      </w:r>
      <w:r w:rsidR="00E40740">
        <w:t>: Regression Coefficients for GOSH and Performance</w:t>
      </w:r>
      <w:bookmarkEnd w:id="1406"/>
      <w:bookmarkEnd w:id="1407"/>
      <w:bookmarkEnd w:id="1408"/>
      <w:bookmarkEnd w:id="1409"/>
      <w:bookmarkEnd w:id="1410"/>
      <w:bookmarkEnd w:id="1411"/>
      <w:bookmarkEnd w:id="1412"/>
      <w:bookmarkEnd w:id="1413"/>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50"/>
        <w:gridCol w:w="1271"/>
        <w:gridCol w:w="1047"/>
        <w:gridCol w:w="1346"/>
        <w:gridCol w:w="1794"/>
        <w:gridCol w:w="1345"/>
        <w:gridCol w:w="967"/>
      </w:tblGrid>
      <w:tr w:rsidR="009F33CD" w14:paraId="0171DDDE" w14:textId="77777777" w:rsidTr="004A77B4">
        <w:trPr>
          <w:cantSplit/>
          <w:trHeight w:val="487"/>
        </w:trPr>
        <w:tc>
          <w:tcPr>
            <w:tcW w:w="1047" w:type="pct"/>
            <w:gridSpan w:val="2"/>
            <w:vMerge w:val="restart"/>
          </w:tcPr>
          <w:p w14:paraId="6D9855FC" w14:textId="77777777" w:rsidR="009F33CD" w:rsidRDefault="00E40740" w:rsidP="004A77B4">
            <w:pPr>
              <w:spacing w:before="0" w:beforeAutospacing="0" w:after="0" w:afterAutospacing="0" w:line="240" w:lineRule="auto"/>
              <w:jc w:val="left"/>
              <w:rPr>
                <w:rFonts w:cs="Times New Roman"/>
                <w:b/>
                <w:bCs/>
              </w:rPr>
            </w:pPr>
            <w:r>
              <w:rPr>
                <w:rFonts w:cs="Times New Roman"/>
                <w:b/>
                <w:bCs/>
              </w:rPr>
              <w:t>Model</w:t>
            </w:r>
          </w:p>
        </w:tc>
        <w:tc>
          <w:tcPr>
            <w:tcW w:w="1455" w:type="pct"/>
            <w:gridSpan w:val="2"/>
            <w:tcBorders>
              <w:bottom w:val="single" w:sz="4" w:space="0" w:color="auto"/>
            </w:tcBorders>
          </w:tcPr>
          <w:p w14:paraId="08279864" w14:textId="77777777" w:rsidR="009F33CD" w:rsidRDefault="00E40740" w:rsidP="004A77B4">
            <w:pPr>
              <w:spacing w:before="0" w:beforeAutospacing="0" w:after="0" w:afterAutospacing="0" w:line="240" w:lineRule="auto"/>
              <w:jc w:val="center"/>
              <w:rPr>
                <w:rFonts w:cs="Times New Roman"/>
                <w:b/>
                <w:bCs/>
              </w:rPr>
            </w:pPr>
            <w:r>
              <w:rPr>
                <w:rFonts w:cs="Times New Roman"/>
                <w:b/>
                <w:bCs/>
              </w:rPr>
              <w:t>Unstandardized</w:t>
            </w:r>
          </w:p>
          <w:p w14:paraId="720DE0E8" w14:textId="77777777" w:rsidR="009F33CD" w:rsidRDefault="00E40740" w:rsidP="004A77B4">
            <w:pPr>
              <w:spacing w:before="0" w:beforeAutospacing="0" w:after="0" w:afterAutospacing="0" w:line="240" w:lineRule="auto"/>
              <w:jc w:val="center"/>
              <w:rPr>
                <w:rFonts w:cs="Times New Roman"/>
                <w:b/>
                <w:bCs/>
              </w:rPr>
            </w:pPr>
            <w:r>
              <w:rPr>
                <w:rFonts w:cs="Times New Roman"/>
                <w:b/>
                <w:bCs/>
              </w:rPr>
              <w:t>Coefficients</w:t>
            </w:r>
          </w:p>
        </w:tc>
        <w:tc>
          <w:tcPr>
            <w:tcW w:w="1091" w:type="pct"/>
            <w:tcBorders>
              <w:bottom w:val="single" w:sz="4" w:space="0" w:color="auto"/>
            </w:tcBorders>
          </w:tcPr>
          <w:p w14:paraId="197A2769" w14:textId="77777777" w:rsidR="009F33CD" w:rsidRDefault="00E40740" w:rsidP="004A77B4">
            <w:pPr>
              <w:spacing w:before="0" w:beforeAutospacing="0" w:after="0" w:afterAutospacing="0" w:line="240" w:lineRule="auto"/>
              <w:jc w:val="center"/>
              <w:rPr>
                <w:rFonts w:cs="Times New Roman"/>
                <w:b/>
                <w:bCs/>
              </w:rPr>
            </w:pPr>
            <w:r>
              <w:rPr>
                <w:rFonts w:cs="Times New Roman"/>
                <w:b/>
                <w:bCs/>
              </w:rPr>
              <w:t>Standardized Coefficients</w:t>
            </w:r>
          </w:p>
        </w:tc>
        <w:tc>
          <w:tcPr>
            <w:tcW w:w="818" w:type="pct"/>
            <w:vMerge w:val="restart"/>
          </w:tcPr>
          <w:p w14:paraId="7E4695D2" w14:textId="77777777" w:rsidR="009F33CD" w:rsidRDefault="00E40740" w:rsidP="004A77B4">
            <w:pPr>
              <w:spacing w:before="0" w:beforeAutospacing="0" w:after="0" w:afterAutospacing="0" w:line="240" w:lineRule="auto"/>
              <w:jc w:val="center"/>
              <w:rPr>
                <w:rFonts w:cs="Times New Roman"/>
                <w:b/>
                <w:bCs/>
              </w:rPr>
            </w:pPr>
            <w:r>
              <w:rPr>
                <w:rFonts w:cs="Times New Roman"/>
                <w:b/>
                <w:bCs/>
              </w:rPr>
              <w:t>T</w:t>
            </w:r>
          </w:p>
        </w:tc>
        <w:tc>
          <w:tcPr>
            <w:tcW w:w="589" w:type="pct"/>
            <w:vMerge w:val="restart"/>
          </w:tcPr>
          <w:p w14:paraId="74EE9FB5" w14:textId="77777777" w:rsidR="009F33CD" w:rsidRDefault="00E40740" w:rsidP="004A77B4">
            <w:pPr>
              <w:spacing w:before="0" w:beforeAutospacing="0" w:after="0" w:afterAutospacing="0" w:line="240" w:lineRule="auto"/>
              <w:jc w:val="center"/>
              <w:rPr>
                <w:rFonts w:cs="Times New Roman"/>
                <w:b/>
                <w:bCs/>
              </w:rPr>
            </w:pPr>
            <w:r>
              <w:rPr>
                <w:rFonts w:cs="Times New Roman"/>
                <w:b/>
                <w:bCs/>
              </w:rPr>
              <w:t>Sig.</w:t>
            </w:r>
          </w:p>
        </w:tc>
      </w:tr>
      <w:tr w:rsidR="009F33CD" w14:paraId="1AD38322" w14:textId="77777777" w:rsidTr="004A77B4">
        <w:trPr>
          <w:cantSplit/>
          <w:trHeight w:val="74"/>
        </w:trPr>
        <w:tc>
          <w:tcPr>
            <w:tcW w:w="1047" w:type="pct"/>
            <w:gridSpan w:val="2"/>
            <w:vMerge/>
            <w:tcBorders>
              <w:bottom w:val="single" w:sz="4" w:space="0" w:color="auto"/>
            </w:tcBorders>
            <w:vAlign w:val="bottom"/>
          </w:tcPr>
          <w:p w14:paraId="08592B8C" w14:textId="77777777" w:rsidR="009F33CD" w:rsidRDefault="009F33CD">
            <w:pPr>
              <w:spacing w:before="0" w:beforeAutospacing="0" w:after="0" w:afterAutospacing="0" w:line="240" w:lineRule="auto"/>
              <w:rPr>
                <w:rFonts w:cs="Times New Roman"/>
                <w:b/>
                <w:bCs/>
              </w:rPr>
            </w:pPr>
          </w:p>
        </w:tc>
        <w:tc>
          <w:tcPr>
            <w:tcW w:w="637" w:type="pct"/>
            <w:tcBorders>
              <w:top w:val="single" w:sz="4" w:space="0" w:color="auto"/>
              <w:bottom w:val="single" w:sz="4" w:space="0" w:color="auto"/>
            </w:tcBorders>
          </w:tcPr>
          <w:p w14:paraId="5FE85F8B" w14:textId="77777777" w:rsidR="009F33CD" w:rsidRDefault="00E40740" w:rsidP="004A77B4">
            <w:pPr>
              <w:spacing w:before="0" w:beforeAutospacing="0" w:after="0" w:afterAutospacing="0" w:line="240" w:lineRule="auto"/>
              <w:jc w:val="center"/>
              <w:rPr>
                <w:rFonts w:cs="Times New Roman"/>
                <w:b/>
                <w:bCs/>
              </w:rPr>
            </w:pPr>
            <w:r>
              <w:rPr>
                <w:rFonts w:cs="Times New Roman"/>
                <w:b/>
                <w:bCs/>
              </w:rPr>
              <w:t>B</w:t>
            </w:r>
          </w:p>
        </w:tc>
        <w:tc>
          <w:tcPr>
            <w:tcW w:w="819" w:type="pct"/>
            <w:tcBorders>
              <w:top w:val="single" w:sz="4" w:space="0" w:color="auto"/>
              <w:bottom w:val="single" w:sz="4" w:space="0" w:color="auto"/>
            </w:tcBorders>
          </w:tcPr>
          <w:p w14:paraId="70A639FD" w14:textId="77777777" w:rsidR="009F33CD" w:rsidRDefault="00E40740" w:rsidP="004A77B4">
            <w:pPr>
              <w:spacing w:before="0" w:beforeAutospacing="0" w:after="0" w:afterAutospacing="0" w:line="240" w:lineRule="auto"/>
              <w:jc w:val="center"/>
              <w:rPr>
                <w:rFonts w:cs="Times New Roman"/>
                <w:b/>
                <w:bCs/>
              </w:rPr>
            </w:pPr>
            <w:r>
              <w:rPr>
                <w:rFonts w:cs="Times New Roman"/>
                <w:b/>
                <w:bCs/>
              </w:rPr>
              <w:t>Std. Error</w:t>
            </w:r>
          </w:p>
        </w:tc>
        <w:tc>
          <w:tcPr>
            <w:tcW w:w="1091" w:type="pct"/>
            <w:tcBorders>
              <w:top w:val="single" w:sz="4" w:space="0" w:color="auto"/>
              <w:bottom w:val="single" w:sz="4" w:space="0" w:color="auto"/>
            </w:tcBorders>
          </w:tcPr>
          <w:p w14:paraId="340B8304" w14:textId="77777777" w:rsidR="009F33CD" w:rsidRDefault="00E40740" w:rsidP="004A77B4">
            <w:pPr>
              <w:spacing w:before="0" w:beforeAutospacing="0" w:after="0" w:afterAutospacing="0" w:line="240" w:lineRule="auto"/>
              <w:jc w:val="center"/>
              <w:rPr>
                <w:rFonts w:cs="Times New Roman"/>
                <w:b/>
                <w:bCs/>
              </w:rPr>
            </w:pPr>
            <w:r>
              <w:rPr>
                <w:rFonts w:cs="Times New Roman"/>
                <w:b/>
                <w:bCs/>
              </w:rPr>
              <w:t>Beta</w:t>
            </w:r>
          </w:p>
        </w:tc>
        <w:tc>
          <w:tcPr>
            <w:tcW w:w="818" w:type="pct"/>
            <w:vMerge/>
            <w:tcBorders>
              <w:bottom w:val="single" w:sz="4" w:space="0" w:color="auto"/>
            </w:tcBorders>
          </w:tcPr>
          <w:p w14:paraId="38ADFDB4" w14:textId="77777777" w:rsidR="009F33CD" w:rsidRDefault="009F33CD" w:rsidP="004A77B4">
            <w:pPr>
              <w:spacing w:before="0" w:beforeAutospacing="0" w:after="0" w:afterAutospacing="0" w:line="240" w:lineRule="auto"/>
              <w:jc w:val="center"/>
              <w:rPr>
                <w:rFonts w:cs="Times New Roman"/>
              </w:rPr>
            </w:pPr>
          </w:p>
        </w:tc>
        <w:tc>
          <w:tcPr>
            <w:tcW w:w="589" w:type="pct"/>
            <w:vMerge/>
            <w:tcBorders>
              <w:bottom w:val="single" w:sz="4" w:space="0" w:color="auto"/>
            </w:tcBorders>
          </w:tcPr>
          <w:p w14:paraId="05EAC6A6" w14:textId="77777777" w:rsidR="009F33CD" w:rsidRDefault="009F33CD" w:rsidP="004A77B4">
            <w:pPr>
              <w:spacing w:before="0" w:beforeAutospacing="0" w:after="0" w:afterAutospacing="0" w:line="240" w:lineRule="auto"/>
              <w:jc w:val="center"/>
              <w:rPr>
                <w:rFonts w:cs="Times New Roman"/>
              </w:rPr>
            </w:pPr>
          </w:p>
        </w:tc>
      </w:tr>
      <w:tr w:rsidR="009F33CD" w14:paraId="4FA04B91" w14:textId="77777777" w:rsidTr="004A77B4">
        <w:trPr>
          <w:cantSplit/>
          <w:trHeight w:val="236"/>
        </w:trPr>
        <w:tc>
          <w:tcPr>
            <w:tcW w:w="274" w:type="pct"/>
            <w:vMerge w:val="restart"/>
            <w:tcBorders>
              <w:top w:val="single" w:sz="4" w:space="0" w:color="auto"/>
              <w:bottom w:val="nil"/>
            </w:tcBorders>
          </w:tcPr>
          <w:p w14:paraId="3F5A6500" w14:textId="77777777" w:rsidR="009F33CD" w:rsidRDefault="00E40740">
            <w:pPr>
              <w:spacing w:before="0" w:beforeAutospacing="0" w:after="0" w:afterAutospacing="0" w:line="240" w:lineRule="auto"/>
              <w:rPr>
                <w:rFonts w:cs="Times New Roman"/>
              </w:rPr>
            </w:pPr>
            <w:r>
              <w:rPr>
                <w:rFonts w:cs="Times New Roman"/>
              </w:rPr>
              <w:t>1</w:t>
            </w:r>
          </w:p>
        </w:tc>
        <w:tc>
          <w:tcPr>
            <w:tcW w:w="773" w:type="pct"/>
            <w:tcBorders>
              <w:top w:val="single" w:sz="4" w:space="0" w:color="auto"/>
              <w:bottom w:val="nil"/>
            </w:tcBorders>
          </w:tcPr>
          <w:p w14:paraId="09E18CF1" w14:textId="77777777" w:rsidR="009F33CD" w:rsidRDefault="00E40740">
            <w:pPr>
              <w:spacing w:before="0" w:beforeAutospacing="0" w:after="0" w:afterAutospacing="0" w:line="240" w:lineRule="auto"/>
              <w:rPr>
                <w:rFonts w:cs="Times New Roman"/>
              </w:rPr>
            </w:pPr>
            <w:r>
              <w:rPr>
                <w:rFonts w:cs="Times New Roman"/>
              </w:rPr>
              <w:t>(Constant)</w:t>
            </w:r>
          </w:p>
        </w:tc>
        <w:tc>
          <w:tcPr>
            <w:tcW w:w="637" w:type="pct"/>
            <w:tcBorders>
              <w:top w:val="single" w:sz="4" w:space="0" w:color="auto"/>
              <w:bottom w:val="nil"/>
            </w:tcBorders>
          </w:tcPr>
          <w:p w14:paraId="2CE8A828" w14:textId="77777777" w:rsidR="009F33CD" w:rsidRDefault="00E40740">
            <w:pPr>
              <w:spacing w:before="0" w:beforeAutospacing="0" w:after="0" w:afterAutospacing="0" w:line="240" w:lineRule="auto"/>
              <w:rPr>
                <w:rFonts w:cs="Times New Roman"/>
              </w:rPr>
            </w:pPr>
            <w:r>
              <w:rPr>
                <w:rFonts w:cs="Times New Roman"/>
              </w:rPr>
              <w:t>.792</w:t>
            </w:r>
          </w:p>
        </w:tc>
        <w:tc>
          <w:tcPr>
            <w:tcW w:w="819" w:type="pct"/>
            <w:tcBorders>
              <w:top w:val="single" w:sz="4" w:space="0" w:color="auto"/>
              <w:bottom w:val="nil"/>
            </w:tcBorders>
          </w:tcPr>
          <w:p w14:paraId="7487DF9E" w14:textId="77777777" w:rsidR="009F33CD" w:rsidRDefault="00E40740">
            <w:pPr>
              <w:spacing w:before="0" w:beforeAutospacing="0" w:after="0" w:afterAutospacing="0" w:line="240" w:lineRule="auto"/>
              <w:rPr>
                <w:rFonts w:cs="Times New Roman"/>
              </w:rPr>
            </w:pPr>
            <w:r>
              <w:rPr>
                <w:rFonts w:cs="Times New Roman"/>
              </w:rPr>
              <w:t>.233</w:t>
            </w:r>
          </w:p>
        </w:tc>
        <w:tc>
          <w:tcPr>
            <w:tcW w:w="1091" w:type="pct"/>
            <w:tcBorders>
              <w:top w:val="single" w:sz="4" w:space="0" w:color="auto"/>
              <w:bottom w:val="nil"/>
            </w:tcBorders>
            <w:vAlign w:val="center"/>
          </w:tcPr>
          <w:p w14:paraId="1B9AAF7B" w14:textId="77777777" w:rsidR="009F33CD" w:rsidRDefault="009F33CD">
            <w:pPr>
              <w:spacing w:before="0" w:beforeAutospacing="0" w:after="0" w:afterAutospacing="0" w:line="240" w:lineRule="auto"/>
              <w:rPr>
                <w:rFonts w:cs="Times New Roman"/>
              </w:rPr>
            </w:pPr>
          </w:p>
        </w:tc>
        <w:tc>
          <w:tcPr>
            <w:tcW w:w="818" w:type="pct"/>
            <w:tcBorders>
              <w:top w:val="single" w:sz="4" w:space="0" w:color="auto"/>
              <w:bottom w:val="nil"/>
            </w:tcBorders>
          </w:tcPr>
          <w:p w14:paraId="184AB78F" w14:textId="77777777" w:rsidR="009F33CD" w:rsidRDefault="00E40740" w:rsidP="004A77B4">
            <w:pPr>
              <w:spacing w:before="0" w:beforeAutospacing="0" w:after="0" w:afterAutospacing="0" w:line="240" w:lineRule="auto"/>
              <w:jc w:val="center"/>
              <w:rPr>
                <w:rFonts w:cs="Times New Roman"/>
              </w:rPr>
            </w:pPr>
            <w:r>
              <w:rPr>
                <w:rFonts w:cs="Times New Roman"/>
              </w:rPr>
              <w:t>3.399</w:t>
            </w:r>
          </w:p>
        </w:tc>
        <w:tc>
          <w:tcPr>
            <w:tcW w:w="589" w:type="pct"/>
            <w:tcBorders>
              <w:top w:val="single" w:sz="4" w:space="0" w:color="auto"/>
              <w:bottom w:val="nil"/>
            </w:tcBorders>
          </w:tcPr>
          <w:p w14:paraId="0570B36F" w14:textId="77777777" w:rsidR="009F33CD" w:rsidRDefault="00E40740" w:rsidP="004A77B4">
            <w:pPr>
              <w:spacing w:before="0" w:beforeAutospacing="0" w:after="0" w:afterAutospacing="0" w:line="240" w:lineRule="auto"/>
              <w:jc w:val="center"/>
              <w:rPr>
                <w:rFonts w:cs="Times New Roman"/>
              </w:rPr>
            </w:pPr>
            <w:r>
              <w:rPr>
                <w:rFonts w:cs="Times New Roman"/>
              </w:rPr>
              <w:t>.001</w:t>
            </w:r>
          </w:p>
        </w:tc>
      </w:tr>
      <w:tr w:rsidR="009F33CD" w14:paraId="030383B9" w14:textId="77777777" w:rsidTr="004A77B4">
        <w:trPr>
          <w:cantSplit/>
          <w:trHeight w:val="262"/>
        </w:trPr>
        <w:tc>
          <w:tcPr>
            <w:tcW w:w="274" w:type="pct"/>
            <w:vMerge/>
            <w:tcBorders>
              <w:top w:val="nil"/>
              <w:bottom w:val="single" w:sz="4" w:space="0" w:color="auto"/>
            </w:tcBorders>
          </w:tcPr>
          <w:p w14:paraId="537FD3E3" w14:textId="77777777" w:rsidR="009F33CD" w:rsidRDefault="009F33CD">
            <w:pPr>
              <w:spacing w:before="0" w:beforeAutospacing="0" w:after="0" w:afterAutospacing="0" w:line="240" w:lineRule="auto"/>
              <w:rPr>
                <w:rFonts w:cs="Times New Roman"/>
              </w:rPr>
            </w:pPr>
          </w:p>
        </w:tc>
        <w:tc>
          <w:tcPr>
            <w:tcW w:w="773" w:type="pct"/>
            <w:tcBorders>
              <w:top w:val="nil"/>
              <w:bottom w:val="single" w:sz="4" w:space="0" w:color="auto"/>
            </w:tcBorders>
          </w:tcPr>
          <w:p w14:paraId="69F09FFA" w14:textId="77777777" w:rsidR="009F33CD" w:rsidRDefault="00E40740">
            <w:pPr>
              <w:spacing w:before="0" w:beforeAutospacing="0" w:after="0" w:afterAutospacing="0" w:line="240" w:lineRule="auto"/>
              <w:rPr>
                <w:rFonts w:cs="Times New Roman"/>
              </w:rPr>
            </w:pPr>
            <w:r>
              <w:rPr>
                <w:rFonts w:cs="Times New Roman"/>
              </w:rPr>
              <w:t>X</w:t>
            </w:r>
            <w:r>
              <w:rPr>
                <w:rFonts w:cs="Times New Roman"/>
                <w:vertAlign w:val="subscript"/>
              </w:rPr>
              <w:t>3</w:t>
            </w:r>
          </w:p>
        </w:tc>
        <w:tc>
          <w:tcPr>
            <w:tcW w:w="637" w:type="pct"/>
            <w:tcBorders>
              <w:top w:val="nil"/>
              <w:bottom w:val="single" w:sz="4" w:space="0" w:color="auto"/>
            </w:tcBorders>
          </w:tcPr>
          <w:p w14:paraId="4F3624F8" w14:textId="77777777" w:rsidR="009F33CD" w:rsidRDefault="00E40740">
            <w:pPr>
              <w:spacing w:before="0" w:beforeAutospacing="0" w:after="0" w:afterAutospacing="0" w:line="240" w:lineRule="auto"/>
              <w:rPr>
                <w:rFonts w:cs="Times New Roman"/>
              </w:rPr>
            </w:pPr>
            <w:r>
              <w:rPr>
                <w:rFonts w:cs="Times New Roman"/>
              </w:rPr>
              <w:t>.862</w:t>
            </w:r>
          </w:p>
        </w:tc>
        <w:tc>
          <w:tcPr>
            <w:tcW w:w="819" w:type="pct"/>
            <w:tcBorders>
              <w:top w:val="nil"/>
              <w:bottom w:val="single" w:sz="4" w:space="0" w:color="auto"/>
            </w:tcBorders>
          </w:tcPr>
          <w:p w14:paraId="6B350E31" w14:textId="77777777" w:rsidR="009F33CD" w:rsidRDefault="00E40740">
            <w:pPr>
              <w:spacing w:before="0" w:beforeAutospacing="0" w:after="0" w:afterAutospacing="0" w:line="240" w:lineRule="auto"/>
              <w:rPr>
                <w:rFonts w:cs="Times New Roman"/>
              </w:rPr>
            </w:pPr>
            <w:r>
              <w:rPr>
                <w:rFonts w:cs="Times New Roman"/>
              </w:rPr>
              <w:t>.075</w:t>
            </w:r>
          </w:p>
        </w:tc>
        <w:tc>
          <w:tcPr>
            <w:tcW w:w="1091" w:type="pct"/>
            <w:tcBorders>
              <w:top w:val="nil"/>
              <w:bottom w:val="single" w:sz="4" w:space="0" w:color="auto"/>
            </w:tcBorders>
          </w:tcPr>
          <w:p w14:paraId="6D6E4E4E" w14:textId="77777777" w:rsidR="009F33CD" w:rsidRDefault="00E40740">
            <w:pPr>
              <w:spacing w:before="0" w:beforeAutospacing="0" w:after="0" w:afterAutospacing="0" w:line="240" w:lineRule="auto"/>
              <w:rPr>
                <w:rFonts w:cs="Times New Roman"/>
              </w:rPr>
            </w:pPr>
            <w:r>
              <w:rPr>
                <w:rFonts w:cs="Times New Roman"/>
              </w:rPr>
              <w:t>.731</w:t>
            </w:r>
          </w:p>
        </w:tc>
        <w:tc>
          <w:tcPr>
            <w:tcW w:w="818" w:type="pct"/>
            <w:tcBorders>
              <w:top w:val="nil"/>
              <w:bottom w:val="single" w:sz="4" w:space="0" w:color="auto"/>
            </w:tcBorders>
          </w:tcPr>
          <w:p w14:paraId="3BBF04BE" w14:textId="77777777" w:rsidR="009F33CD" w:rsidRDefault="00E40740" w:rsidP="004A77B4">
            <w:pPr>
              <w:spacing w:before="0" w:beforeAutospacing="0" w:after="0" w:afterAutospacing="0" w:line="240" w:lineRule="auto"/>
              <w:jc w:val="center"/>
              <w:rPr>
                <w:rFonts w:cs="Times New Roman"/>
              </w:rPr>
            </w:pPr>
            <w:r>
              <w:rPr>
                <w:rFonts w:cs="Times New Roman"/>
              </w:rPr>
              <w:t>11.529</w:t>
            </w:r>
          </w:p>
        </w:tc>
        <w:tc>
          <w:tcPr>
            <w:tcW w:w="589" w:type="pct"/>
            <w:tcBorders>
              <w:top w:val="nil"/>
              <w:bottom w:val="single" w:sz="4" w:space="0" w:color="auto"/>
            </w:tcBorders>
          </w:tcPr>
          <w:p w14:paraId="2A25B0FC" w14:textId="77777777" w:rsidR="009F33CD" w:rsidRDefault="00E40740" w:rsidP="004A77B4">
            <w:pPr>
              <w:spacing w:before="0" w:beforeAutospacing="0" w:after="0" w:afterAutospacing="0" w:line="240" w:lineRule="auto"/>
              <w:jc w:val="center"/>
              <w:rPr>
                <w:rFonts w:cs="Times New Roman"/>
              </w:rPr>
            </w:pPr>
            <w:r>
              <w:rPr>
                <w:rFonts w:cs="Times New Roman"/>
              </w:rPr>
              <w:t>.000</w:t>
            </w:r>
          </w:p>
        </w:tc>
      </w:tr>
      <w:tr w:rsidR="009F33CD" w14:paraId="2D624AB6" w14:textId="77777777" w:rsidTr="001E3129">
        <w:trPr>
          <w:cantSplit/>
          <w:trHeight w:val="262"/>
        </w:trPr>
        <w:tc>
          <w:tcPr>
            <w:tcW w:w="5000" w:type="pct"/>
            <w:gridSpan w:val="7"/>
            <w:tcBorders>
              <w:top w:val="single" w:sz="4" w:space="0" w:color="auto"/>
              <w:bottom w:val="nil"/>
            </w:tcBorders>
          </w:tcPr>
          <w:p w14:paraId="38E11152" w14:textId="77777777" w:rsidR="009F33CD" w:rsidRDefault="00E40740">
            <w:pPr>
              <w:spacing w:after="240" w:line="240" w:lineRule="auto"/>
              <w:rPr>
                <w:rFonts w:cs="Times New Roman"/>
              </w:rPr>
            </w:pPr>
            <w:r>
              <w:rPr>
                <w:rFonts w:cs="Times New Roman"/>
              </w:rPr>
              <w:t>a. Dependent Variable: performance of devolved healthcare services in Kenya</w:t>
            </w:r>
          </w:p>
        </w:tc>
      </w:tr>
    </w:tbl>
    <w:p w14:paraId="2ED90362" w14:textId="77777777" w:rsidR="009F33CD" w:rsidRDefault="00E40740">
      <w:pPr>
        <w:spacing w:after="240"/>
        <w:rPr>
          <w:rFonts w:cs="Times New Roman"/>
        </w:rPr>
      </w:pPr>
      <w:r>
        <w:rPr>
          <w:rFonts w:cs="Times New Roman"/>
        </w:rPr>
        <w:t>From the regression coefficients, as shown in Table 4.31, the findings revealed that GOSH had a statistically significant effect on the performance of devolved healthcare services as supported by a beta coefficient of β= 0.862 and a p=0.000&lt;0.05. Hence;</w:t>
      </w:r>
    </w:p>
    <w:p w14:paraId="56638338" w14:textId="77777777" w:rsidR="009F33CD" w:rsidRDefault="00E40740">
      <w:pPr>
        <w:spacing w:after="240"/>
        <w:jc w:val="right"/>
        <w:rPr>
          <w:rFonts w:cs="Times New Roman"/>
        </w:rPr>
      </w:pPr>
      <w:r>
        <w:rPr>
          <w:rFonts w:cs="Times New Roman"/>
        </w:rPr>
        <w:t>Y=0.792+0.862X</w:t>
      </w:r>
      <w:r>
        <w:rPr>
          <w:rFonts w:cs="Times New Roman"/>
          <w:vertAlign w:val="subscript"/>
        </w:rPr>
        <w:t>3</w:t>
      </w:r>
      <w:r>
        <w:rPr>
          <w:rFonts w:cs="Times New Roman"/>
        </w:rPr>
        <w:t>…………………………………………………………… (eq. 3).</w:t>
      </w:r>
    </w:p>
    <w:p w14:paraId="42ADD329" w14:textId="77777777" w:rsidR="009F33CD" w:rsidRDefault="00E40740">
      <w:pPr>
        <w:spacing w:after="240"/>
        <w:rPr>
          <w:rFonts w:cs="Times New Roman"/>
        </w:rPr>
      </w:pPr>
      <w:r>
        <w:rPr>
          <w:rFonts w:cs="Times New Roman"/>
        </w:rPr>
        <w:t xml:space="preserve">The results imply that a unit increase in green occupational safety and health other factors held constant increased the performance of devolved healthcare services in Kenya by 0.862 units. Further in support of the findings, t </w:t>
      </w:r>
      <w:r>
        <w:rPr>
          <w:rFonts w:cs="Times New Roman"/>
          <w:vertAlign w:val="subscript"/>
        </w:rPr>
        <w:t>cal</w:t>
      </w:r>
      <w:r>
        <w:rPr>
          <w:rFonts w:cs="Times New Roman"/>
        </w:rPr>
        <w:t xml:space="preserve">= 11.529&gt; t </w:t>
      </w:r>
      <w:r>
        <w:rPr>
          <w:rFonts w:cs="Times New Roman"/>
          <w:vertAlign w:val="subscript"/>
        </w:rPr>
        <w:t>critical</w:t>
      </w:r>
      <w:r>
        <w:rPr>
          <w:rFonts w:cs="Times New Roman"/>
        </w:rPr>
        <w:t xml:space="preserve"> =1.96 at a 95 percent confidence level. Because of this result, the null hypothesis (H</w:t>
      </w:r>
      <w:r>
        <w:rPr>
          <w:rFonts w:cs="Times New Roman"/>
          <w:vertAlign w:val="subscript"/>
        </w:rPr>
        <w:t>o3</w:t>
      </w:r>
      <w:r>
        <w:rPr>
          <w:rFonts w:cs="Times New Roman"/>
        </w:rPr>
        <w:t>) was rejected and the alternative hypothesis was accepted.</w:t>
      </w:r>
    </w:p>
    <w:p w14:paraId="218AA13D" w14:textId="77777777" w:rsidR="009F33CD" w:rsidRDefault="00E40740">
      <w:pPr>
        <w:spacing w:after="240"/>
        <w:rPr>
          <w:rFonts w:cs="Times New Roman"/>
        </w:rPr>
      </w:pPr>
      <w:r>
        <w:rPr>
          <w:rFonts w:cs="Times New Roman"/>
        </w:rPr>
        <w:t xml:space="preserve">Analysis of Variance (ANOVA) was conducted to test the study hypothesis and thus establish whether the model was a significant fit for the data. From Table 4.32 testing the study hypothesis, the study compared means using one-way ANOVA and found significant differences in the means of different study variables; hence GOSH revealed a significant effect on the performance of devolved healthcare services F {(26, 91) = 6.540, p = 0.000}. The study found that green occupational safety and health had P=0.000 which was less than 0.05 level of significance. This implies that GOSH practice significantly influenced the performance of devolved healthcare services in </w:t>
      </w:r>
      <w:r>
        <w:rPr>
          <w:rFonts w:cs="Times New Roman"/>
        </w:rPr>
        <w:lastRenderedPageBreak/>
        <w:t>Kenya. The null hypothesis (H</w:t>
      </w:r>
      <w:r>
        <w:rPr>
          <w:rFonts w:cs="Times New Roman"/>
          <w:vertAlign w:val="subscript"/>
        </w:rPr>
        <w:t>o3</w:t>
      </w:r>
      <w:r>
        <w:rPr>
          <w:rFonts w:cs="Times New Roman"/>
        </w:rPr>
        <w:t>) was rejected and the alternative hypothesis was accepted.</w:t>
      </w:r>
    </w:p>
    <w:p w14:paraId="5E5876BA" w14:textId="77777777" w:rsidR="009F33CD" w:rsidRDefault="00E40740">
      <w:pPr>
        <w:spacing w:after="240"/>
        <w:rPr>
          <w:rFonts w:cs="Times New Roman"/>
        </w:rPr>
      </w:pPr>
      <w:r>
        <w:rPr>
          <w:rFonts w:cs="Times New Roman"/>
        </w:rPr>
        <w:t xml:space="preserve">Thus; </w:t>
      </w:r>
      <w:r>
        <w:rPr>
          <w:rFonts w:cs="Times New Roman"/>
          <w:b/>
        </w:rPr>
        <w:t>H</w:t>
      </w:r>
      <w:r>
        <w:rPr>
          <w:rFonts w:cs="Times New Roman"/>
          <w:b/>
          <w:vertAlign w:val="subscript"/>
        </w:rPr>
        <w:t>3</w:t>
      </w:r>
      <w:r>
        <w:rPr>
          <w:rFonts w:cs="Times New Roman"/>
          <w:b/>
        </w:rPr>
        <w:t>:</w:t>
      </w:r>
      <w:r>
        <w:rPr>
          <w:rFonts w:cs="Times New Roman"/>
        </w:rPr>
        <w:t xml:space="preserve"> Green occupational safety and health has a statistically significant effect on the performance of devolved healthcare services in Kenya. </w:t>
      </w:r>
    </w:p>
    <w:p w14:paraId="02CFA80C" w14:textId="77777777" w:rsidR="009F33CD" w:rsidRDefault="000748E0">
      <w:pPr>
        <w:pStyle w:val="Heading6"/>
      </w:pPr>
      <w:bookmarkStart w:id="1414" w:name="_Toc185614127"/>
      <w:bookmarkStart w:id="1415" w:name="_Toc187080899"/>
      <w:bookmarkStart w:id="1416" w:name="_Toc224237462"/>
      <w:r>
        <w:t>Table 4.33</w:t>
      </w:r>
      <w:r w:rsidR="00E40740">
        <w:t>: One-Way ANOVA for GOSH</w:t>
      </w:r>
      <w:bookmarkEnd w:id="1414"/>
      <w:bookmarkEnd w:id="1415"/>
      <w:bookmarkEnd w:id="1416"/>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09"/>
        <w:gridCol w:w="1866"/>
        <w:gridCol w:w="1780"/>
        <w:gridCol w:w="763"/>
        <w:gridCol w:w="1440"/>
        <w:gridCol w:w="1356"/>
        <w:gridCol w:w="506"/>
      </w:tblGrid>
      <w:tr w:rsidR="009F33CD" w14:paraId="37F78B6F" w14:textId="77777777">
        <w:trPr>
          <w:cantSplit/>
          <w:trHeight w:val="201"/>
        </w:trPr>
        <w:tc>
          <w:tcPr>
            <w:tcW w:w="1444" w:type="pct"/>
            <w:gridSpan w:val="2"/>
            <w:tcBorders>
              <w:top w:val="single" w:sz="4" w:space="0" w:color="auto"/>
              <w:bottom w:val="single" w:sz="4" w:space="0" w:color="auto"/>
            </w:tcBorders>
            <w:vAlign w:val="bottom"/>
          </w:tcPr>
          <w:p w14:paraId="736E8C1A" w14:textId="77777777" w:rsidR="009F33CD" w:rsidRDefault="009F33CD">
            <w:pPr>
              <w:spacing w:before="0" w:beforeAutospacing="0" w:after="0" w:afterAutospacing="0" w:line="240" w:lineRule="auto"/>
              <w:rPr>
                <w:rFonts w:cs="Times New Roman"/>
                <w:b/>
              </w:rPr>
            </w:pPr>
          </w:p>
        </w:tc>
        <w:tc>
          <w:tcPr>
            <w:tcW w:w="1083" w:type="pct"/>
            <w:tcBorders>
              <w:top w:val="single" w:sz="4" w:space="0" w:color="auto"/>
              <w:bottom w:val="single" w:sz="4" w:space="0" w:color="auto"/>
            </w:tcBorders>
            <w:vAlign w:val="bottom"/>
          </w:tcPr>
          <w:p w14:paraId="7301C70B" w14:textId="77777777" w:rsidR="009F33CD" w:rsidRDefault="00E40740">
            <w:pPr>
              <w:spacing w:before="0" w:beforeAutospacing="0" w:after="0" w:afterAutospacing="0" w:line="240" w:lineRule="auto"/>
              <w:jc w:val="center"/>
              <w:rPr>
                <w:rFonts w:cs="Times New Roman"/>
                <w:b/>
              </w:rPr>
            </w:pPr>
            <w:r>
              <w:rPr>
                <w:rFonts w:cs="Times New Roman"/>
                <w:b/>
              </w:rPr>
              <w:t>Sum of Squares</w:t>
            </w:r>
          </w:p>
        </w:tc>
        <w:tc>
          <w:tcPr>
            <w:tcW w:w="464" w:type="pct"/>
            <w:tcBorders>
              <w:top w:val="single" w:sz="4" w:space="0" w:color="auto"/>
              <w:bottom w:val="single" w:sz="4" w:space="0" w:color="auto"/>
            </w:tcBorders>
            <w:vAlign w:val="bottom"/>
          </w:tcPr>
          <w:p w14:paraId="263DDCAC" w14:textId="77777777" w:rsidR="009F33CD" w:rsidRDefault="00E40740">
            <w:pPr>
              <w:spacing w:before="0" w:beforeAutospacing="0" w:after="0" w:afterAutospacing="0" w:line="240" w:lineRule="auto"/>
              <w:jc w:val="center"/>
              <w:rPr>
                <w:rFonts w:cs="Times New Roman"/>
                <w:b/>
              </w:rPr>
            </w:pPr>
            <w:r>
              <w:rPr>
                <w:rFonts w:cs="Times New Roman"/>
                <w:b/>
              </w:rPr>
              <w:t>Df</w:t>
            </w:r>
          </w:p>
        </w:tc>
        <w:tc>
          <w:tcPr>
            <w:tcW w:w="876" w:type="pct"/>
            <w:tcBorders>
              <w:top w:val="single" w:sz="4" w:space="0" w:color="auto"/>
              <w:bottom w:val="single" w:sz="4" w:space="0" w:color="auto"/>
            </w:tcBorders>
            <w:vAlign w:val="bottom"/>
          </w:tcPr>
          <w:p w14:paraId="2E4766B6" w14:textId="77777777" w:rsidR="009F33CD" w:rsidRDefault="00E40740">
            <w:pPr>
              <w:spacing w:before="0" w:beforeAutospacing="0" w:after="0" w:afterAutospacing="0" w:line="240" w:lineRule="auto"/>
              <w:jc w:val="center"/>
              <w:rPr>
                <w:rFonts w:cs="Times New Roman"/>
                <w:b/>
              </w:rPr>
            </w:pPr>
            <w:r>
              <w:rPr>
                <w:rFonts w:cs="Times New Roman"/>
                <w:b/>
              </w:rPr>
              <w:t>Mean Square</w:t>
            </w:r>
          </w:p>
        </w:tc>
        <w:tc>
          <w:tcPr>
            <w:tcW w:w="825" w:type="pct"/>
            <w:tcBorders>
              <w:top w:val="single" w:sz="4" w:space="0" w:color="auto"/>
              <w:bottom w:val="single" w:sz="4" w:space="0" w:color="auto"/>
            </w:tcBorders>
            <w:vAlign w:val="bottom"/>
          </w:tcPr>
          <w:p w14:paraId="043C1EC0" w14:textId="77777777" w:rsidR="009F33CD" w:rsidRDefault="00E40740">
            <w:pPr>
              <w:spacing w:before="0" w:beforeAutospacing="0" w:after="0" w:afterAutospacing="0" w:line="240" w:lineRule="auto"/>
              <w:jc w:val="center"/>
              <w:rPr>
                <w:rFonts w:cs="Times New Roman"/>
                <w:b/>
              </w:rPr>
            </w:pPr>
            <w:r>
              <w:rPr>
                <w:rFonts w:cs="Times New Roman"/>
                <w:b/>
              </w:rPr>
              <w:t>F</w:t>
            </w:r>
          </w:p>
        </w:tc>
        <w:tc>
          <w:tcPr>
            <w:tcW w:w="309" w:type="pct"/>
            <w:tcBorders>
              <w:top w:val="single" w:sz="4" w:space="0" w:color="auto"/>
              <w:bottom w:val="single" w:sz="4" w:space="0" w:color="auto"/>
            </w:tcBorders>
            <w:vAlign w:val="bottom"/>
          </w:tcPr>
          <w:p w14:paraId="11745BEF" w14:textId="77777777" w:rsidR="009F33CD" w:rsidRDefault="00E40740">
            <w:pPr>
              <w:spacing w:before="0" w:beforeAutospacing="0" w:after="0" w:afterAutospacing="0" w:line="240" w:lineRule="auto"/>
              <w:jc w:val="center"/>
              <w:rPr>
                <w:rFonts w:cs="Times New Roman"/>
                <w:b/>
              </w:rPr>
            </w:pPr>
            <w:r>
              <w:rPr>
                <w:rFonts w:cs="Times New Roman"/>
                <w:b/>
              </w:rPr>
              <w:t>Sig.</w:t>
            </w:r>
          </w:p>
        </w:tc>
      </w:tr>
      <w:tr w:rsidR="009F33CD" w14:paraId="4E25FB62" w14:textId="77777777">
        <w:trPr>
          <w:cantSplit/>
          <w:trHeight w:val="45"/>
        </w:trPr>
        <w:tc>
          <w:tcPr>
            <w:tcW w:w="309" w:type="pct"/>
            <w:vMerge w:val="restart"/>
          </w:tcPr>
          <w:p w14:paraId="2EACF03A" w14:textId="77777777" w:rsidR="009F33CD" w:rsidRDefault="00E40740">
            <w:pPr>
              <w:spacing w:before="0" w:beforeAutospacing="0" w:after="0" w:afterAutospacing="0" w:line="240" w:lineRule="auto"/>
              <w:rPr>
                <w:rFonts w:cs="Times New Roman"/>
                <w:bCs/>
              </w:rPr>
            </w:pPr>
            <w:r>
              <w:rPr>
                <w:rFonts w:cs="Times New Roman"/>
                <w:bCs/>
              </w:rPr>
              <w:t>X</w:t>
            </w:r>
            <w:r>
              <w:rPr>
                <w:rFonts w:cs="Times New Roman"/>
                <w:bCs/>
                <w:vertAlign w:val="subscript"/>
              </w:rPr>
              <w:t>3</w:t>
            </w:r>
          </w:p>
        </w:tc>
        <w:tc>
          <w:tcPr>
            <w:tcW w:w="1134" w:type="pct"/>
          </w:tcPr>
          <w:p w14:paraId="3B889ED0" w14:textId="77777777" w:rsidR="009F33CD" w:rsidRDefault="00E40740">
            <w:pPr>
              <w:spacing w:before="0" w:beforeAutospacing="0" w:after="0" w:afterAutospacing="0" w:line="240" w:lineRule="auto"/>
              <w:rPr>
                <w:rFonts w:cs="Times New Roman"/>
                <w:bCs/>
              </w:rPr>
            </w:pPr>
            <w:r>
              <w:rPr>
                <w:rFonts w:cs="Times New Roman"/>
                <w:bCs/>
              </w:rPr>
              <w:t>Between Groups</w:t>
            </w:r>
          </w:p>
        </w:tc>
        <w:tc>
          <w:tcPr>
            <w:tcW w:w="1083" w:type="pct"/>
          </w:tcPr>
          <w:p w14:paraId="03415ED1" w14:textId="77777777" w:rsidR="009F33CD" w:rsidRDefault="00E40740">
            <w:pPr>
              <w:spacing w:before="0" w:beforeAutospacing="0" w:after="0" w:afterAutospacing="0" w:line="240" w:lineRule="auto"/>
              <w:jc w:val="center"/>
              <w:rPr>
                <w:rFonts w:cs="Times New Roman"/>
                <w:bCs/>
              </w:rPr>
            </w:pPr>
            <w:r>
              <w:rPr>
                <w:rFonts w:cs="Times New Roman"/>
                <w:bCs/>
              </w:rPr>
              <w:t>47.324</w:t>
            </w:r>
          </w:p>
        </w:tc>
        <w:tc>
          <w:tcPr>
            <w:tcW w:w="464" w:type="pct"/>
          </w:tcPr>
          <w:p w14:paraId="7DDF35D0" w14:textId="77777777" w:rsidR="009F33CD" w:rsidRDefault="00E40740">
            <w:pPr>
              <w:spacing w:before="0" w:beforeAutospacing="0" w:after="0" w:afterAutospacing="0" w:line="240" w:lineRule="auto"/>
              <w:jc w:val="center"/>
              <w:rPr>
                <w:rFonts w:cs="Times New Roman"/>
                <w:bCs/>
              </w:rPr>
            </w:pPr>
            <w:r>
              <w:rPr>
                <w:rFonts w:cs="Times New Roman"/>
                <w:bCs/>
              </w:rPr>
              <w:t>26</w:t>
            </w:r>
          </w:p>
        </w:tc>
        <w:tc>
          <w:tcPr>
            <w:tcW w:w="876" w:type="pct"/>
          </w:tcPr>
          <w:p w14:paraId="77206E1D" w14:textId="77777777" w:rsidR="009F33CD" w:rsidRDefault="00E40740">
            <w:pPr>
              <w:spacing w:before="0" w:beforeAutospacing="0" w:after="0" w:afterAutospacing="0" w:line="240" w:lineRule="auto"/>
              <w:jc w:val="center"/>
              <w:rPr>
                <w:rFonts w:cs="Times New Roman"/>
                <w:bCs/>
              </w:rPr>
            </w:pPr>
            <w:r>
              <w:rPr>
                <w:rFonts w:cs="Times New Roman"/>
                <w:bCs/>
              </w:rPr>
              <w:t>1.820</w:t>
            </w:r>
          </w:p>
        </w:tc>
        <w:tc>
          <w:tcPr>
            <w:tcW w:w="825" w:type="pct"/>
          </w:tcPr>
          <w:p w14:paraId="322D418D" w14:textId="77777777" w:rsidR="009F33CD" w:rsidRDefault="00E40740">
            <w:pPr>
              <w:spacing w:before="0" w:beforeAutospacing="0" w:after="0" w:afterAutospacing="0" w:line="240" w:lineRule="auto"/>
              <w:jc w:val="center"/>
              <w:rPr>
                <w:rFonts w:cs="Times New Roman"/>
                <w:bCs/>
              </w:rPr>
            </w:pPr>
            <w:r>
              <w:rPr>
                <w:rFonts w:cs="Times New Roman"/>
                <w:bCs/>
              </w:rPr>
              <w:t>6.540</w:t>
            </w:r>
          </w:p>
        </w:tc>
        <w:tc>
          <w:tcPr>
            <w:tcW w:w="309" w:type="pct"/>
          </w:tcPr>
          <w:p w14:paraId="0D38912C" w14:textId="77777777" w:rsidR="009F33CD" w:rsidRDefault="00E40740">
            <w:pPr>
              <w:spacing w:before="0" w:beforeAutospacing="0" w:after="0" w:afterAutospacing="0" w:line="240" w:lineRule="auto"/>
              <w:jc w:val="center"/>
              <w:rPr>
                <w:rFonts w:cs="Times New Roman"/>
                <w:bCs/>
              </w:rPr>
            </w:pPr>
            <w:r>
              <w:rPr>
                <w:rFonts w:cs="Times New Roman"/>
                <w:bCs/>
              </w:rPr>
              <w:t>.000</w:t>
            </w:r>
          </w:p>
        </w:tc>
      </w:tr>
      <w:tr w:rsidR="009F33CD" w14:paraId="7EBC98BF" w14:textId="77777777">
        <w:trPr>
          <w:cantSplit/>
          <w:trHeight w:val="279"/>
        </w:trPr>
        <w:tc>
          <w:tcPr>
            <w:tcW w:w="309" w:type="pct"/>
            <w:vMerge/>
            <w:tcBorders>
              <w:bottom w:val="single" w:sz="4" w:space="0" w:color="auto"/>
            </w:tcBorders>
          </w:tcPr>
          <w:p w14:paraId="2229B37F" w14:textId="77777777" w:rsidR="009F33CD" w:rsidRDefault="009F33CD">
            <w:pPr>
              <w:spacing w:before="0" w:beforeAutospacing="0" w:after="0" w:afterAutospacing="0" w:line="240" w:lineRule="auto"/>
              <w:rPr>
                <w:rFonts w:cs="Times New Roman"/>
                <w:bCs/>
              </w:rPr>
            </w:pPr>
          </w:p>
        </w:tc>
        <w:tc>
          <w:tcPr>
            <w:tcW w:w="1134" w:type="pct"/>
            <w:tcBorders>
              <w:bottom w:val="single" w:sz="4" w:space="0" w:color="auto"/>
            </w:tcBorders>
          </w:tcPr>
          <w:p w14:paraId="34D7E142" w14:textId="77777777" w:rsidR="009F33CD" w:rsidRDefault="00E40740">
            <w:pPr>
              <w:spacing w:before="0" w:beforeAutospacing="0" w:after="0" w:afterAutospacing="0" w:line="240" w:lineRule="auto"/>
              <w:rPr>
                <w:rFonts w:cs="Times New Roman"/>
                <w:bCs/>
              </w:rPr>
            </w:pPr>
            <w:r>
              <w:rPr>
                <w:rFonts w:cs="Times New Roman"/>
                <w:bCs/>
              </w:rPr>
              <w:t>Within Groups</w:t>
            </w:r>
          </w:p>
        </w:tc>
        <w:tc>
          <w:tcPr>
            <w:tcW w:w="1083" w:type="pct"/>
            <w:tcBorders>
              <w:bottom w:val="single" w:sz="4" w:space="0" w:color="auto"/>
            </w:tcBorders>
          </w:tcPr>
          <w:p w14:paraId="58E97DD0" w14:textId="77777777" w:rsidR="009F33CD" w:rsidRDefault="00E40740">
            <w:pPr>
              <w:spacing w:before="0" w:beforeAutospacing="0" w:after="0" w:afterAutospacing="0" w:line="240" w:lineRule="auto"/>
              <w:jc w:val="center"/>
              <w:rPr>
                <w:rFonts w:cs="Times New Roman"/>
                <w:bCs/>
              </w:rPr>
            </w:pPr>
            <w:r>
              <w:rPr>
                <w:rFonts w:cs="Times New Roman"/>
                <w:bCs/>
              </w:rPr>
              <w:t>25.325</w:t>
            </w:r>
          </w:p>
        </w:tc>
        <w:tc>
          <w:tcPr>
            <w:tcW w:w="464" w:type="pct"/>
            <w:tcBorders>
              <w:bottom w:val="single" w:sz="4" w:space="0" w:color="auto"/>
            </w:tcBorders>
          </w:tcPr>
          <w:p w14:paraId="108C706E" w14:textId="77777777" w:rsidR="009F33CD" w:rsidRDefault="00E40740">
            <w:pPr>
              <w:spacing w:before="0" w:beforeAutospacing="0" w:after="0" w:afterAutospacing="0" w:line="240" w:lineRule="auto"/>
              <w:jc w:val="center"/>
              <w:rPr>
                <w:rFonts w:cs="Times New Roman"/>
                <w:bCs/>
              </w:rPr>
            </w:pPr>
            <w:r>
              <w:rPr>
                <w:rFonts w:cs="Times New Roman"/>
                <w:bCs/>
              </w:rPr>
              <w:t>91</w:t>
            </w:r>
          </w:p>
        </w:tc>
        <w:tc>
          <w:tcPr>
            <w:tcW w:w="876" w:type="pct"/>
            <w:tcBorders>
              <w:bottom w:val="single" w:sz="4" w:space="0" w:color="auto"/>
            </w:tcBorders>
          </w:tcPr>
          <w:p w14:paraId="76C1D398" w14:textId="77777777" w:rsidR="009F33CD" w:rsidRDefault="00E40740">
            <w:pPr>
              <w:spacing w:before="0" w:beforeAutospacing="0" w:after="0" w:afterAutospacing="0" w:line="240" w:lineRule="auto"/>
              <w:jc w:val="center"/>
              <w:rPr>
                <w:rFonts w:cs="Times New Roman"/>
                <w:bCs/>
              </w:rPr>
            </w:pPr>
            <w:r>
              <w:rPr>
                <w:rFonts w:cs="Times New Roman"/>
                <w:bCs/>
              </w:rPr>
              <w:t>.278</w:t>
            </w:r>
          </w:p>
        </w:tc>
        <w:tc>
          <w:tcPr>
            <w:tcW w:w="825" w:type="pct"/>
            <w:tcBorders>
              <w:bottom w:val="single" w:sz="4" w:space="0" w:color="auto"/>
            </w:tcBorders>
            <w:vAlign w:val="center"/>
          </w:tcPr>
          <w:p w14:paraId="04DF71CC" w14:textId="77777777" w:rsidR="009F33CD" w:rsidRDefault="009F33CD">
            <w:pPr>
              <w:spacing w:before="0" w:beforeAutospacing="0" w:after="0" w:afterAutospacing="0" w:line="240" w:lineRule="auto"/>
              <w:jc w:val="center"/>
              <w:rPr>
                <w:rFonts w:cs="Times New Roman"/>
                <w:bCs/>
              </w:rPr>
            </w:pPr>
          </w:p>
        </w:tc>
        <w:tc>
          <w:tcPr>
            <w:tcW w:w="309" w:type="pct"/>
            <w:tcBorders>
              <w:bottom w:val="single" w:sz="4" w:space="0" w:color="auto"/>
            </w:tcBorders>
            <w:vAlign w:val="center"/>
          </w:tcPr>
          <w:p w14:paraId="0B1D5117" w14:textId="77777777" w:rsidR="009F33CD" w:rsidRDefault="009F33CD">
            <w:pPr>
              <w:spacing w:before="0" w:beforeAutospacing="0" w:after="0" w:afterAutospacing="0" w:line="240" w:lineRule="auto"/>
              <w:jc w:val="center"/>
              <w:rPr>
                <w:rFonts w:cs="Times New Roman"/>
                <w:bCs/>
              </w:rPr>
            </w:pPr>
          </w:p>
        </w:tc>
      </w:tr>
      <w:tr w:rsidR="009F33CD" w14:paraId="4DF0C48D" w14:textId="77777777">
        <w:trPr>
          <w:cantSplit/>
          <w:trHeight w:val="279"/>
        </w:trPr>
        <w:tc>
          <w:tcPr>
            <w:tcW w:w="5000" w:type="pct"/>
            <w:gridSpan w:val="7"/>
            <w:tcBorders>
              <w:top w:val="single" w:sz="4" w:space="0" w:color="auto"/>
              <w:bottom w:val="nil"/>
            </w:tcBorders>
          </w:tcPr>
          <w:p w14:paraId="243CDCD6" w14:textId="77777777" w:rsidR="009F33CD" w:rsidRDefault="00E40740">
            <w:pPr>
              <w:spacing w:before="0" w:beforeAutospacing="0" w:after="0" w:afterAutospacing="0" w:line="240" w:lineRule="auto"/>
              <w:rPr>
                <w:rFonts w:cs="Times New Roman"/>
                <w:bCs/>
              </w:rPr>
            </w:pPr>
            <w:r>
              <w:rPr>
                <w:rFonts w:cs="Times New Roman"/>
              </w:rPr>
              <w:t>X</w:t>
            </w:r>
            <w:r>
              <w:rPr>
                <w:rFonts w:cs="Times New Roman"/>
                <w:vertAlign w:val="subscript"/>
              </w:rPr>
              <w:t>3</w:t>
            </w:r>
            <w:r>
              <w:rPr>
                <w:rFonts w:cs="Times New Roman"/>
              </w:rPr>
              <w:t xml:space="preserve"> = Green Occupational Safety and Health</w:t>
            </w:r>
          </w:p>
        </w:tc>
      </w:tr>
    </w:tbl>
    <w:p w14:paraId="28B121A7" w14:textId="77777777" w:rsidR="009F33CD" w:rsidRDefault="00E40740">
      <w:pPr>
        <w:pStyle w:val="Heading2"/>
        <w:spacing w:before="240"/>
        <w:rPr>
          <w:lang w:val="en-GB"/>
        </w:rPr>
      </w:pPr>
      <w:bookmarkStart w:id="1417" w:name="_Toc147950251"/>
      <w:bookmarkStart w:id="1418" w:name="_Toc224237749"/>
      <w:r>
        <w:rPr>
          <w:lang w:val="en-GB"/>
        </w:rPr>
        <w:t>4.9 Findings for Green Performance Evaluation and Performance</w:t>
      </w:r>
      <w:bookmarkEnd w:id="1417"/>
      <w:bookmarkEnd w:id="1418"/>
      <w:r>
        <w:rPr>
          <w:lang w:val="en-GB"/>
        </w:rPr>
        <w:t xml:space="preserve"> </w:t>
      </w:r>
    </w:p>
    <w:p w14:paraId="2E64C1A3" w14:textId="77777777" w:rsidR="009F33CD" w:rsidRDefault="00E40740">
      <w:pPr>
        <w:spacing w:before="240"/>
        <w:rPr>
          <w:rFonts w:cs="Times New Roman"/>
          <w:szCs w:val="24"/>
        </w:rPr>
      </w:pPr>
      <w:r>
        <w:rPr>
          <w:rFonts w:cs="Times New Roman"/>
          <w:szCs w:val="24"/>
        </w:rPr>
        <w:t>The fourth objective of the study was to investigate the effect of green performance evaluation on the performance of devolved healthcare services in Kenya</w:t>
      </w:r>
      <w:r>
        <w:rPr>
          <w:rFonts w:cs="Times New Roman"/>
          <w:bCs/>
          <w:szCs w:val="24"/>
        </w:rPr>
        <w:t>.</w:t>
      </w:r>
      <w:r>
        <w:t xml:space="preserve"> The findings for green performance evaluation and performance of devolved healthcare services in Kenya are analyzed and presented in the following sections starting with descriptive Statistical findings, Correlation Analysis Findings, Simple Linear Regression Findings, and finally analysis of variance findings (ANOVA). </w:t>
      </w:r>
    </w:p>
    <w:p w14:paraId="6A654601" w14:textId="77777777" w:rsidR="009F33CD" w:rsidRDefault="00E40740" w:rsidP="001E3129">
      <w:pPr>
        <w:pStyle w:val="Heading3"/>
      </w:pPr>
      <w:bookmarkStart w:id="1419" w:name="_Toc188130650"/>
      <w:bookmarkStart w:id="1420" w:name="_Toc187080901"/>
      <w:bookmarkStart w:id="1421" w:name="_Toc178942675"/>
      <w:bookmarkStart w:id="1422" w:name="_Toc165626423"/>
      <w:bookmarkStart w:id="1423" w:name="_Toc188442623"/>
      <w:bookmarkStart w:id="1424" w:name="_Toc188443997"/>
      <w:bookmarkStart w:id="1425" w:name="_Toc185614129"/>
      <w:bookmarkStart w:id="1426" w:name="_Toc178944333"/>
      <w:bookmarkStart w:id="1427" w:name="_Toc178945085"/>
      <w:bookmarkStart w:id="1428" w:name="_Toc165623642"/>
      <w:bookmarkStart w:id="1429" w:name="_Toc224160687"/>
      <w:bookmarkStart w:id="1430" w:name="_Toc224237750"/>
      <w:r>
        <w:t xml:space="preserve">4.9.1 Descriptive </w:t>
      </w:r>
      <w:r w:rsidRPr="001E3129">
        <w:t>Statistical</w:t>
      </w:r>
      <w:r>
        <w:t xml:space="preserve"> Findings for Green Performance Evaluation</w:t>
      </w:r>
      <w:bookmarkEnd w:id="1419"/>
      <w:bookmarkEnd w:id="1420"/>
      <w:bookmarkEnd w:id="1421"/>
      <w:bookmarkEnd w:id="1422"/>
      <w:bookmarkEnd w:id="1423"/>
      <w:bookmarkEnd w:id="1424"/>
      <w:bookmarkEnd w:id="1425"/>
      <w:bookmarkEnd w:id="1426"/>
      <w:bookmarkEnd w:id="1427"/>
      <w:bookmarkEnd w:id="1428"/>
      <w:bookmarkEnd w:id="1429"/>
      <w:bookmarkEnd w:id="1430"/>
    </w:p>
    <w:p w14:paraId="4A3B929E" w14:textId="77777777" w:rsidR="000748E0" w:rsidRDefault="00E40740">
      <w:pPr>
        <w:spacing w:before="240"/>
      </w:pPr>
      <w:r>
        <w:rPr>
          <w:rFonts w:eastAsia="TimesNewRomanPSMT"/>
        </w:rPr>
        <w:t xml:space="preserve">Green performance evaluation in devolved healthcare services is an important component of GHRM practices because it evaluates an employee’s performance relative to set targets/ standards. </w:t>
      </w:r>
      <w:r>
        <w:t>Green performance evaluation requires the establishment of standards regarding the adoption of environmental management activities that influence employee performance in Level Five hospitals. Because this study was investigating</w:t>
      </w:r>
      <w:r>
        <w:rPr>
          <w:rFonts w:cs="Times New Roman"/>
          <w:bCs/>
          <w:szCs w:val="24"/>
        </w:rPr>
        <w:t xml:space="preserve"> the effect of green performance evaluation on the performance of devolved healthcare services, the respondents were requested to provide their honest opinion on the following statements based on a </w:t>
      </w:r>
      <w:r>
        <w:t xml:space="preserve">scale of: 1- Strongly Disagree (SD); 2- Disagree (D); 3- Undecided (UD); 4- Agree (A); and 5- Strongly Agree (SA). </w:t>
      </w:r>
      <w:r>
        <w:rPr>
          <w:bCs/>
        </w:rPr>
        <w:t>The mean (M) and standard deviation (Sd) findings are also presented</w:t>
      </w:r>
      <w:r>
        <w:t>. The results are pres</w:t>
      </w:r>
      <w:r w:rsidR="004A77B4">
        <w:t>ented in Table 4.34</w:t>
      </w:r>
    </w:p>
    <w:p w14:paraId="6A7493B5" w14:textId="77777777" w:rsidR="009F33CD" w:rsidRDefault="004A77B4">
      <w:pPr>
        <w:pStyle w:val="Heading6"/>
      </w:pPr>
      <w:bookmarkStart w:id="1431" w:name="_Toc178942676"/>
      <w:bookmarkStart w:id="1432" w:name="_Toc165626424"/>
      <w:bookmarkStart w:id="1433" w:name="_Toc147946913"/>
      <w:bookmarkStart w:id="1434" w:name="_Toc139987497"/>
      <w:bookmarkStart w:id="1435" w:name="_Toc139986470"/>
      <w:bookmarkStart w:id="1436" w:name="_Toc147950252"/>
      <w:bookmarkStart w:id="1437" w:name="_Toc178944334"/>
      <w:bookmarkStart w:id="1438" w:name="_Toc178945086"/>
      <w:bookmarkStart w:id="1439" w:name="_Toc139981669"/>
      <w:bookmarkStart w:id="1440" w:name="_Toc224237463"/>
      <w:bookmarkStart w:id="1441" w:name="_Toc185614130"/>
      <w:bookmarkStart w:id="1442" w:name="_Toc187080902"/>
      <w:r>
        <w:lastRenderedPageBreak/>
        <w:t>Table 4.34</w:t>
      </w:r>
      <w:r w:rsidR="00E40740">
        <w:t>: Descriptive Statistical Findings for Green Performance Evaluation</w:t>
      </w:r>
      <w:bookmarkEnd w:id="1431"/>
      <w:bookmarkEnd w:id="1432"/>
      <w:bookmarkEnd w:id="1433"/>
      <w:bookmarkEnd w:id="1434"/>
      <w:bookmarkEnd w:id="1435"/>
      <w:bookmarkEnd w:id="1436"/>
      <w:bookmarkEnd w:id="1437"/>
      <w:bookmarkEnd w:id="1438"/>
      <w:bookmarkEnd w:id="1439"/>
      <w:bookmarkEnd w:id="1440"/>
      <w:r w:rsidR="00E40740">
        <w:t xml:space="preserve"> </w:t>
      </w:r>
      <w:bookmarkEnd w:id="1441"/>
      <w:bookmarkEnd w:id="1442"/>
    </w:p>
    <w:tbl>
      <w:tblPr>
        <w:tblW w:w="5000" w:type="pct"/>
        <w:tblBorders>
          <w:top w:val="single" w:sz="4" w:space="0" w:color="auto"/>
          <w:bottom w:val="single" w:sz="4" w:space="0" w:color="auto"/>
        </w:tblBorders>
        <w:tblLook w:val="04A0" w:firstRow="1" w:lastRow="0" w:firstColumn="1" w:lastColumn="0" w:noHBand="0" w:noVBand="1"/>
      </w:tblPr>
      <w:tblGrid>
        <w:gridCol w:w="3008"/>
        <w:gridCol w:w="716"/>
        <w:gridCol w:w="716"/>
        <w:gridCol w:w="836"/>
        <w:gridCol w:w="836"/>
        <w:gridCol w:w="836"/>
        <w:gridCol w:w="636"/>
        <w:gridCol w:w="636"/>
      </w:tblGrid>
      <w:tr w:rsidR="009F33CD" w14:paraId="3EF9D326" w14:textId="77777777">
        <w:trPr>
          <w:trHeight w:val="45"/>
        </w:trPr>
        <w:tc>
          <w:tcPr>
            <w:tcW w:w="2153" w:type="pct"/>
            <w:tcBorders>
              <w:top w:val="single" w:sz="4" w:space="0" w:color="auto"/>
              <w:bottom w:val="single" w:sz="4" w:space="0" w:color="auto"/>
            </w:tcBorders>
          </w:tcPr>
          <w:p w14:paraId="15537E91" w14:textId="77777777" w:rsidR="009F33CD" w:rsidRDefault="00E40740">
            <w:pPr>
              <w:spacing w:before="0" w:beforeAutospacing="0" w:after="0" w:afterAutospacing="0" w:line="240" w:lineRule="auto"/>
              <w:jc w:val="left"/>
              <w:rPr>
                <w:rFonts w:eastAsia="TimesNewRomanPSMT" w:cs="Times New Roman"/>
                <w:b/>
                <w:szCs w:val="24"/>
              </w:rPr>
            </w:pPr>
            <w:bookmarkStart w:id="1443" w:name="_Hlk139548188"/>
            <w:r>
              <w:rPr>
                <w:rFonts w:eastAsia="Times New Roman" w:cs="Times New Roman"/>
                <w:b/>
                <w:szCs w:val="24"/>
              </w:rPr>
              <w:t xml:space="preserve">GPE </w:t>
            </w:r>
            <w:bookmarkEnd w:id="1443"/>
            <w:r>
              <w:rPr>
                <w:rFonts w:eastAsia="Times New Roman" w:cs="Times New Roman"/>
                <w:b/>
                <w:szCs w:val="24"/>
              </w:rPr>
              <w:t>Statements</w:t>
            </w:r>
          </w:p>
        </w:tc>
        <w:tc>
          <w:tcPr>
            <w:tcW w:w="413" w:type="pct"/>
            <w:tcBorders>
              <w:top w:val="single" w:sz="4" w:space="0" w:color="auto"/>
              <w:bottom w:val="single" w:sz="4" w:space="0" w:color="auto"/>
            </w:tcBorders>
          </w:tcPr>
          <w:p w14:paraId="3F2B4529"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1</w:t>
            </w:r>
          </w:p>
        </w:tc>
        <w:tc>
          <w:tcPr>
            <w:tcW w:w="379" w:type="pct"/>
            <w:tcBorders>
              <w:top w:val="single" w:sz="4" w:space="0" w:color="auto"/>
              <w:bottom w:val="single" w:sz="4" w:space="0" w:color="auto"/>
            </w:tcBorders>
          </w:tcPr>
          <w:p w14:paraId="7A09107B"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2</w:t>
            </w:r>
          </w:p>
        </w:tc>
        <w:tc>
          <w:tcPr>
            <w:tcW w:w="443" w:type="pct"/>
            <w:tcBorders>
              <w:top w:val="single" w:sz="4" w:space="0" w:color="auto"/>
              <w:bottom w:val="single" w:sz="4" w:space="0" w:color="auto"/>
            </w:tcBorders>
          </w:tcPr>
          <w:p w14:paraId="48CA2FAD"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3</w:t>
            </w:r>
          </w:p>
        </w:tc>
        <w:tc>
          <w:tcPr>
            <w:tcW w:w="443" w:type="pct"/>
            <w:tcBorders>
              <w:top w:val="single" w:sz="4" w:space="0" w:color="auto"/>
              <w:bottom w:val="single" w:sz="4" w:space="0" w:color="auto"/>
            </w:tcBorders>
          </w:tcPr>
          <w:p w14:paraId="0F93D665"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4</w:t>
            </w:r>
          </w:p>
        </w:tc>
        <w:tc>
          <w:tcPr>
            <w:tcW w:w="443" w:type="pct"/>
            <w:tcBorders>
              <w:top w:val="single" w:sz="4" w:space="0" w:color="auto"/>
              <w:bottom w:val="single" w:sz="4" w:space="0" w:color="auto"/>
            </w:tcBorders>
          </w:tcPr>
          <w:p w14:paraId="35948C4D"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5</w:t>
            </w:r>
          </w:p>
        </w:tc>
        <w:tc>
          <w:tcPr>
            <w:tcW w:w="337" w:type="pct"/>
            <w:tcBorders>
              <w:top w:val="single" w:sz="4" w:space="0" w:color="auto"/>
              <w:bottom w:val="single" w:sz="4" w:space="0" w:color="auto"/>
            </w:tcBorders>
          </w:tcPr>
          <w:p w14:paraId="1ED734E0"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M</w:t>
            </w:r>
          </w:p>
        </w:tc>
        <w:tc>
          <w:tcPr>
            <w:tcW w:w="391" w:type="pct"/>
            <w:tcBorders>
              <w:top w:val="single" w:sz="4" w:space="0" w:color="auto"/>
              <w:bottom w:val="single" w:sz="4" w:space="0" w:color="auto"/>
            </w:tcBorders>
          </w:tcPr>
          <w:p w14:paraId="4114331E" w14:textId="77777777" w:rsidR="009F33CD" w:rsidRDefault="00E40740">
            <w:pPr>
              <w:spacing w:before="0" w:beforeAutospacing="0" w:after="0" w:afterAutospacing="0" w:line="240" w:lineRule="auto"/>
              <w:rPr>
                <w:rFonts w:eastAsia="TimesNewRomanPSMT" w:cs="Times New Roman"/>
                <w:b/>
                <w:szCs w:val="24"/>
              </w:rPr>
            </w:pPr>
            <w:r>
              <w:rPr>
                <w:rFonts w:eastAsia="TimesNewRomanPSMT" w:cs="Times New Roman"/>
                <w:b/>
                <w:szCs w:val="24"/>
              </w:rPr>
              <w:t>Sd</w:t>
            </w:r>
          </w:p>
        </w:tc>
      </w:tr>
      <w:tr w:rsidR="009F33CD" w14:paraId="357EC23F" w14:textId="77777777">
        <w:trPr>
          <w:trHeight w:val="612"/>
        </w:trPr>
        <w:tc>
          <w:tcPr>
            <w:tcW w:w="2153" w:type="pct"/>
            <w:tcBorders>
              <w:top w:val="single" w:sz="4" w:space="0" w:color="auto"/>
            </w:tcBorders>
          </w:tcPr>
          <w:p w14:paraId="11263D10" w14:textId="77777777" w:rsidR="009F33CD" w:rsidRDefault="00E40740">
            <w:pPr>
              <w:spacing w:before="0" w:beforeAutospacing="0" w:after="0" w:afterAutospacing="0" w:line="240" w:lineRule="auto"/>
              <w:jc w:val="left"/>
              <w:rPr>
                <w:rFonts w:eastAsia="TimesNewRomanPSMT" w:cs="Times New Roman"/>
                <w:szCs w:val="24"/>
              </w:rPr>
            </w:pPr>
            <w:r>
              <w:rPr>
                <w:rFonts w:eastAsia="Times New Roman" w:cs="Times New Roman"/>
                <w:bCs/>
                <w:szCs w:val="24"/>
              </w:rPr>
              <w:t>The hospital has put in place green objectives for each employee about environmental issues in the hospital</w:t>
            </w:r>
          </w:p>
        </w:tc>
        <w:tc>
          <w:tcPr>
            <w:tcW w:w="413" w:type="pct"/>
            <w:tcBorders>
              <w:top w:val="single" w:sz="4" w:space="0" w:color="auto"/>
            </w:tcBorders>
          </w:tcPr>
          <w:p w14:paraId="030143A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3.4%</w:t>
            </w:r>
          </w:p>
        </w:tc>
        <w:tc>
          <w:tcPr>
            <w:tcW w:w="379" w:type="pct"/>
            <w:tcBorders>
              <w:top w:val="single" w:sz="4" w:space="0" w:color="auto"/>
            </w:tcBorders>
          </w:tcPr>
          <w:p w14:paraId="628CA03A"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1.7%</w:t>
            </w:r>
          </w:p>
        </w:tc>
        <w:tc>
          <w:tcPr>
            <w:tcW w:w="443" w:type="pct"/>
            <w:tcBorders>
              <w:top w:val="single" w:sz="4" w:space="0" w:color="auto"/>
            </w:tcBorders>
          </w:tcPr>
          <w:p w14:paraId="47EBAD02"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9.3%</w:t>
            </w:r>
          </w:p>
        </w:tc>
        <w:tc>
          <w:tcPr>
            <w:tcW w:w="443" w:type="pct"/>
            <w:tcBorders>
              <w:top w:val="single" w:sz="4" w:space="0" w:color="auto"/>
            </w:tcBorders>
          </w:tcPr>
          <w:p w14:paraId="375911B3"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55.1%</w:t>
            </w:r>
          </w:p>
        </w:tc>
        <w:tc>
          <w:tcPr>
            <w:tcW w:w="443" w:type="pct"/>
            <w:tcBorders>
              <w:top w:val="single" w:sz="4" w:space="0" w:color="auto"/>
            </w:tcBorders>
          </w:tcPr>
          <w:p w14:paraId="6F08D00C"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30.5%</w:t>
            </w:r>
          </w:p>
        </w:tc>
        <w:tc>
          <w:tcPr>
            <w:tcW w:w="337" w:type="pct"/>
            <w:tcBorders>
              <w:top w:val="single" w:sz="4" w:space="0" w:color="auto"/>
            </w:tcBorders>
          </w:tcPr>
          <w:p w14:paraId="40225C43"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4.08</w:t>
            </w:r>
          </w:p>
        </w:tc>
        <w:tc>
          <w:tcPr>
            <w:tcW w:w="391" w:type="pct"/>
            <w:tcBorders>
              <w:top w:val="single" w:sz="4" w:space="0" w:color="auto"/>
            </w:tcBorders>
          </w:tcPr>
          <w:p w14:paraId="013A5295"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0.88</w:t>
            </w:r>
          </w:p>
        </w:tc>
      </w:tr>
      <w:tr w:rsidR="009F33CD" w14:paraId="7E5BF18A" w14:textId="77777777">
        <w:trPr>
          <w:trHeight w:val="1077"/>
        </w:trPr>
        <w:tc>
          <w:tcPr>
            <w:tcW w:w="2153" w:type="pct"/>
          </w:tcPr>
          <w:p w14:paraId="5AEEB37E" w14:textId="77777777" w:rsidR="009F33CD" w:rsidRDefault="00E40740">
            <w:pPr>
              <w:spacing w:before="0" w:beforeAutospacing="0" w:after="0" w:afterAutospacing="0" w:line="240" w:lineRule="auto"/>
              <w:jc w:val="left"/>
              <w:rPr>
                <w:rFonts w:eastAsia="TimesNewRomanPSMT" w:cs="Times New Roman"/>
                <w:szCs w:val="24"/>
              </w:rPr>
            </w:pPr>
            <w:r>
              <w:rPr>
                <w:rFonts w:eastAsia="Times New Roman" w:cs="Times New Roman"/>
                <w:bCs/>
                <w:szCs w:val="24"/>
              </w:rPr>
              <w:t xml:space="preserve">Employees who participate in environmental management initiatives while providing healthcare services are recognized. </w:t>
            </w:r>
          </w:p>
        </w:tc>
        <w:tc>
          <w:tcPr>
            <w:tcW w:w="413" w:type="pct"/>
          </w:tcPr>
          <w:p w14:paraId="1268CE7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1.7%</w:t>
            </w:r>
          </w:p>
        </w:tc>
        <w:tc>
          <w:tcPr>
            <w:tcW w:w="379" w:type="pct"/>
          </w:tcPr>
          <w:p w14:paraId="59C4FE46"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3.5%</w:t>
            </w:r>
          </w:p>
        </w:tc>
        <w:tc>
          <w:tcPr>
            <w:tcW w:w="443" w:type="pct"/>
          </w:tcPr>
          <w:p w14:paraId="755B9DDD"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13.6%</w:t>
            </w:r>
          </w:p>
        </w:tc>
        <w:tc>
          <w:tcPr>
            <w:tcW w:w="443" w:type="pct"/>
          </w:tcPr>
          <w:p w14:paraId="56C430B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51.7%</w:t>
            </w:r>
          </w:p>
        </w:tc>
        <w:tc>
          <w:tcPr>
            <w:tcW w:w="443" w:type="pct"/>
          </w:tcPr>
          <w:p w14:paraId="3F8D4853"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29.5%</w:t>
            </w:r>
          </w:p>
        </w:tc>
        <w:tc>
          <w:tcPr>
            <w:tcW w:w="337" w:type="pct"/>
          </w:tcPr>
          <w:p w14:paraId="2A1C7750"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4.07</w:t>
            </w:r>
          </w:p>
        </w:tc>
        <w:tc>
          <w:tcPr>
            <w:tcW w:w="391" w:type="pct"/>
          </w:tcPr>
          <w:p w14:paraId="211A05C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0.83</w:t>
            </w:r>
          </w:p>
        </w:tc>
      </w:tr>
      <w:tr w:rsidR="009F33CD" w14:paraId="6E0C4182" w14:textId="77777777">
        <w:trPr>
          <w:trHeight w:val="956"/>
        </w:trPr>
        <w:tc>
          <w:tcPr>
            <w:tcW w:w="2153" w:type="pct"/>
          </w:tcPr>
          <w:p w14:paraId="284E23F6" w14:textId="77777777" w:rsidR="009F33CD" w:rsidRDefault="00E40740">
            <w:pPr>
              <w:spacing w:before="0" w:beforeAutospacing="0" w:after="0" w:afterAutospacing="0" w:line="240" w:lineRule="auto"/>
              <w:jc w:val="left"/>
              <w:rPr>
                <w:rFonts w:eastAsia="TimesNewRomanPSMT" w:cs="Times New Roman"/>
                <w:szCs w:val="24"/>
              </w:rPr>
            </w:pPr>
            <w:r>
              <w:rPr>
                <w:rFonts w:eastAsia="Times New Roman" w:cs="Times New Roman"/>
                <w:bCs/>
                <w:szCs w:val="24"/>
              </w:rPr>
              <w:t>Green performance appraisal targets usually encourage employees to improve performance.</w:t>
            </w:r>
          </w:p>
        </w:tc>
        <w:tc>
          <w:tcPr>
            <w:tcW w:w="413" w:type="pct"/>
          </w:tcPr>
          <w:p w14:paraId="58C64C56"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1.5%</w:t>
            </w:r>
          </w:p>
        </w:tc>
        <w:tc>
          <w:tcPr>
            <w:tcW w:w="379" w:type="pct"/>
          </w:tcPr>
          <w:p w14:paraId="4A6B7361"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8.6%</w:t>
            </w:r>
          </w:p>
        </w:tc>
        <w:tc>
          <w:tcPr>
            <w:tcW w:w="443" w:type="pct"/>
          </w:tcPr>
          <w:p w14:paraId="17363EE9"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11%</w:t>
            </w:r>
          </w:p>
        </w:tc>
        <w:tc>
          <w:tcPr>
            <w:tcW w:w="443" w:type="pct"/>
          </w:tcPr>
          <w:p w14:paraId="17182EFD"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43.2%</w:t>
            </w:r>
          </w:p>
        </w:tc>
        <w:tc>
          <w:tcPr>
            <w:tcW w:w="443" w:type="pct"/>
          </w:tcPr>
          <w:p w14:paraId="15CF582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35.6%</w:t>
            </w:r>
          </w:p>
        </w:tc>
        <w:tc>
          <w:tcPr>
            <w:tcW w:w="337" w:type="pct"/>
          </w:tcPr>
          <w:p w14:paraId="4E76C65C"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4.02</w:t>
            </w:r>
          </w:p>
        </w:tc>
        <w:tc>
          <w:tcPr>
            <w:tcW w:w="391" w:type="pct"/>
          </w:tcPr>
          <w:p w14:paraId="3DA4959B"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1.01</w:t>
            </w:r>
          </w:p>
        </w:tc>
      </w:tr>
      <w:tr w:rsidR="009F33CD" w14:paraId="2C7F4FAC" w14:textId="77777777">
        <w:trPr>
          <w:trHeight w:val="999"/>
        </w:trPr>
        <w:tc>
          <w:tcPr>
            <w:tcW w:w="2153" w:type="pct"/>
          </w:tcPr>
          <w:p w14:paraId="673A0F23" w14:textId="77777777" w:rsidR="009F33CD" w:rsidRDefault="00E40740">
            <w:pPr>
              <w:spacing w:before="0" w:beforeAutospacing="0" w:after="0" w:afterAutospacing="0" w:line="240" w:lineRule="auto"/>
              <w:jc w:val="left"/>
              <w:rPr>
                <w:rFonts w:eastAsia="Calibri" w:cs="Times New Roman"/>
                <w:color w:val="000000"/>
                <w:szCs w:val="24"/>
              </w:rPr>
            </w:pPr>
            <w:r>
              <w:rPr>
                <w:rFonts w:eastAsia="Times New Roman" w:cs="Times New Roman"/>
                <w:bCs/>
                <w:szCs w:val="24"/>
              </w:rPr>
              <w:t>Electronic-evaluation tool is used in appraising performance of employees in healthcare services.</w:t>
            </w:r>
          </w:p>
        </w:tc>
        <w:tc>
          <w:tcPr>
            <w:tcW w:w="413" w:type="pct"/>
          </w:tcPr>
          <w:p w14:paraId="396395B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2.5%</w:t>
            </w:r>
          </w:p>
        </w:tc>
        <w:tc>
          <w:tcPr>
            <w:tcW w:w="379" w:type="pct"/>
          </w:tcPr>
          <w:p w14:paraId="3C7486AC"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3.4%</w:t>
            </w:r>
          </w:p>
        </w:tc>
        <w:tc>
          <w:tcPr>
            <w:tcW w:w="443" w:type="pct"/>
          </w:tcPr>
          <w:p w14:paraId="5D5F367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9.3%</w:t>
            </w:r>
          </w:p>
        </w:tc>
        <w:tc>
          <w:tcPr>
            <w:tcW w:w="443" w:type="pct"/>
          </w:tcPr>
          <w:p w14:paraId="28BA80F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49.2%</w:t>
            </w:r>
          </w:p>
        </w:tc>
        <w:tc>
          <w:tcPr>
            <w:tcW w:w="443" w:type="pct"/>
          </w:tcPr>
          <w:p w14:paraId="15F1C9D0"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35.6%</w:t>
            </w:r>
          </w:p>
        </w:tc>
        <w:tc>
          <w:tcPr>
            <w:tcW w:w="337" w:type="pct"/>
          </w:tcPr>
          <w:p w14:paraId="77D7FABD"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4.12</w:t>
            </w:r>
          </w:p>
        </w:tc>
        <w:tc>
          <w:tcPr>
            <w:tcW w:w="391" w:type="pct"/>
          </w:tcPr>
          <w:p w14:paraId="33BB1E1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0.90</w:t>
            </w:r>
          </w:p>
        </w:tc>
      </w:tr>
      <w:tr w:rsidR="009F33CD" w14:paraId="7269B267" w14:textId="77777777">
        <w:trPr>
          <w:trHeight w:val="888"/>
        </w:trPr>
        <w:tc>
          <w:tcPr>
            <w:tcW w:w="2153" w:type="pct"/>
          </w:tcPr>
          <w:p w14:paraId="2B204D1B" w14:textId="77777777" w:rsidR="009F33CD" w:rsidRDefault="00E40740">
            <w:pPr>
              <w:spacing w:before="0" w:beforeAutospacing="0" w:after="0" w:afterAutospacing="0" w:line="240" w:lineRule="auto"/>
              <w:jc w:val="left"/>
              <w:rPr>
                <w:rFonts w:eastAsia="Calibri" w:cs="Times New Roman"/>
                <w:color w:val="000000"/>
                <w:szCs w:val="24"/>
              </w:rPr>
            </w:pPr>
            <w:r>
              <w:rPr>
                <w:rFonts w:eastAsia="Times New Roman" w:cs="Times New Roman"/>
                <w:bCs/>
                <w:szCs w:val="24"/>
              </w:rPr>
              <w:t>Performance appraisal tool has measurable elements on performance and environmental protection.</w:t>
            </w:r>
          </w:p>
        </w:tc>
        <w:tc>
          <w:tcPr>
            <w:tcW w:w="413" w:type="pct"/>
          </w:tcPr>
          <w:p w14:paraId="113AD390"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5.9%</w:t>
            </w:r>
          </w:p>
        </w:tc>
        <w:tc>
          <w:tcPr>
            <w:tcW w:w="379" w:type="pct"/>
          </w:tcPr>
          <w:p w14:paraId="18D2EB1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4.2%</w:t>
            </w:r>
          </w:p>
        </w:tc>
        <w:tc>
          <w:tcPr>
            <w:tcW w:w="443" w:type="pct"/>
          </w:tcPr>
          <w:p w14:paraId="6E92B36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12.7%</w:t>
            </w:r>
          </w:p>
        </w:tc>
        <w:tc>
          <w:tcPr>
            <w:tcW w:w="443" w:type="pct"/>
          </w:tcPr>
          <w:p w14:paraId="0CF8E6D6"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44.1%</w:t>
            </w:r>
          </w:p>
        </w:tc>
        <w:tc>
          <w:tcPr>
            <w:tcW w:w="443" w:type="pct"/>
          </w:tcPr>
          <w:p w14:paraId="43BC5B9C"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33.1%</w:t>
            </w:r>
          </w:p>
        </w:tc>
        <w:tc>
          <w:tcPr>
            <w:tcW w:w="337" w:type="pct"/>
          </w:tcPr>
          <w:p w14:paraId="2C134E88"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3.94</w:t>
            </w:r>
          </w:p>
        </w:tc>
        <w:tc>
          <w:tcPr>
            <w:tcW w:w="391" w:type="pct"/>
          </w:tcPr>
          <w:p w14:paraId="7BB88F98"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1.08</w:t>
            </w:r>
          </w:p>
        </w:tc>
      </w:tr>
      <w:tr w:rsidR="009F33CD" w14:paraId="74C7DFB6" w14:textId="77777777">
        <w:trPr>
          <w:trHeight w:val="917"/>
        </w:trPr>
        <w:tc>
          <w:tcPr>
            <w:tcW w:w="2153" w:type="pct"/>
          </w:tcPr>
          <w:p w14:paraId="5BEE00BE" w14:textId="77777777" w:rsidR="009F33CD" w:rsidRDefault="00E40740">
            <w:pPr>
              <w:spacing w:before="0" w:beforeAutospacing="0" w:after="0" w:afterAutospacing="0" w:line="240" w:lineRule="auto"/>
              <w:jc w:val="left"/>
              <w:rPr>
                <w:rFonts w:eastAsia="Calibri" w:cs="Times New Roman"/>
                <w:szCs w:val="24"/>
              </w:rPr>
            </w:pPr>
            <w:bookmarkStart w:id="1444" w:name="_Hlk139566803"/>
            <w:r>
              <w:rPr>
                <w:rFonts w:eastAsia="Times New Roman" w:cs="Times New Roman"/>
                <w:bCs/>
                <w:szCs w:val="24"/>
              </w:rPr>
              <w:t xml:space="preserve">Green Performance evaluation uncovers green innovation that improves healthcare performance. </w:t>
            </w:r>
            <w:bookmarkEnd w:id="1444"/>
          </w:p>
        </w:tc>
        <w:tc>
          <w:tcPr>
            <w:tcW w:w="413" w:type="pct"/>
          </w:tcPr>
          <w:p w14:paraId="549F6572"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4.2%</w:t>
            </w:r>
          </w:p>
        </w:tc>
        <w:tc>
          <w:tcPr>
            <w:tcW w:w="379" w:type="pct"/>
          </w:tcPr>
          <w:p w14:paraId="020399E3"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0.8%</w:t>
            </w:r>
          </w:p>
        </w:tc>
        <w:tc>
          <w:tcPr>
            <w:tcW w:w="443" w:type="pct"/>
          </w:tcPr>
          <w:p w14:paraId="5F335A47"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9.3%</w:t>
            </w:r>
          </w:p>
        </w:tc>
        <w:tc>
          <w:tcPr>
            <w:tcW w:w="443" w:type="pct"/>
          </w:tcPr>
          <w:p w14:paraId="501B343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47.5%</w:t>
            </w:r>
          </w:p>
        </w:tc>
        <w:tc>
          <w:tcPr>
            <w:tcW w:w="443" w:type="pct"/>
          </w:tcPr>
          <w:p w14:paraId="3EAE9AA3"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38.1%</w:t>
            </w:r>
          </w:p>
        </w:tc>
        <w:tc>
          <w:tcPr>
            <w:tcW w:w="337" w:type="pct"/>
          </w:tcPr>
          <w:p w14:paraId="4B6F40B2"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4.14</w:t>
            </w:r>
          </w:p>
        </w:tc>
        <w:tc>
          <w:tcPr>
            <w:tcW w:w="391" w:type="pct"/>
          </w:tcPr>
          <w:p w14:paraId="0611D292"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0.94</w:t>
            </w:r>
          </w:p>
        </w:tc>
      </w:tr>
      <w:tr w:rsidR="009F33CD" w14:paraId="0A5C880D" w14:textId="77777777">
        <w:trPr>
          <w:trHeight w:val="664"/>
        </w:trPr>
        <w:tc>
          <w:tcPr>
            <w:tcW w:w="2153" w:type="pct"/>
          </w:tcPr>
          <w:p w14:paraId="32DE3D8F" w14:textId="77777777" w:rsidR="009F33CD" w:rsidRDefault="00E40740">
            <w:pPr>
              <w:spacing w:before="0" w:beforeAutospacing="0" w:after="0" w:afterAutospacing="0" w:line="240" w:lineRule="auto"/>
              <w:jc w:val="left"/>
              <w:rPr>
                <w:rFonts w:eastAsia="TimesNewRomanPSMT" w:cs="Times New Roman"/>
                <w:szCs w:val="24"/>
              </w:rPr>
            </w:pPr>
            <w:r>
              <w:rPr>
                <w:rFonts w:eastAsia="Times New Roman" w:cs="Times New Roman"/>
                <w:bCs/>
                <w:szCs w:val="24"/>
              </w:rPr>
              <w:t>Green performance evaluation reports directly affect performance of devolved healthcare services.</w:t>
            </w:r>
          </w:p>
        </w:tc>
        <w:tc>
          <w:tcPr>
            <w:tcW w:w="413" w:type="pct"/>
          </w:tcPr>
          <w:p w14:paraId="12EC54EB"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6.8%</w:t>
            </w:r>
          </w:p>
        </w:tc>
        <w:tc>
          <w:tcPr>
            <w:tcW w:w="379" w:type="pct"/>
          </w:tcPr>
          <w:p w14:paraId="0F82772B"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0.9%</w:t>
            </w:r>
          </w:p>
        </w:tc>
        <w:tc>
          <w:tcPr>
            <w:tcW w:w="443" w:type="pct"/>
          </w:tcPr>
          <w:p w14:paraId="1B225E27"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7.5%</w:t>
            </w:r>
          </w:p>
        </w:tc>
        <w:tc>
          <w:tcPr>
            <w:tcW w:w="443" w:type="pct"/>
          </w:tcPr>
          <w:p w14:paraId="1082B41F"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50%</w:t>
            </w:r>
          </w:p>
        </w:tc>
        <w:tc>
          <w:tcPr>
            <w:tcW w:w="443" w:type="pct"/>
          </w:tcPr>
          <w:p w14:paraId="0144B45A"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34.7%</w:t>
            </w:r>
          </w:p>
        </w:tc>
        <w:tc>
          <w:tcPr>
            <w:tcW w:w="337" w:type="pct"/>
          </w:tcPr>
          <w:p w14:paraId="43C77ED1"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4.05</w:t>
            </w:r>
          </w:p>
        </w:tc>
        <w:tc>
          <w:tcPr>
            <w:tcW w:w="391" w:type="pct"/>
          </w:tcPr>
          <w:p w14:paraId="5758F284" w14:textId="77777777" w:rsidR="009F33CD" w:rsidRDefault="00E40740">
            <w:pPr>
              <w:spacing w:before="0" w:beforeAutospacing="0" w:after="0" w:afterAutospacing="0" w:line="240" w:lineRule="auto"/>
              <w:rPr>
                <w:rFonts w:eastAsia="TimesNewRomanPSMT" w:cs="Times New Roman"/>
                <w:szCs w:val="24"/>
              </w:rPr>
            </w:pPr>
            <w:r>
              <w:rPr>
                <w:rFonts w:eastAsia="TimesNewRomanPSMT" w:cs="Times New Roman"/>
                <w:szCs w:val="24"/>
              </w:rPr>
              <w:t>1.04</w:t>
            </w:r>
          </w:p>
        </w:tc>
      </w:tr>
    </w:tbl>
    <w:p w14:paraId="1ADC02E3" w14:textId="77777777" w:rsidR="009F33CD" w:rsidRDefault="00E40740">
      <w:pPr>
        <w:spacing w:before="240"/>
        <w:rPr>
          <w:rFonts w:cs="Times New Roman"/>
          <w:bCs/>
          <w:szCs w:val="24"/>
        </w:rPr>
      </w:pPr>
      <w:r>
        <w:rPr>
          <w:rFonts w:cs="Times New Roman"/>
          <w:bCs/>
          <w:szCs w:val="24"/>
        </w:rPr>
        <w:t xml:space="preserve">From </w:t>
      </w:r>
      <w:r w:rsidR="004A77B4">
        <w:rPr>
          <w:rFonts w:cs="Times New Roman"/>
          <w:bCs/>
          <w:szCs w:val="24"/>
        </w:rPr>
        <w:t>the study findings in Table 4.34</w:t>
      </w:r>
      <w:r>
        <w:rPr>
          <w:rFonts w:cs="Times New Roman"/>
          <w:bCs/>
          <w:szCs w:val="24"/>
        </w:rPr>
        <w:t xml:space="preserve">, the majority of the respondents, 85.6% (M=4.08, Sd=0.88) agreed that </w:t>
      </w:r>
      <w:r>
        <w:rPr>
          <w:rFonts w:eastAsia="Times New Roman" w:cs="Times New Roman"/>
          <w:bCs/>
          <w:szCs w:val="24"/>
        </w:rPr>
        <w:t>the hospital has put in place green objectives for each employee about environmental issues in the hospital. This finding suggests that Level Five hospitals are making significant efforts to implement green objectives for their employees, which may have positive effects on their overall performance and environmental sustainability. This implies that the hospitals are committed to sustainability by setting clear performance and environmental goals for each employee.</w:t>
      </w:r>
      <w:r>
        <w:t xml:space="preserve"> This indicates that e</w:t>
      </w:r>
      <w:r>
        <w:rPr>
          <w:rFonts w:eastAsia="Times New Roman" w:cs="Times New Roman"/>
          <w:bCs/>
          <w:szCs w:val="24"/>
        </w:rPr>
        <w:t xml:space="preserve">mployees who work towards green objectives can help optimize resource use, reduce waste, and improve overall operational efficiency. This </w:t>
      </w:r>
      <w:r>
        <w:rPr>
          <w:rFonts w:eastAsia="Times New Roman" w:cs="Times New Roman"/>
          <w:bCs/>
          <w:szCs w:val="24"/>
        </w:rPr>
        <w:lastRenderedPageBreak/>
        <w:t xml:space="preserve">can lead to cost savings and a more sustainable workplace. Establishing green objectives for each employee ensures that environmental considerations are integrated into daily operations and inspires employees to adopt eco-friendly practices both at work and in their personal lives. </w:t>
      </w:r>
      <w:r>
        <w:rPr>
          <w:rFonts w:cs="Times New Roman"/>
          <w:bCs/>
          <w:color w:val="000000"/>
          <w:szCs w:val="24"/>
        </w:rPr>
        <w:t xml:space="preserve">Consistent with Renwick </w:t>
      </w:r>
      <w:r>
        <w:rPr>
          <w:rFonts w:cs="Times New Roman"/>
          <w:bCs/>
          <w:i/>
          <w:color w:val="000000"/>
          <w:szCs w:val="24"/>
        </w:rPr>
        <w:t>et al.,</w:t>
      </w:r>
      <w:r>
        <w:rPr>
          <w:rFonts w:cs="Times New Roman"/>
          <w:bCs/>
          <w:color w:val="000000"/>
          <w:szCs w:val="24"/>
        </w:rPr>
        <w:t xml:space="preserve"> 2013), p</w:t>
      </w:r>
      <w:r>
        <w:rPr>
          <w:rFonts w:cs="Times New Roman"/>
          <w:bCs/>
          <w:szCs w:val="24"/>
        </w:rPr>
        <w:t>erformance appraisal should be conducted on those clear green indicators and any deviations may force employees to take more pro-environmental actions</w:t>
      </w:r>
      <w:r>
        <w:rPr>
          <w:rFonts w:cs="Times New Roman"/>
          <w:bCs/>
          <w:color w:val="000000"/>
          <w:szCs w:val="24"/>
        </w:rPr>
        <w:t xml:space="preserve">. Other respondents representing </w:t>
      </w:r>
      <w:r>
        <w:rPr>
          <w:rFonts w:cs="Times New Roman"/>
          <w:bCs/>
          <w:szCs w:val="24"/>
        </w:rPr>
        <w:t xml:space="preserve">9.3% remained undecided and the remaining 5.1% disagreed with the statement. 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w:t>
      </w:r>
    </w:p>
    <w:p w14:paraId="05677FBB" w14:textId="77777777" w:rsidR="009F33CD" w:rsidRDefault="00E40740">
      <w:pPr>
        <w:spacing w:before="240"/>
        <w:rPr>
          <w:rFonts w:cs="Times New Roman"/>
          <w:bCs/>
          <w:szCs w:val="24"/>
        </w:rPr>
      </w:pPr>
      <w:r>
        <w:rPr>
          <w:rFonts w:cs="Times New Roman"/>
          <w:bCs/>
          <w:szCs w:val="24"/>
        </w:rPr>
        <w:t xml:space="preserve">On whether the employees who participate in environmental management initiatives while providing healthcare services are recognized, the majority of the respondents, 81.2% (M=4.07, Sd=0.83) agreed with the statement. This result implies that Level Five hospitals are making significant efforts to recognize and reward employees who participate in environmental management initiatives, which have positive implications for both employee morale and the hospital's sustainability goals. This implies that when employees participate in environmental management initiatives and comply with appropriate standard operating procedures on the disposal of healthcare waste, they reduce environmental pollution </w:t>
      </w:r>
      <w:r>
        <w:rPr>
          <w:rFonts w:cs="Times New Roman"/>
          <w:bCs/>
          <w:szCs w:val="24"/>
          <w:lang w:val="en-US"/>
        </w:rPr>
        <w:t xml:space="preserve">and boost </w:t>
      </w:r>
      <w:r>
        <w:rPr>
          <w:rFonts w:cs="Times New Roman"/>
          <w:bCs/>
          <w:szCs w:val="24"/>
        </w:rPr>
        <w:t xml:space="preserve">the health of the employees. </w:t>
      </w:r>
      <w:r>
        <w:rPr>
          <w:rFonts w:cs="Times New Roman"/>
          <w:szCs w:val="24"/>
        </w:rPr>
        <w:t>Recognition of Environmental Initiatives by employees</w:t>
      </w:r>
      <w:r>
        <w:rPr>
          <w:rFonts w:cs="Times New Roman"/>
          <w:bCs/>
          <w:szCs w:val="24"/>
        </w:rPr>
        <w:t xml:space="preserve"> implies that the hospitals are committed to encouraging and acknowledging eco-friendly practices among their staff. Recognizing employees' efforts can improve job satisfaction and morale, leading to higher retention rates. Employees who feel appreciated are more likely to propose new ideas, stay with the organization, and perform at their best. This study's findings concur with that of Prasad (2013) who recommended that </w:t>
      </w:r>
      <w:r>
        <w:rPr>
          <w:rFonts w:cs="Times New Roman"/>
          <w:szCs w:val="24"/>
        </w:rPr>
        <w:t xml:space="preserve">employees who </w:t>
      </w:r>
      <w:r>
        <w:rPr>
          <w:rFonts w:cs="Times New Roman"/>
          <w:bCs/>
          <w:szCs w:val="24"/>
        </w:rPr>
        <w:t>exceed their contributions towards set standards and targets should be recognized with some rewards as green talented staff</w:t>
      </w:r>
      <w:r>
        <w:rPr>
          <w:rFonts w:cs="Times New Roman"/>
          <w:szCs w:val="24"/>
        </w:rPr>
        <w:t xml:space="preserve">. </w:t>
      </w:r>
      <w:r>
        <w:rPr>
          <w:rFonts w:cs="Times New Roman"/>
          <w:bCs/>
          <w:szCs w:val="24"/>
        </w:rPr>
        <w:t xml:space="preserve">Of other respondents, 13.6% were undecided, and the remaining 5.2% agreed with the statement. 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w:t>
      </w:r>
    </w:p>
    <w:p w14:paraId="6E9BE46D" w14:textId="77777777" w:rsidR="000E0B7A" w:rsidRDefault="000E0B7A">
      <w:pPr>
        <w:autoSpaceDE/>
        <w:autoSpaceDN/>
        <w:adjustRightInd/>
        <w:spacing w:before="0" w:beforeAutospacing="0" w:after="0" w:afterAutospacing="0" w:line="240" w:lineRule="auto"/>
        <w:jc w:val="left"/>
        <w:rPr>
          <w:rFonts w:cs="Times New Roman"/>
          <w:bCs/>
          <w:szCs w:val="24"/>
        </w:rPr>
      </w:pPr>
      <w:r>
        <w:rPr>
          <w:bCs/>
        </w:rPr>
        <w:br w:type="page"/>
      </w:r>
    </w:p>
    <w:p w14:paraId="6D970BFA" w14:textId="77777777" w:rsidR="009F33CD" w:rsidRDefault="00E40740">
      <w:pPr>
        <w:pStyle w:val="Pa4"/>
        <w:spacing w:after="200" w:line="360" w:lineRule="auto"/>
        <w:jc w:val="both"/>
        <w:rPr>
          <w:bCs/>
          <w:lang w:val="en-GB"/>
        </w:rPr>
      </w:pPr>
      <w:r>
        <w:rPr>
          <w:bCs/>
          <w:lang w:val="en-GB"/>
        </w:rPr>
        <w:lastRenderedPageBreak/>
        <w:t xml:space="preserve">The majority of the respondents 78.8% (M=4.02, Sd=1.01) agreed with the statement that green performance appraisal targets usually encourage employees to improve performance. This finding suggests that when employees are motivated by green targets, they are likely to perform better. This can lead to improved operational efficiency, higher quality of service, and better outcomes for Level Five hospitals. Green performance appraisal targets act as a motivational tool, encouraging employees to improve their performance by aligning their goals with environmental sustainability objectives. This finding indicates that employees work better and increase performance when they are given green targets, for example, clinical doctors would see more patients using digital platforms to clock in patients compared to manual systems. The standard deviation (Sd=1.01) shows high dispersion from the mean. The results are aligned with </w:t>
      </w:r>
      <w:r>
        <w:rPr>
          <w:rStyle w:val="A3"/>
          <w:lang w:val="en-GB"/>
        </w:rPr>
        <w:t>Halawi and Zraket (2018) who found that the inclusion of green targets and goals for managers in areas like environmental incidents, environmental responsibilities, and communication of environmental policies is important in the performance of the management system of an organization. In addition,</w:t>
      </w:r>
      <w:r>
        <w:rPr>
          <w:bCs/>
          <w:lang w:val="en-GB"/>
        </w:rPr>
        <w:t xml:space="preserve"> this outcome is supported by a resource-based view because if employees are given targets, then they can be used effectively to meet the organization’s goals and gain a competitive advantage. Of the other respondents, 11% were undecided, and the remaining 10.1% of the respondents disagreed with the statement. </w:t>
      </w:r>
      <w:bookmarkStart w:id="1445" w:name="_Hlk183587374"/>
      <w:r>
        <w:rPr>
          <w:bCs/>
          <w:lang w:val="en-GB"/>
        </w:rPr>
        <w:t xml:space="preserve">This finding of a small segment of (undecided and disagreed) respondents implies that they are either unsure or </w:t>
      </w:r>
      <w:r w:rsidR="001C3D4C">
        <w:rPr>
          <w:bCs/>
          <w:lang w:val="en-GB"/>
        </w:rPr>
        <w:t>sceptical</w:t>
      </w:r>
      <w:r>
        <w:rPr>
          <w:bCs/>
          <w:lang w:val="en-GB"/>
        </w:rPr>
        <w:t xml:space="preserve"> about the statement and this could be addressed through targeted initiatives to increase awareness and engagement</w:t>
      </w:r>
      <w:bookmarkEnd w:id="1445"/>
      <w:r>
        <w:rPr>
          <w:bCs/>
          <w:lang w:val="en-GB"/>
        </w:rPr>
        <w:t>.</w:t>
      </w:r>
    </w:p>
    <w:p w14:paraId="56B362B1" w14:textId="77777777" w:rsidR="009F33CD" w:rsidRDefault="00E40740">
      <w:pPr>
        <w:pStyle w:val="Pa4"/>
        <w:spacing w:after="200" w:line="360" w:lineRule="auto"/>
        <w:jc w:val="both"/>
        <w:rPr>
          <w:bCs/>
          <w:lang w:val="en-GB"/>
        </w:rPr>
      </w:pPr>
      <w:r>
        <w:rPr>
          <w:bCs/>
          <w:lang w:val="en-GB"/>
        </w:rPr>
        <w:t xml:space="preserve">A significant majority of respondents, 84.8% (M=4.12, Sd=0.90) agreed with the statement that an </w:t>
      </w:r>
      <w:r>
        <w:rPr>
          <w:rFonts w:eastAsia="Times New Roman"/>
          <w:bCs/>
          <w:lang w:val="en-GB"/>
        </w:rPr>
        <w:t>electronic evaluation tool is used in appraising the performance of employees in healthcare services</w:t>
      </w:r>
      <w:r>
        <w:rPr>
          <w:bCs/>
          <w:lang w:val="en-GB"/>
        </w:rPr>
        <w:t>. The finding shows that a significant majority agree that an electronic evaluation tool is used for appraising the performance of employees in devolved healthcare services. This high level of agreement suggests that these tools are well-recognized and appreciated by the staff. The mean (M=4.12) indicates strong agreement on the rating scale of 1 to 5, while the standard deviation (Sd=0.90) shows that there is some variability in responses, but it is relatively moderate, indicating a consistent agreement among respondents. The use of e</w:t>
      </w:r>
      <w:r>
        <w:rPr>
          <w:lang w:val="en-GB"/>
        </w:rPr>
        <w:t xml:space="preserve">lectronic-evaluation Tools </w:t>
      </w:r>
      <w:r>
        <w:rPr>
          <w:bCs/>
          <w:lang w:val="en-GB"/>
        </w:rPr>
        <w:t xml:space="preserve">implies that the hospitals are leveraging digital tools to appraise employee </w:t>
      </w:r>
      <w:r>
        <w:rPr>
          <w:bCs/>
          <w:lang w:val="en-GB"/>
        </w:rPr>
        <w:lastRenderedPageBreak/>
        <w:t>performance.</w:t>
      </w:r>
      <w:r>
        <w:rPr>
          <w:rFonts w:cstheme="minorBidi"/>
          <w:szCs w:val="20"/>
          <w:lang w:val="en-GB"/>
        </w:rPr>
        <w:t xml:space="preserve"> This result is consistent with Delery and Roumpi (2017) who suggest that i</w:t>
      </w:r>
      <w:r>
        <w:rPr>
          <w:bCs/>
          <w:lang w:val="en-GB"/>
        </w:rPr>
        <w:t xml:space="preserve">mplementing electronic Human Resources Management in performance management has allowed organizations to deliver feedback more regularly, boost employee engagement and accountability, include peers in the feedback process, and improve the social aspects of performance feedback. </w:t>
      </w:r>
    </w:p>
    <w:p w14:paraId="3ADDF74B" w14:textId="77777777" w:rsidR="009F33CD" w:rsidRDefault="00E40740">
      <w:pPr>
        <w:pStyle w:val="Pa4"/>
        <w:spacing w:after="200" w:line="360" w:lineRule="auto"/>
        <w:jc w:val="both"/>
        <w:rPr>
          <w:bCs/>
          <w:lang w:val="en-GB"/>
        </w:rPr>
      </w:pPr>
      <w:r>
        <w:rPr>
          <w:bCs/>
          <w:lang w:val="en-GB"/>
        </w:rPr>
        <w:t xml:space="preserve">In addition, this finding suggests that the hospitals are making significant efforts to use electronic evaluation tools in appraising employee performance, which may have a positive effect on both the accuracy of performance assessments and the overall efficiency of the appraisal process. Other respondents representing 9.3% were undecided and the rest of the respondents, 5.9% disagreed with the statement. This finding of a small segment of (undecided and disagreed) respondents implies that they are either unsure or </w:t>
      </w:r>
      <w:r w:rsidR="001C3D4C">
        <w:rPr>
          <w:bCs/>
          <w:lang w:val="en-GB"/>
        </w:rPr>
        <w:t>sceptical</w:t>
      </w:r>
      <w:r>
        <w:rPr>
          <w:bCs/>
          <w:lang w:val="en-GB"/>
        </w:rPr>
        <w:t xml:space="preserve"> about the statement.</w:t>
      </w:r>
    </w:p>
    <w:p w14:paraId="7064CDA9" w14:textId="77777777" w:rsidR="000B6FB9" w:rsidRDefault="00E40740">
      <w:pPr>
        <w:pStyle w:val="Pa4"/>
        <w:spacing w:after="200" w:line="360" w:lineRule="auto"/>
        <w:jc w:val="both"/>
        <w:rPr>
          <w:bCs/>
          <w:lang w:val="en-GB"/>
        </w:rPr>
      </w:pPr>
      <w:r>
        <w:rPr>
          <w:bCs/>
          <w:lang w:val="en-GB"/>
        </w:rPr>
        <w:t xml:space="preserve">The study results revealed that the performance appraisal tool has measurable elements on </w:t>
      </w:r>
      <w:r>
        <w:rPr>
          <w:bCs/>
        </w:rPr>
        <w:t xml:space="preserve">employee </w:t>
      </w:r>
      <w:r>
        <w:rPr>
          <w:bCs/>
          <w:lang w:val="en-GB"/>
        </w:rPr>
        <w:t xml:space="preserve">performance and environmental protection as agreed by a majority of the respondents, 77.2% (M=3.94, Sd=1.08). This finding suggests that the performance appraisal tool used in the hospital is comprehensive and includes important elements related to both performance and environmental protection, which is likely to have positive consequences for both employee performance and the hospital's sustainability goals. </w:t>
      </w:r>
    </w:p>
    <w:p w14:paraId="6632CF4B" w14:textId="77777777" w:rsidR="009F33CD" w:rsidRDefault="00E40740">
      <w:pPr>
        <w:pStyle w:val="Pa4"/>
        <w:spacing w:after="200" w:line="360" w:lineRule="auto"/>
        <w:jc w:val="both"/>
        <w:rPr>
          <w:rFonts w:cstheme="minorBidi"/>
          <w:szCs w:val="20"/>
          <w:lang w:val="en-GB"/>
        </w:rPr>
      </w:pPr>
      <w:r>
        <w:rPr>
          <w:bCs/>
          <w:lang w:val="en-GB"/>
        </w:rPr>
        <w:t>This finding is c</w:t>
      </w:r>
      <w:r>
        <w:rPr>
          <w:rStyle w:val="A3"/>
          <w:lang w:val="en-GB"/>
        </w:rPr>
        <w:t>onsistent with Jabbour (2018), who states that g</w:t>
      </w:r>
      <w:r>
        <w:rPr>
          <w:bCs/>
          <w:color w:val="000000"/>
          <w:lang w:val="en-GB"/>
        </w:rPr>
        <w:t xml:space="preserve">reen performance evaluation refers to assessing and documenting employee performance-related environmental concerns and organizational performance. </w:t>
      </w:r>
      <w:r>
        <w:rPr>
          <w:bCs/>
          <w:lang w:val="en-GB"/>
        </w:rPr>
        <w:t>The mean (M=3.94) indicates that respondents rated their agreement quite high. The standard deviation (Sd=1.08) shows relatively moderate variability in responses but indicates a consistent agreement among respondents. In contrast to this finding, Langat and Kwasira (2016) found that the performance management system of the university did not sufficiently include environmental performance indicators.</w:t>
      </w:r>
      <w:r>
        <w:rPr>
          <w:rFonts w:cstheme="minorBidi"/>
          <w:bCs/>
          <w:szCs w:val="20"/>
          <w:lang w:val="en-GB"/>
        </w:rPr>
        <w:t xml:space="preserve"> </w:t>
      </w:r>
      <w:r>
        <w:rPr>
          <w:bCs/>
          <w:lang w:val="en-GB"/>
        </w:rPr>
        <w:t xml:space="preserve">Other respondents, 12.7% were neutral and the remaining 10.1% disagreed with the statement. This finding of a small segment of undecided and disagreed respondents implies that they are either unsure or </w:t>
      </w:r>
      <w:r w:rsidR="001C3D4C">
        <w:rPr>
          <w:bCs/>
          <w:lang w:val="en-GB"/>
        </w:rPr>
        <w:t>sceptical</w:t>
      </w:r>
      <w:r>
        <w:rPr>
          <w:bCs/>
          <w:lang w:val="en-GB"/>
        </w:rPr>
        <w:t xml:space="preserve"> about the statement and this could be addressed through targeted initiatives to increase awareness.</w:t>
      </w:r>
    </w:p>
    <w:p w14:paraId="464756AC" w14:textId="77777777" w:rsidR="009F33CD" w:rsidRDefault="00E40740">
      <w:pPr>
        <w:spacing w:before="240"/>
        <w:rPr>
          <w:rFonts w:cs="Times New Roman"/>
          <w:bCs/>
          <w:szCs w:val="24"/>
        </w:rPr>
      </w:pPr>
      <w:r>
        <w:rPr>
          <w:rFonts w:cs="Times New Roman"/>
          <w:bCs/>
          <w:szCs w:val="24"/>
        </w:rPr>
        <w:lastRenderedPageBreak/>
        <w:t xml:space="preserve">The majority of the respondents, 85.6% (M=4.14, Sd=0.94) agreed that green performance evaluation </w:t>
      </w:r>
      <w:r>
        <w:rPr>
          <w:rFonts w:eastAsia="Times New Roman" w:cs="Times New Roman"/>
          <w:bCs/>
          <w:szCs w:val="24"/>
        </w:rPr>
        <w:t>uncovers green innovation that improves healthcare performance</w:t>
      </w:r>
      <w:r>
        <w:rPr>
          <w:rFonts w:cs="Times New Roman"/>
          <w:bCs/>
          <w:szCs w:val="24"/>
        </w:rPr>
        <w:t xml:space="preserve">. </w:t>
      </w:r>
      <w:r>
        <w:rPr>
          <w:rFonts w:eastAsia="Times New Roman" w:cs="Times New Roman"/>
          <w:bCs/>
          <w:szCs w:val="24"/>
        </w:rPr>
        <w:t>The implication of this finding is that performance evaluation encourages employees to participate in green initiatives</w:t>
      </w:r>
      <w:r>
        <w:rPr>
          <w:rFonts w:eastAsia="Times New Roman" w:cs="Times New Roman"/>
          <w:bCs/>
          <w:szCs w:val="24"/>
          <w:lang w:val="en-US"/>
        </w:rPr>
        <w:t xml:space="preserve"> as they perform</w:t>
      </w:r>
      <w:r>
        <w:rPr>
          <w:rFonts w:eastAsia="Times New Roman" w:cs="Times New Roman"/>
          <w:bCs/>
          <w:szCs w:val="24"/>
        </w:rPr>
        <w:t xml:space="preserve">, adhere to sustainable practices, and innovate to reduce environmental impact. In line with social exchange theory, employees who perceive that their organization is committed to environmental sustainability are more likely to reciprocate with behaviours that support these goals. This finding is consistent with a study conducted by </w:t>
      </w:r>
      <w:r>
        <w:rPr>
          <w:rFonts w:cs="Times New Roman"/>
          <w:bCs/>
          <w:szCs w:val="24"/>
        </w:rPr>
        <w:t xml:space="preserve">Opatha and Arulrajah (2014) who averred that green results consist of green innovations in environmental initiatives for example green solutions for reducing waste and pollution, and green outcomes such as number of hours worked by an employee using natural light or reduced amount of waste of inputs and attainment of performance targets related to the environment. Of the other respondents, 9.3% were undecided and the remaining, 5.0% of the respondents disagreed with the statement. This finding of a small segment of (undecided and disagreed) respondents implies that they are either unaware or simply </w:t>
      </w:r>
      <w:r w:rsidR="001C3D4C">
        <w:rPr>
          <w:rFonts w:cs="Times New Roman"/>
          <w:bCs/>
          <w:szCs w:val="24"/>
        </w:rPr>
        <w:t>sceptical</w:t>
      </w:r>
      <w:r>
        <w:rPr>
          <w:rFonts w:cs="Times New Roman"/>
          <w:bCs/>
          <w:szCs w:val="24"/>
        </w:rPr>
        <w:t xml:space="preserve"> about the statement.</w:t>
      </w:r>
    </w:p>
    <w:p w14:paraId="39D4E9F0" w14:textId="77777777" w:rsidR="009F33CD" w:rsidRDefault="00E40740">
      <w:pPr>
        <w:spacing w:before="240"/>
        <w:rPr>
          <w:rFonts w:cs="Times New Roman"/>
          <w:bCs/>
          <w:szCs w:val="24"/>
        </w:rPr>
      </w:pPr>
      <w:r>
        <w:rPr>
          <w:rFonts w:cs="Times New Roman"/>
          <w:bCs/>
          <w:szCs w:val="24"/>
        </w:rPr>
        <w:t xml:space="preserve">Finally, the majority of the respondents, 84.7% (M=4.05) agreed with </w:t>
      </w:r>
      <w:bookmarkStart w:id="1446" w:name="_Hlk175260567"/>
      <w:r>
        <w:rPr>
          <w:rFonts w:cs="Times New Roman"/>
          <w:bCs/>
          <w:szCs w:val="24"/>
        </w:rPr>
        <w:t>the statement that green performance evaluation reports directly affect the performance of devolved healthcare services</w:t>
      </w:r>
      <w:bookmarkEnd w:id="1446"/>
      <w:r>
        <w:rPr>
          <w:rFonts w:cs="Times New Roman"/>
          <w:bCs/>
          <w:szCs w:val="24"/>
        </w:rPr>
        <w:t>. This implies that the hospitals are using performance evaluation reports focused on eco-friendly practices to drive improvements in healthcare services. It reflects a commitment to integrating environmental sustainability into performance evaluations, which can enhance the overall improvements in healthcare service delivery.</w:t>
      </w:r>
      <w:r>
        <w:t xml:space="preserve"> </w:t>
      </w:r>
      <w:r>
        <w:rPr>
          <w:rFonts w:cs="Times New Roman"/>
          <w:bCs/>
          <w:szCs w:val="24"/>
        </w:rPr>
        <w:t xml:space="preserve">The mean (M=4.05) indicates that, on average the respondents’ agreement was rated quite high. The standard deviation (Sd=0.90) indicates a moderate but consistent agreement among respondents regarding the statement. This result is consistent with Owee </w:t>
      </w:r>
      <w:r>
        <w:rPr>
          <w:rFonts w:cs="Times New Roman"/>
          <w:bCs/>
          <w:i/>
          <w:szCs w:val="24"/>
        </w:rPr>
        <w:t>et al.</w:t>
      </w:r>
      <w:r>
        <w:rPr>
          <w:rFonts w:cs="Times New Roman"/>
          <w:bCs/>
          <w:szCs w:val="24"/>
        </w:rPr>
        <w:t xml:space="preserve"> (2013) who opine that to achieve green performance evaluation, it is necessary to set green targets, green goals, and green responsibilities to employees and managers. </w:t>
      </w:r>
      <w:r>
        <w:rPr>
          <w:rFonts w:eastAsia="TimesNewRoman" w:cs="Times New Roman"/>
          <w:bCs/>
          <w:szCs w:val="24"/>
        </w:rPr>
        <w:t xml:space="preserve">Respondents, </w:t>
      </w:r>
      <w:r>
        <w:rPr>
          <w:rFonts w:cs="Times New Roman"/>
          <w:bCs/>
          <w:szCs w:val="24"/>
        </w:rPr>
        <w:t>7.5% were undecided on the statement that green performance evaluation reports directly affect the performance of devolved healthcare services, while the remaining 7.7% of the respondents disagreed with the statement.</w:t>
      </w:r>
    </w:p>
    <w:p w14:paraId="381F73C8" w14:textId="77777777" w:rsidR="009F33CD" w:rsidRDefault="00E40740">
      <w:pPr>
        <w:spacing w:before="240"/>
        <w:rPr>
          <w:rFonts w:eastAsia="TimesNewRoman" w:cs="Times New Roman"/>
          <w:bCs/>
          <w:szCs w:val="24"/>
        </w:rPr>
      </w:pPr>
      <w:r>
        <w:rPr>
          <w:rFonts w:eastAsia="TimesNewRoman" w:cs="Times New Roman"/>
          <w:bCs/>
          <w:szCs w:val="24"/>
        </w:rPr>
        <w:lastRenderedPageBreak/>
        <w:t>Further, the respondents were required to state the ways that green performance evaluation practices can be improved to enhance the performance of devolved healthcare services. A total of 78 employees responded and their responses were arranged in themes, analyzed using Content analysis, and presented in Table 4.34. Only the three most mentioned suggestions were rated.</w:t>
      </w:r>
    </w:p>
    <w:p w14:paraId="29A98019" w14:textId="77777777" w:rsidR="009F33CD" w:rsidRDefault="004A77B4">
      <w:pPr>
        <w:pStyle w:val="Heading6"/>
      </w:pPr>
      <w:bookmarkStart w:id="1447" w:name="_Toc178944335"/>
      <w:bookmarkStart w:id="1448" w:name="_Toc185614131"/>
      <w:bookmarkStart w:id="1449" w:name="_Toc178945087"/>
      <w:bookmarkStart w:id="1450" w:name="_Toc165626425"/>
      <w:bookmarkStart w:id="1451" w:name="_Toc147950253"/>
      <w:bookmarkStart w:id="1452" w:name="_Toc178942677"/>
      <w:bookmarkStart w:id="1453" w:name="_Toc147946914"/>
      <w:bookmarkStart w:id="1454" w:name="_Toc187080903"/>
      <w:bookmarkStart w:id="1455" w:name="_Toc224237464"/>
      <w:r>
        <w:t>Table 4.35</w:t>
      </w:r>
      <w:r w:rsidR="00E40740">
        <w:t>: Suggestions for Improvement of Green Performance Evaluation Practice</w:t>
      </w:r>
      <w:bookmarkEnd w:id="1447"/>
      <w:bookmarkEnd w:id="1448"/>
      <w:bookmarkEnd w:id="1449"/>
      <w:bookmarkEnd w:id="1450"/>
      <w:bookmarkEnd w:id="1451"/>
      <w:bookmarkEnd w:id="1452"/>
      <w:bookmarkEnd w:id="1453"/>
      <w:bookmarkEnd w:id="1454"/>
      <w:bookmarkEnd w:id="1455"/>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5291"/>
        <w:gridCol w:w="1796"/>
        <w:gridCol w:w="1116"/>
        <w:gridCol w:w="17"/>
      </w:tblGrid>
      <w:tr w:rsidR="009F33CD" w14:paraId="70EF864A" w14:textId="77777777" w:rsidTr="004A77B4">
        <w:trPr>
          <w:cantSplit/>
          <w:trHeight w:val="45"/>
        </w:trPr>
        <w:tc>
          <w:tcPr>
            <w:tcW w:w="3232" w:type="pct"/>
            <w:tcBorders>
              <w:top w:val="single" w:sz="4" w:space="0" w:color="auto"/>
              <w:bottom w:val="single" w:sz="4" w:space="0" w:color="auto"/>
            </w:tcBorders>
            <w:shd w:val="clear" w:color="auto" w:fill="FFFFFF"/>
          </w:tcPr>
          <w:p w14:paraId="66A3FAA6" w14:textId="77777777" w:rsidR="009F33CD" w:rsidRDefault="00E40740">
            <w:pPr>
              <w:spacing w:before="0" w:beforeAutospacing="0" w:after="0" w:afterAutospacing="0" w:line="240" w:lineRule="auto"/>
              <w:rPr>
                <w:rFonts w:eastAsia="TimesNewRoman" w:cs="Times New Roman"/>
                <w:b/>
                <w:bCs/>
                <w:color w:val="FF0000"/>
                <w:szCs w:val="24"/>
              </w:rPr>
            </w:pPr>
            <w:r>
              <w:rPr>
                <w:rFonts w:eastAsia="TimesNewRoman" w:cs="Times New Roman"/>
                <w:b/>
                <w:bCs/>
                <w:szCs w:val="24"/>
              </w:rPr>
              <w:t>Responses</w:t>
            </w:r>
          </w:p>
        </w:tc>
        <w:tc>
          <w:tcPr>
            <w:tcW w:w="1106" w:type="pct"/>
            <w:tcBorders>
              <w:top w:val="single" w:sz="4" w:space="0" w:color="auto"/>
              <w:bottom w:val="single" w:sz="4" w:space="0" w:color="auto"/>
            </w:tcBorders>
            <w:shd w:val="clear" w:color="auto" w:fill="FFFFFF"/>
          </w:tcPr>
          <w:p w14:paraId="3BD39BA8" w14:textId="77777777" w:rsidR="009F33CD" w:rsidRDefault="00E40740" w:rsidP="004A77B4">
            <w:pPr>
              <w:spacing w:before="0" w:beforeAutospacing="0" w:after="0" w:afterAutospacing="0" w:line="240" w:lineRule="auto"/>
              <w:jc w:val="center"/>
              <w:rPr>
                <w:rFonts w:eastAsia="TimesNewRoman" w:cs="Times New Roman"/>
                <w:b/>
                <w:bCs/>
                <w:szCs w:val="24"/>
              </w:rPr>
            </w:pPr>
            <w:r>
              <w:rPr>
                <w:rFonts w:eastAsia="TimesNewRoman" w:cs="Times New Roman"/>
                <w:b/>
                <w:bCs/>
                <w:szCs w:val="24"/>
              </w:rPr>
              <w:t>Frequency</w:t>
            </w:r>
          </w:p>
        </w:tc>
        <w:tc>
          <w:tcPr>
            <w:tcW w:w="662" w:type="pct"/>
            <w:gridSpan w:val="2"/>
            <w:tcBorders>
              <w:top w:val="single" w:sz="4" w:space="0" w:color="auto"/>
              <w:bottom w:val="single" w:sz="4" w:space="0" w:color="auto"/>
            </w:tcBorders>
            <w:shd w:val="clear" w:color="auto" w:fill="FFFFFF"/>
          </w:tcPr>
          <w:p w14:paraId="40073E58" w14:textId="77777777" w:rsidR="009F33CD" w:rsidRDefault="00E40740" w:rsidP="004A77B4">
            <w:pPr>
              <w:spacing w:before="0" w:beforeAutospacing="0" w:after="0" w:afterAutospacing="0" w:line="240" w:lineRule="auto"/>
              <w:jc w:val="center"/>
              <w:rPr>
                <w:rFonts w:eastAsia="TimesNewRoman" w:cs="Times New Roman"/>
                <w:b/>
                <w:bCs/>
                <w:szCs w:val="24"/>
              </w:rPr>
            </w:pPr>
            <w:r>
              <w:rPr>
                <w:rFonts w:eastAsia="TimesNewRoman" w:cs="Times New Roman"/>
                <w:b/>
                <w:bCs/>
                <w:szCs w:val="24"/>
              </w:rPr>
              <w:t>Percentage</w:t>
            </w:r>
          </w:p>
        </w:tc>
      </w:tr>
      <w:tr w:rsidR="009F33CD" w14:paraId="24A091BA" w14:textId="77777777" w:rsidTr="004A77B4">
        <w:trPr>
          <w:gridAfter w:val="1"/>
          <w:wAfter w:w="10" w:type="pct"/>
          <w:cantSplit/>
          <w:trHeight w:val="288"/>
        </w:trPr>
        <w:tc>
          <w:tcPr>
            <w:tcW w:w="3232" w:type="pct"/>
            <w:tcBorders>
              <w:top w:val="single" w:sz="4" w:space="0" w:color="auto"/>
            </w:tcBorders>
            <w:shd w:val="clear" w:color="auto" w:fill="FFFFFF"/>
            <w:vAlign w:val="center"/>
          </w:tcPr>
          <w:p w14:paraId="2FFFBA4C" w14:textId="77777777" w:rsidR="009F33CD" w:rsidRDefault="00E40740">
            <w:pPr>
              <w:spacing w:before="0" w:beforeAutospacing="0" w:after="0" w:afterAutospacing="0" w:line="240" w:lineRule="auto"/>
              <w:rPr>
                <w:rFonts w:eastAsia="TimesNewRoman" w:cs="Times New Roman"/>
                <w:bCs/>
                <w:color w:val="FF0000"/>
                <w:szCs w:val="24"/>
              </w:rPr>
            </w:pPr>
            <w:r>
              <w:rPr>
                <w:rFonts w:cs="Times New Roman"/>
                <w:bCs/>
                <w:szCs w:val="24"/>
              </w:rPr>
              <w:t xml:space="preserve">There is </w:t>
            </w:r>
            <w:bookmarkStart w:id="1456" w:name="_Hlk174289680"/>
            <w:r>
              <w:rPr>
                <w:rFonts w:cs="Times New Roman"/>
                <w:bCs/>
                <w:szCs w:val="24"/>
              </w:rPr>
              <w:t>need to embrace and conduct paperless (on-line) performance appraisals</w:t>
            </w:r>
            <w:bookmarkEnd w:id="1456"/>
          </w:p>
        </w:tc>
        <w:tc>
          <w:tcPr>
            <w:tcW w:w="1106" w:type="pct"/>
            <w:tcBorders>
              <w:top w:val="single" w:sz="4" w:space="0" w:color="auto"/>
            </w:tcBorders>
            <w:shd w:val="clear" w:color="auto" w:fill="FFFFFF"/>
          </w:tcPr>
          <w:p w14:paraId="009AC15E"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25</w:t>
            </w:r>
          </w:p>
        </w:tc>
        <w:tc>
          <w:tcPr>
            <w:tcW w:w="652" w:type="pct"/>
            <w:tcBorders>
              <w:top w:val="single" w:sz="4" w:space="0" w:color="auto"/>
            </w:tcBorders>
            <w:shd w:val="clear" w:color="auto" w:fill="FFFFFF"/>
          </w:tcPr>
          <w:p w14:paraId="4BF8D8C3"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41.7</w:t>
            </w:r>
          </w:p>
        </w:tc>
      </w:tr>
      <w:tr w:rsidR="009F33CD" w14:paraId="039C8C8A" w14:textId="77777777" w:rsidTr="004A77B4">
        <w:trPr>
          <w:gridAfter w:val="1"/>
          <w:wAfter w:w="10" w:type="pct"/>
          <w:cantSplit/>
          <w:trHeight w:val="302"/>
        </w:trPr>
        <w:tc>
          <w:tcPr>
            <w:tcW w:w="3232" w:type="pct"/>
            <w:shd w:val="clear" w:color="auto" w:fill="FFFFFF"/>
            <w:vAlign w:val="center"/>
          </w:tcPr>
          <w:p w14:paraId="3F034631" w14:textId="77777777" w:rsidR="009F33CD" w:rsidRDefault="00E40740">
            <w:pPr>
              <w:spacing w:before="0" w:beforeAutospacing="0" w:after="0" w:afterAutospacing="0" w:line="240" w:lineRule="auto"/>
              <w:rPr>
                <w:rFonts w:eastAsia="TimesNewRoman" w:cs="Times New Roman"/>
                <w:bCs/>
                <w:szCs w:val="24"/>
              </w:rPr>
            </w:pPr>
            <w:r>
              <w:rPr>
                <w:rFonts w:eastAsia="TimesNewRoman" w:cs="Times New Roman"/>
                <w:bCs/>
                <w:szCs w:val="24"/>
              </w:rPr>
              <w:t xml:space="preserve">There is </w:t>
            </w:r>
            <w:bookmarkStart w:id="1457" w:name="_Hlk174289840"/>
            <w:r>
              <w:rPr>
                <w:rFonts w:eastAsia="TimesNewRoman" w:cs="Times New Roman"/>
                <w:bCs/>
                <w:szCs w:val="24"/>
              </w:rPr>
              <w:t>need for inclusion of individual measurable green objectives and targets in performance appraisal system</w:t>
            </w:r>
            <w:bookmarkEnd w:id="1457"/>
            <w:r>
              <w:rPr>
                <w:rFonts w:eastAsia="TimesNewRoman" w:cs="Times New Roman"/>
                <w:bCs/>
                <w:szCs w:val="24"/>
              </w:rPr>
              <w:t>.</w:t>
            </w:r>
          </w:p>
        </w:tc>
        <w:tc>
          <w:tcPr>
            <w:tcW w:w="1106" w:type="pct"/>
            <w:shd w:val="clear" w:color="auto" w:fill="FFFFFF"/>
          </w:tcPr>
          <w:p w14:paraId="7BA8936C"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19</w:t>
            </w:r>
          </w:p>
        </w:tc>
        <w:tc>
          <w:tcPr>
            <w:tcW w:w="652" w:type="pct"/>
            <w:shd w:val="clear" w:color="auto" w:fill="FFFFFF"/>
          </w:tcPr>
          <w:p w14:paraId="0D2C9D55"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31.7</w:t>
            </w:r>
          </w:p>
        </w:tc>
      </w:tr>
      <w:tr w:rsidR="009F33CD" w14:paraId="099E5D75" w14:textId="77777777" w:rsidTr="004A77B4">
        <w:trPr>
          <w:gridAfter w:val="1"/>
          <w:wAfter w:w="10" w:type="pct"/>
          <w:cantSplit/>
          <w:trHeight w:val="288"/>
        </w:trPr>
        <w:tc>
          <w:tcPr>
            <w:tcW w:w="3232" w:type="pct"/>
            <w:tcBorders>
              <w:bottom w:val="nil"/>
            </w:tcBorders>
            <w:shd w:val="clear" w:color="auto" w:fill="FFFFFF"/>
            <w:vAlign w:val="center"/>
          </w:tcPr>
          <w:p w14:paraId="27C848A0" w14:textId="77777777" w:rsidR="009F33CD" w:rsidRDefault="00E40740">
            <w:pPr>
              <w:spacing w:before="0" w:beforeAutospacing="0" w:after="0" w:afterAutospacing="0" w:line="240" w:lineRule="auto"/>
              <w:rPr>
                <w:rFonts w:eastAsia="TimesNewRoman" w:cs="Times New Roman"/>
                <w:bCs/>
                <w:szCs w:val="24"/>
              </w:rPr>
            </w:pPr>
            <w:r>
              <w:rPr>
                <w:rFonts w:eastAsia="TimesNewRoman" w:cs="Times New Roman"/>
                <w:bCs/>
                <w:szCs w:val="24"/>
              </w:rPr>
              <w:t xml:space="preserve"> </w:t>
            </w:r>
            <w:r>
              <w:rPr>
                <w:rFonts w:cs="Times New Roman"/>
                <w:bCs/>
                <w:szCs w:val="24"/>
              </w:rPr>
              <w:t>Level Five Hospitals should reward employees who excel in performance and environmental management</w:t>
            </w:r>
          </w:p>
        </w:tc>
        <w:tc>
          <w:tcPr>
            <w:tcW w:w="1106" w:type="pct"/>
            <w:tcBorders>
              <w:bottom w:val="nil"/>
            </w:tcBorders>
            <w:shd w:val="clear" w:color="auto" w:fill="FFFFFF"/>
          </w:tcPr>
          <w:p w14:paraId="4996E855"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16</w:t>
            </w:r>
          </w:p>
        </w:tc>
        <w:tc>
          <w:tcPr>
            <w:tcW w:w="652" w:type="pct"/>
            <w:tcBorders>
              <w:bottom w:val="nil"/>
            </w:tcBorders>
            <w:shd w:val="clear" w:color="auto" w:fill="FFFFFF"/>
          </w:tcPr>
          <w:p w14:paraId="3D5BE649" w14:textId="77777777" w:rsidR="009F33CD" w:rsidRDefault="00E40740" w:rsidP="004A77B4">
            <w:pPr>
              <w:spacing w:before="0" w:beforeAutospacing="0" w:after="0" w:afterAutospacing="0" w:line="240" w:lineRule="auto"/>
              <w:jc w:val="center"/>
              <w:rPr>
                <w:rFonts w:eastAsia="TimesNewRoman" w:cs="Times New Roman"/>
                <w:bCs/>
                <w:szCs w:val="24"/>
              </w:rPr>
            </w:pPr>
            <w:r>
              <w:rPr>
                <w:rFonts w:eastAsia="TimesNewRoman" w:cs="Times New Roman"/>
                <w:bCs/>
                <w:szCs w:val="24"/>
              </w:rPr>
              <w:t>26.6</w:t>
            </w:r>
          </w:p>
        </w:tc>
      </w:tr>
      <w:tr w:rsidR="009F33CD" w14:paraId="4C60AAE6" w14:textId="77777777" w:rsidTr="004A77B4">
        <w:trPr>
          <w:gridAfter w:val="1"/>
          <w:wAfter w:w="10" w:type="pct"/>
          <w:cantSplit/>
          <w:trHeight w:val="302"/>
        </w:trPr>
        <w:tc>
          <w:tcPr>
            <w:tcW w:w="3232" w:type="pct"/>
            <w:tcBorders>
              <w:top w:val="nil"/>
              <w:bottom w:val="single" w:sz="4" w:space="0" w:color="auto"/>
            </w:tcBorders>
            <w:shd w:val="clear" w:color="auto" w:fill="FFFFFF"/>
            <w:vAlign w:val="center"/>
          </w:tcPr>
          <w:p w14:paraId="1B740A4D" w14:textId="77777777" w:rsidR="009F33CD" w:rsidRDefault="00E40740">
            <w:pPr>
              <w:spacing w:before="0" w:beforeAutospacing="0" w:after="0" w:afterAutospacing="0" w:line="240" w:lineRule="auto"/>
              <w:rPr>
                <w:rFonts w:eastAsia="TimesNewRoman" w:cs="Times New Roman"/>
                <w:b/>
                <w:bCs/>
                <w:szCs w:val="24"/>
              </w:rPr>
            </w:pPr>
            <w:r>
              <w:rPr>
                <w:rFonts w:eastAsia="TimesNewRoman" w:cs="Times New Roman"/>
                <w:b/>
                <w:bCs/>
                <w:szCs w:val="24"/>
              </w:rPr>
              <w:t>Total</w:t>
            </w:r>
          </w:p>
        </w:tc>
        <w:tc>
          <w:tcPr>
            <w:tcW w:w="1106" w:type="pct"/>
            <w:tcBorders>
              <w:top w:val="nil"/>
              <w:bottom w:val="single" w:sz="4" w:space="0" w:color="auto"/>
            </w:tcBorders>
            <w:shd w:val="clear" w:color="auto" w:fill="FFFFFF"/>
          </w:tcPr>
          <w:p w14:paraId="4DBBF9AC" w14:textId="77777777" w:rsidR="009F33CD" w:rsidRDefault="00E40740" w:rsidP="004A77B4">
            <w:pPr>
              <w:spacing w:before="0" w:beforeAutospacing="0" w:after="0" w:afterAutospacing="0" w:line="240" w:lineRule="auto"/>
              <w:jc w:val="center"/>
              <w:rPr>
                <w:rFonts w:eastAsia="TimesNewRoman" w:cs="Times New Roman"/>
                <w:b/>
                <w:bCs/>
                <w:szCs w:val="24"/>
              </w:rPr>
            </w:pPr>
            <w:r>
              <w:rPr>
                <w:rFonts w:eastAsia="TimesNewRoman" w:cs="Times New Roman"/>
                <w:b/>
                <w:bCs/>
                <w:szCs w:val="24"/>
              </w:rPr>
              <w:t>60</w:t>
            </w:r>
          </w:p>
        </w:tc>
        <w:tc>
          <w:tcPr>
            <w:tcW w:w="652" w:type="pct"/>
            <w:tcBorders>
              <w:top w:val="nil"/>
              <w:bottom w:val="single" w:sz="4" w:space="0" w:color="auto"/>
            </w:tcBorders>
            <w:shd w:val="clear" w:color="auto" w:fill="FFFFFF"/>
          </w:tcPr>
          <w:p w14:paraId="3F66232F" w14:textId="77777777" w:rsidR="009F33CD" w:rsidRDefault="00E40740" w:rsidP="004A77B4">
            <w:pPr>
              <w:spacing w:before="0" w:beforeAutospacing="0" w:after="0" w:afterAutospacing="0" w:line="240" w:lineRule="auto"/>
              <w:jc w:val="center"/>
              <w:rPr>
                <w:rFonts w:eastAsia="TimesNewRoman" w:cs="Times New Roman"/>
                <w:b/>
                <w:bCs/>
                <w:szCs w:val="24"/>
              </w:rPr>
            </w:pPr>
            <w:r>
              <w:rPr>
                <w:rFonts w:eastAsia="TimesNewRoman" w:cs="Times New Roman"/>
                <w:b/>
                <w:bCs/>
                <w:szCs w:val="24"/>
              </w:rPr>
              <w:t>100.0</w:t>
            </w:r>
          </w:p>
        </w:tc>
      </w:tr>
    </w:tbl>
    <w:p w14:paraId="338917D1" w14:textId="77777777" w:rsidR="009F33CD" w:rsidRDefault="004A77B4">
      <w:pPr>
        <w:spacing w:before="240"/>
        <w:rPr>
          <w:rFonts w:cs="Times New Roman"/>
          <w:bCs/>
          <w:szCs w:val="24"/>
        </w:rPr>
      </w:pPr>
      <w:r>
        <w:rPr>
          <w:rFonts w:cs="Times New Roman"/>
          <w:bCs/>
          <w:szCs w:val="24"/>
        </w:rPr>
        <w:t xml:space="preserve"> From Table 4.35</w:t>
      </w:r>
      <w:r w:rsidR="00E40740">
        <w:rPr>
          <w:rFonts w:cs="Times New Roman"/>
          <w:bCs/>
          <w:szCs w:val="24"/>
        </w:rPr>
        <w:t>, it was noted that although environmental protection and conservation are emphasized in Level Five Hospitals, the majority of respondents representing 41.7% suggested the need to further embrace and conduct paperless (online) performance appraisals.</w:t>
      </w:r>
      <w:r w:rsidR="00E40740">
        <w:rPr>
          <w:bCs/>
        </w:rPr>
        <w:t xml:space="preserve"> The finding indicates a recognition of the benefits of further </w:t>
      </w:r>
      <w:r w:rsidR="00E40740">
        <w:rPr>
          <w:bCs/>
          <w:lang w:val="en-US"/>
        </w:rPr>
        <w:t>digitization</w:t>
      </w:r>
      <w:r w:rsidR="00E40740">
        <w:rPr>
          <w:bCs/>
        </w:rPr>
        <w:t xml:space="preserve"> in the appraisal process, supporting both environmental and operational efficiency goals within Level Five Hospitals. This finding agrees with Ahmad (2015) who opined that e-business converts ordinary offices into Paperless offices by changing all important official paper documents into automated documents and workflows.</w:t>
      </w:r>
      <w:r w:rsidR="00E40740">
        <w:rPr>
          <w:rFonts w:cs="Times New Roman"/>
          <w:bCs/>
          <w:szCs w:val="24"/>
        </w:rPr>
        <w:t xml:space="preserve"> Respondents, 31.7% proposed that Level Five Hospitals should reward employees who excel in performance and environmental management. The implication is that recognizing outstanding performance in both operational and environmental areas can help create a culture of excellence, which inspires others to follow suit, leading to continuous improvement and high-quality service delivery. This result agrees with that of Kuria and Mose (2019) who found that green pay and reward had a significant and positive relationship with the organizational effectiveness of universities in Kenya. The other respondents, 26.6% of the respondents suggested the </w:t>
      </w:r>
      <w:r w:rsidR="00E40740">
        <w:rPr>
          <w:rFonts w:eastAsia="TimesNewRoman" w:cs="Times New Roman"/>
          <w:bCs/>
          <w:szCs w:val="24"/>
        </w:rPr>
        <w:lastRenderedPageBreak/>
        <w:t>need for the inclusion of individual measurable green objectives and targets in the performance appraisal system</w:t>
      </w:r>
      <w:r w:rsidR="00E40740">
        <w:rPr>
          <w:rFonts w:cs="Times New Roman"/>
          <w:bCs/>
          <w:szCs w:val="24"/>
        </w:rPr>
        <w:t xml:space="preserve">. </w:t>
      </w:r>
    </w:p>
    <w:p w14:paraId="2D6373BC" w14:textId="77777777" w:rsidR="009F33CD" w:rsidRDefault="00E40740">
      <w:pPr>
        <w:spacing w:before="240"/>
        <w:rPr>
          <w:rFonts w:cs="Times New Roman"/>
          <w:bCs/>
          <w:szCs w:val="24"/>
        </w:rPr>
      </w:pPr>
      <w:r>
        <w:rPr>
          <w:rFonts w:cs="Times New Roman"/>
          <w:bCs/>
          <w:szCs w:val="24"/>
        </w:rPr>
        <w:t>The findings from other questionnaire items on green performance evaluation indicated that most Level Five Hospitals do conduct green evaluation, but to the contrary, the suggestions made by these respondents show that green performance evaluation has not been fully embraced. From the interview conducted with key informants, it was also found that most Level Five Hospitals rely on a manual performance appraisal system. This performance appraisal, it was noted, is conducted when employees are expecting a pay rise.</w:t>
      </w:r>
      <w:r>
        <w:rPr>
          <w:bCs/>
          <w:szCs w:val="24"/>
        </w:rPr>
        <w:t xml:space="preserve"> Document analysis was used for </w:t>
      </w:r>
      <w:r>
        <w:rPr>
          <w:rFonts w:cs="Times New Roman"/>
          <w:bCs/>
          <w:szCs w:val="24"/>
        </w:rPr>
        <w:t xml:space="preserve">recording the number of E-evaluations conducted over the past six years (2014-2019). The results found no evidence of e-evaluations conducted for the period under study. </w:t>
      </w:r>
    </w:p>
    <w:p w14:paraId="5B5BBFB9" w14:textId="77777777" w:rsidR="009F33CD" w:rsidRDefault="00E40740">
      <w:pPr>
        <w:spacing w:before="240"/>
        <w:rPr>
          <w:rFonts w:cs="Times New Roman"/>
          <w:bCs/>
          <w:szCs w:val="24"/>
        </w:rPr>
      </w:pPr>
      <w:r>
        <w:rPr>
          <w:rFonts w:cs="Times New Roman"/>
          <w:bCs/>
          <w:szCs w:val="24"/>
        </w:rPr>
        <w:t>An interview was carried out with 12 respondents from Level Five Hospitals regarding employee performance evaluations and the results are as follows. On answering the question of whether the hospital carried out electronic performance evaluations, 7 managers said that e-performance evaluations are done, while 5 said that hospitals usually conduct manual performance evaluations annually. In explaining whether employee performance evaluations affected hospital performance, all the 12 managers argued that it affects hospital performance especially when it is used for merit increments in salaries and promotion of employees who have met their performance targets.</w:t>
      </w:r>
    </w:p>
    <w:p w14:paraId="69D70089" w14:textId="77777777" w:rsidR="009F33CD" w:rsidRDefault="00E40740">
      <w:pPr>
        <w:pStyle w:val="Heading3"/>
        <w:rPr>
          <w:rFonts w:eastAsia="TimesNewRoman"/>
        </w:rPr>
      </w:pPr>
      <w:bookmarkStart w:id="1458" w:name="_Toc178944336"/>
      <w:bookmarkStart w:id="1459" w:name="_Toc178942678"/>
      <w:bookmarkStart w:id="1460" w:name="_Toc165626426"/>
      <w:bookmarkStart w:id="1461" w:name="_Toc178945088"/>
      <w:bookmarkStart w:id="1462" w:name="_Toc188442624"/>
      <w:bookmarkStart w:id="1463" w:name="_Toc185614132"/>
      <w:bookmarkStart w:id="1464" w:name="_Toc188443998"/>
      <w:bookmarkStart w:id="1465" w:name="_Toc187080904"/>
      <w:bookmarkStart w:id="1466" w:name="_Toc188130651"/>
      <w:bookmarkStart w:id="1467" w:name="_Toc224160688"/>
      <w:bookmarkStart w:id="1468" w:name="_Toc224237751"/>
      <w:r>
        <w:t>4.9.2 Correlation Analysis Findings for Green Performance Evaluation and Performance</w:t>
      </w:r>
      <w:bookmarkEnd w:id="1458"/>
      <w:bookmarkEnd w:id="1459"/>
      <w:bookmarkEnd w:id="1460"/>
      <w:bookmarkEnd w:id="1461"/>
      <w:bookmarkEnd w:id="1462"/>
      <w:bookmarkEnd w:id="1463"/>
      <w:bookmarkEnd w:id="1464"/>
      <w:bookmarkEnd w:id="1465"/>
      <w:bookmarkEnd w:id="1466"/>
      <w:bookmarkEnd w:id="1467"/>
      <w:bookmarkEnd w:id="1468"/>
    </w:p>
    <w:p w14:paraId="783C69EC" w14:textId="77777777" w:rsidR="001E3129" w:rsidRDefault="00E40740">
      <w:pPr>
        <w:spacing w:after="240"/>
        <w:rPr>
          <w:rFonts w:cs="Times New Roman"/>
        </w:rPr>
      </w:pPr>
      <w:r>
        <w:rPr>
          <w:rFonts w:cs="Times New Roman"/>
        </w:rPr>
        <w:t>Pearson’s product-moment correlation coefficient (PPMC) formula was applied to conduct correlation analysis. Correlation analysis shows the strength and direction of the relationship between independent variables (Mugenda &amp; Mugenda, 2</w:t>
      </w:r>
      <w:r w:rsidR="009427A3">
        <w:rPr>
          <w:rFonts w:cs="Times New Roman"/>
        </w:rPr>
        <w:t>013). The findings in Table 4.36</w:t>
      </w:r>
      <w:r>
        <w:rPr>
          <w:rFonts w:cs="Times New Roman"/>
        </w:rPr>
        <w:t xml:space="preserve"> revealed a statistically positive but moderately significant relationship between green performance evaluation and the performance of devolved healthcare services in Kenya (r</w:t>
      </w:r>
      <w:r>
        <w:rPr>
          <w:rFonts w:cs="Times New Roman"/>
          <w:vertAlign w:val="subscript"/>
        </w:rPr>
        <w:t xml:space="preserve"> </w:t>
      </w:r>
      <w:r>
        <w:rPr>
          <w:rFonts w:cs="Times New Roman"/>
        </w:rPr>
        <w:t xml:space="preserve">= .605, n = 118, p = 0.000&lt;0.05). This moderate relationship signifies incremental performance improvements and that apart from </w:t>
      </w:r>
      <w:r>
        <w:rPr>
          <w:rFonts w:cs="Times New Roman"/>
        </w:rPr>
        <w:lastRenderedPageBreak/>
        <w:t xml:space="preserve">green performance evaluation, other factors contribute to the performance of devolved healthcare services. </w:t>
      </w:r>
    </w:p>
    <w:p w14:paraId="40B880FD" w14:textId="77777777" w:rsidR="009F33CD" w:rsidRDefault="009427A3">
      <w:pPr>
        <w:pStyle w:val="Heading6"/>
      </w:pPr>
      <w:bookmarkStart w:id="1469" w:name="_Toc185614133"/>
      <w:bookmarkStart w:id="1470" w:name="_Toc187080905"/>
      <w:bookmarkStart w:id="1471" w:name="_Toc224237465"/>
      <w:r>
        <w:t>Table 4.36</w:t>
      </w:r>
      <w:r w:rsidR="00E40740">
        <w:t xml:space="preserve">: Correlation Analysis Findings for </w:t>
      </w:r>
      <w:bookmarkEnd w:id="1469"/>
      <w:bookmarkEnd w:id="1470"/>
      <w:r w:rsidR="00E40740">
        <w:t>GPE and Performance</w:t>
      </w:r>
      <w:bookmarkEnd w:id="1471"/>
      <w:r w:rsidR="00E40740">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086"/>
        <w:gridCol w:w="2207"/>
        <w:gridCol w:w="1761"/>
      </w:tblGrid>
      <w:tr w:rsidR="009F33CD" w14:paraId="656CB524" w14:textId="77777777">
        <w:trPr>
          <w:trHeight w:val="124"/>
        </w:trPr>
        <w:tc>
          <w:tcPr>
            <w:tcW w:w="2228" w:type="dxa"/>
            <w:tcBorders>
              <w:top w:val="single" w:sz="4" w:space="0" w:color="auto"/>
              <w:bottom w:val="single" w:sz="4" w:space="0" w:color="auto"/>
            </w:tcBorders>
          </w:tcPr>
          <w:p w14:paraId="0139464D" w14:textId="77777777" w:rsidR="009F33CD" w:rsidRDefault="00E40740">
            <w:pPr>
              <w:spacing w:before="0" w:beforeAutospacing="0" w:after="0" w:afterAutospacing="0" w:line="240" w:lineRule="auto"/>
              <w:rPr>
                <w:b/>
              </w:rPr>
            </w:pPr>
            <w:r>
              <w:rPr>
                <w:b/>
              </w:rPr>
              <w:t>Performance</w:t>
            </w:r>
          </w:p>
        </w:tc>
        <w:tc>
          <w:tcPr>
            <w:tcW w:w="2163" w:type="dxa"/>
            <w:tcBorders>
              <w:top w:val="single" w:sz="4" w:space="0" w:color="auto"/>
              <w:bottom w:val="single" w:sz="4" w:space="0" w:color="auto"/>
            </w:tcBorders>
          </w:tcPr>
          <w:p w14:paraId="0D4AAA07" w14:textId="77777777" w:rsidR="009F33CD" w:rsidRDefault="009F33CD">
            <w:pPr>
              <w:spacing w:before="0" w:beforeAutospacing="0" w:after="0" w:afterAutospacing="0" w:line="240" w:lineRule="auto"/>
              <w:rPr>
                <w:b/>
              </w:rPr>
            </w:pPr>
          </w:p>
        </w:tc>
        <w:tc>
          <w:tcPr>
            <w:tcW w:w="2260" w:type="dxa"/>
            <w:tcBorders>
              <w:top w:val="single" w:sz="4" w:space="0" w:color="auto"/>
              <w:bottom w:val="single" w:sz="4" w:space="0" w:color="auto"/>
            </w:tcBorders>
          </w:tcPr>
          <w:p w14:paraId="04698EE9" w14:textId="77777777" w:rsidR="009F33CD" w:rsidRDefault="00E40740">
            <w:pPr>
              <w:spacing w:before="0" w:beforeAutospacing="0" w:after="0" w:afterAutospacing="0" w:line="240" w:lineRule="auto"/>
              <w:rPr>
                <w:b/>
              </w:rPr>
            </w:pPr>
            <w:r>
              <w:rPr>
                <w:b/>
              </w:rPr>
              <w:t>Performance</w:t>
            </w:r>
            <w:r>
              <w:t>1</w:t>
            </w:r>
          </w:p>
        </w:tc>
        <w:tc>
          <w:tcPr>
            <w:tcW w:w="1903" w:type="dxa"/>
            <w:tcBorders>
              <w:top w:val="single" w:sz="4" w:space="0" w:color="auto"/>
              <w:bottom w:val="single" w:sz="4" w:space="0" w:color="auto"/>
            </w:tcBorders>
          </w:tcPr>
          <w:p w14:paraId="609C40BE" w14:textId="77777777" w:rsidR="009F33CD" w:rsidRDefault="009F33CD">
            <w:pPr>
              <w:spacing w:before="0" w:beforeAutospacing="0" w:after="0" w:afterAutospacing="0" w:line="240" w:lineRule="auto"/>
              <w:rPr>
                <w:bCs/>
              </w:rPr>
            </w:pPr>
          </w:p>
        </w:tc>
      </w:tr>
      <w:tr w:rsidR="009F33CD" w14:paraId="540134FC" w14:textId="77777777">
        <w:trPr>
          <w:trHeight w:val="278"/>
        </w:trPr>
        <w:tc>
          <w:tcPr>
            <w:tcW w:w="2228" w:type="dxa"/>
          </w:tcPr>
          <w:p w14:paraId="166E0ED5" w14:textId="77777777" w:rsidR="009F33CD" w:rsidRDefault="00E40740">
            <w:pPr>
              <w:spacing w:before="0" w:beforeAutospacing="0" w:after="0" w:afterAutospacing="0" w:line="240" w:lineRule="auto"/>
              <w:rPr>
                <w:b/>
              </w:rPr>
            </w:pPr>
            <w:r>
              <w:rPr>
                <w:b/>
              </w:rPr>
              <w:t>GT</w:t>
            </w:r>
          </w:p>
        </w:tc>
        <w:tc>
          <w:tcPr>
            <w:tcW w:w="2163" w:type="dxa"/>
          </w:tcPr>
          <w:p w14:paraId="173BB24F" w14:textId="77777777" w:rsidR="009F33CD" w:rsidRDefault="00E40740">
            <w:pPr>
              <w:spacing w:before="0" w:beforeAutospacing="0" w:after="0" w:afterAutospacing="0" w:line="240" w:lineRule="auto"/>
              <w:rPr>
                <w:bCs/>
              </w:rPr>
            </w:pPr>
            <w:r>
              <w:rPr>
                <w:bCs/>
              </w:rPr>
              <w:t>Pearson Correlation</w:t>
            </w:r>
          </w:p>
        </w:tc>
        <w:tc>
          <w:tcPr>
            <w:tcW w:w="2260" w:type="dxa"/>
          </w:tcPr>
          <w:p w14:paraId="68344BA0" w14:textId="77777777" w:rsidR="009F33CD" w:rsidRDefault="00E40740">
            <w:pPr>
              <w:spacing w:before="0" w:beforeAutospacing="0" w:after="0" w:afterAutospacing="0" w:line="240" w:lineRule="auto"/>
              <w:rPr>
                <w:bCs/>
              </w:rPr>
            </w:pPr>
            <w:r>
              <w:rPr>
                <w:bCs/>
              </w:rPr>
              <w:t>0.605**</w:t>
            </w:r>
          </w:p>
        </w:tc>
        <w:tc>
          <w:tcPr>
            <w:tcW w:w="1903" w:type="dxa"/>
          </w:tcPr>
          <w:p w14:paraId="39462B8B" w14:textId="77777777" w:rsidR="009F33CD" w:rsidRDefault="00E40740">
            <w:pPr>
              <w:spacing w:before="0" w:beforeAutospacing="0" w:after="0" w:afterAutospacing="0" w:line="240" w:lineRule="auto"/>
              <w:rPr>
                <w:bCs/>
              </w:rPr>
            </w:pPr>
            <w:r>
              <w:rPr>
                <w:bCs/>
              </w:rPr>
              <w:t>1</w:t>
            </w:r>
          </w:p>
        </w:tc>
      </w:tr>
      <w:tr w:rsidR="009F33CD" w14:paraId="13FCC508" w14:textId="77777777">
        <w:trPr>
          <w:trHeight w:val="171"/>
        </w:trPr>
        <w:tc>
          <w:tcPr>
            <w:tcW w:w="2228" w:type="dxa"/>
          </w:tcPr>
          <w:p w14:paraId="4D5A77F2" w14:textId="77777777" w:rsidR="009F33CD" w:rsidRDefault="009F33CD">
            <w:pPr>
              <w:spacing w:before="0" w:beforeAutospacing="0" w:after="0" w:afterAutospacing="0" w:line="240" w:lineRule="auto"/>
              <w:rPr>
                <w:b/>
              </w:rPr>
            </w:pPr>
          </w:p>
        </w:tc>
        <w:tc>
          <w:tcPr>
            <w:tcW w:w="2163" w:type="dxa"/>
          </w:tcPr>
          <w:p w14:paraId="22B854EF" w14:textId="77777777" w:rsidR="009F33CD" w:rsidRDefault="00E40740">
            <w:pPr>
              <w:spacing w:before="0" w:beforeAutospacing="0" w:after="0" w:afterAutospacing="0" w:line="240" w:lineRule="auto"/>
              <w:rPr>
                <w:bCs/>
              </w:rPr>
            </w:pPr>
            <w:r>
              <w:rPr>
                <w:bCs/>
              </w:rPr>
              <w:t>Sig. (2-tailed)</w:t>
            </w:r>
          </w:p>
        </w:tc>
        <w:tc>
          <w:tcPr>
            <w:tcW w:w="2260" w:type="dxa"/>
          </w:tcPr>
          <w:p w14:paraId="149F1C62" w14:textId="77777777" w:rsidR="009F33CD" w:rsidRDefault="00E40740">
            <w:pPr>
              <w:spacing w:before="0" w:beforeAutospacing="0" w:after="0" w:afterAutospacing="0" w:line="240" w:lineRule="auto"/>
              <w:rPr>
                <w:bCs/>
              </w:rPr>
            </w:pPr>
            <w:r>
              <w:rPr>
                <w:bCs/>
              </w:rPr>
              <w:t>0.000</w:t>
            </w:r>
          </w:p>
        </w:tc>
        <w:tc>
          <w:tcPr>
            <w:tcW w:w="1903" w:type="dxa"/>
          </w:tcPr>
          <w:p w14:paraId="3710A0FC" w14:textId="77777777" w:rsidR="009F33CD" w:rsidRDefault="009F33CD">
            <w:pPr>
              <w:spacing w:before="0" w:beforeAutospacing="0" w:after="0" w:afterAutospacing="0" w:line="240" w:lineRule="auto"/>
              <w:rPr>
                <w:bCs/>
              </w:rPr>
            </w:pPr>
          </w:p>
        </w:tc>
      </w:tr>
      <w:tr w:rsidR="009F33CD" w14:paraId="2E74A61E" w14:textId="77777777" w:rsidTr="001E3129">
        <w:trPr>
          <w:trHeight w:val="55"/>
        </w:trPr>
        <w:tc>
          <w:tcPr>
            <w:tcW w:w="2228" w:type="dxa"/>
            <w:tcBorders>
              <w:bottom w:val="single" w:sz="4" w:space="0" w:color="auto"/>
            </w:tcBorders>
          </w:tcPr>
          <w:p w14:paraId="631F8372" w14:textId="77777777" w:rsidR="009F33CD" w:rsidRDefault="009F33CD">
            <w:pPr>
              <w:spacing w:before="0" w:beforeAutospacing="0" w:after="0" w:afterAutospacing="0" w:line="240" w:lineRule="auto"/>
              <w:rPr>
                <w:bCs/>
              </w:rPr>
            </w:pPr>
          </w:p>
        </w:tc>
        <w:tc>
          <w:tcPr>
            <w:tcW w:w="2163" w:type="dxa"/>
            <w:tcBorders>
              <w:bottom w:val="single" w:sz="4" w:space="0" w:color="auto"/>
            </w:tcBorders>
          </w:tcPr>
          <w:p w14:paraId="4B028774" w14:textId="77777777" w:rsidR="009F33CD" w:rsidRDefault="00E40740">
            <w:pPr>
              <w:spacing w:before="0" w:beforeAutospacing="0" w:after="0" w:afterAutospacing="0" w:line="240" w:lineRule="auto"/>
              <w:rPr>
                <w:bCs/>
              </w:rPr>
            </w:pPr>
            <w:r>
              <w:rPr>
                <w:bCs/>
              </w:rPr>
              <w:t>N</w:t>
            </w:r>
          </w:p>
        </w:tc>
        <w:tc>
          <w:tcPr>
            <w:tcW w:w="2260" w:type="dxa"/>
            <w:tcBorders>
              <w:bottom w:val="single" w:sz="4" w:space="0" w:color="auto"/>
            </w:tcBorders>
          </w:tcPr>
          <w:p w14:paraId="3B133B37" w14:textId="77777777" w:rsidR="009F33CD" w:rsidRDefault="00E40740">
            <w:pPr>
              <w:spacing w:before="0" w:beforeAutospacing="0" w:after="0" w:afterAutospacing="0" w:line="240" w:lineRule="auto"/>
              <w:rPr>
                <w:bCs/>
              </w:rPr>
            </w:pPr>
            <w:r>
              <w:rPr>
                <w:bCs/>
              </w:rPr>
              <w:t>118</w:t>
            </w:r>
          </w:p>
        </w:tc>
        <w:tc>
          <w:tcPr>
            <w:tcW w:w="1903" w:type="dxa"/>
            <w:tcBorders>
              <w:bottom w:val="single" w:sz="4" w:space="0" w:color="auto"/>
            </w:tcBorders>
          </w:tcPr>
          <w:p w14:paraId="6BD39128" w14:textId="77777777" w:rsidR="009F33CD" w:rsidRDefault="009F33CD">
            <w:pPr>
              <w:spacing w:before="0" w:beforeAutospacing="0" w:after="0" w:afterAutospacing="0" w:line="240" w:lineRule="auto"/>
              <w:rPr>
                <w:bCs/>
              </w:rPr>
            </w:pPr>
          </w:p>
        </w:tc>
      </w:tr>
      <w:tr w:rsidR="009F33CD" w14:paraId="70DC29AE" w14:textId="77777777" w:rsidTr="001E3129">
        <w:trPr>
          <w:trHeight w:val="55"/>
        </w:trPr>
        <w:tc>
          <w:tcPr>
            <w:tcW w:w="8554" w:type="dxa"/>
            <w:gridSpan w:val="4"/>
            <w:tcBorders>
              <w:top w:val="single" w:sz="4" w:space="0" w:color="auto"/>
              <w:bottom w:val="nil"/>
            </w:tcBorders>
          </w:tcPr>
          <w:p w14:paraId="4C1586AB" w14:textId="77777777" w:rsidR="009F33CD" w:rsidRDefault="00E40740">
            <w:pPr>
              <w:spacing w:line="240" w:lineRule="auto"/>
              <w:rPr>
                <w:bCs/>
                <w:szCs w:val="24"/>
              </w:rPr>
            </w:pPr>
            <w:r>
              <w:rPr>
                <w:bCs/>
                <w:szCs w:val="24"/>
              </w:rPr>
              <w:t>**. Correlation is significant at the 0.01 level (2-tailed)</w:t>
            </w:r>
          </w:p>
        </w:tc>
      </w:tr>
    </w:tbl>
    <w:p w14:paraId="4937F710" w14:textId="77777777" w:rsidR="009F33CD" w:rsidRDefault="00E40740">
      <w:pPr>
        <w:spacing w:after="240"/>
        <w:rPr>
          <w:rFonts w:cs="Times New Roman"/>
        </w:rPr>
      </w:pPr>
      <w:r>
        <w:rPr>
          <w:rFonts w:cs="Times New Roman"/>
        </w:rPr>
        <w:t xml:space="preserve">This finding implies that when performance evaluation is linked with green goals and tasks that are clearly specified in the employee role profile, the performance of healthcare services improves. The significant relationship indicates that policymakers and healthcare managers should integrate and implement green performance evaluation metrics as part of their performance management system. Further, incorporating green metrics into performance evaluations can motivate employees to engage in and prioritize sustainable practices. This study concurs with the research of Nury </w:t>
      </w:r>
      <w:r>
        <w:rPr>
          <w:rFonts w:cs="Times New Roman"/>
          <w:i/>
        </w:rPr>
        <w:t>et al.</w:t>
      </w:r>
      <w:r>
        <w:rPr>
          <w:rFonts w:cs="Times New Roman"/>
        </w:rPr>
        <w:t xml:space="preserve"> (2018) which found that the Green Performance appraisal affects organizational performance. The results also agreed with that of Brefo-Manuh (2017), which noted performance appraisal system had a positive effect on organizational efficiency in public and private sector organizations, and that utilizing a green performance appraisal system enhances employee performance, aids in providing training, and boosts motivation.</w:t>
      </w:r>
    </w:p>
    <w:p w14:paraId="030E0E96" w14:textId="77777777" w:rsidR="009F33CD" w:rsidRDefault="00E40740">
      <w:pPr>
        <w:pStyle w:val="Heading3"/>
      </w:pPr>
      <w:bookmarkStart w:id="1472" w:name="_Toc188442625"/>
      <w:bookmarkStart w:id="1473" w:name="_Toc187080906"/>
      <w:bookmarkStart w:id="1474" w:name="_Toc188443999"/>
      <w:bookmarkStart w:id="1475" w:name="_Toc178942679"/>
      <w:bookmarkStart w:id="1476" w:name="_Toc165626427"/>
      <w:bookmarkStart w:id="1477" w:name="_Toc188130652"/>
      <w:bookmarkStart w:id="1478" w:name="_Toc185614134"/>
      <w:bookmarkStart w:id="1479" w:name="_Toc178945089"/>
      <w:bookmarkStart w:id="1480" w:name="_Toc178944337"/>
      <w:bookmarkStart w:id="1481" w:name="_Toc224160689"/>
      <w:bookmarkStart w:id="1482" w:name="_Toc224237752"/>
      <w:r>
        <w:t>4.9.3 Simple Linear Regression Analysis for Green Performance Evaluation and Performance</w:t>
      </w:r>
      <w:bookmarkEnd w:id="1472"/>
      <w:bookmarkEnd w:id="1473"/>
      <w:bookmarkEnd w:id="1474"/>
      <w:bookmarkEnd w:id="1475"/>
      <w:bookmarkEnd w:id="1476"/>
      <w:bookmarkEnd w:id="1477"/>
      <w:bookmarkEnd w:id="1478"/>
      <w:bookmarkEnd w:id="1479"/>
      <w:bookmarkEnd w:id="1480"/>
      <w:bookmarkEnd w:id="1481"/>
      <w:bookmarkEnd w:id="1482"/>
    </w:p>
    <w:p w14:paraId="4D5247F0" w14:textId="77777777" w:rsidR="009F33CD" w:rsidRDefault="00E40740">
      <w:pPr>
        <w:rPr>
          <w:rFonts w:cs="Times New Roman"/>
          <w:bCs/>
          <w:szCs w:val="24"/>
        </w:rPr>
      </w:pPr>
      <w:r>
        <w:rPr>
          <w:rFonts w:cs="Times New Roman"/>
          <w:bCs/>
        </w:rPr>
        <w:t xml:space="preserve">A regression analysis was carried out to investigate the effect of green performance evaluation on the performance of devolved healthcare services in Kenya. </w:t>
      </w:r>
      <w:r>
        <w:rPr>
          <w:rFonts w:cs="Times New Roman"/>
        </w:rPr>
        <w:t xml:space="preserve">According to a study by Omondi (2018), there is empirical evidence to support the use of regression analysis as a statistical tool in data analysis. </w:t>
      </w:r>
      <w:r>
        <w:rPr>
          <w:rFonts w:cs="Times New Roman"/>
          <w:bCs/>
        </w:rPr>
        <w:t>The analysis focused on the dependent variable, and t</w:t>
      </w:r>
      <w:r>
        <w:rPr>
          <w:rFonts w:cs="Times New Roman"/>
          <w:bCs/>
          <w:szCs w:val="24"/>
        </w:rPr>
        <w:t xml:space="preserve">herefore, a simple linear regression model for green performance evaluation and performance of devolved healthcare services in Kenya took the following format: </w:t>
      </w:r>
    </w:p>
    <w:p w14:paraId="689EABE9" w14:textId="77777777" w:rsidR="009F33CD" w:rsidRDefault="00E40740">
      <w:pPr>
        <w:ind w:left="720"/>
        <w:jc w:val="center"/>
        <w:rPr>
          <w:rFonts w:cs="Times New Roman"/>
          <w:bCs/>
          <w:szCs w:val="24"/>
        </w:rPr>
      </w:pPr>
      <w:r>
        <w:rPr>
          <w:rFonts w:cs="Times New Roman"/>
          <w:bCs/>
          <w:szCs w:val="24"/>
        </w:rPr>
        <w:lastRenderedPageBreak/>
        <w:t>Y = β</w:t>
      </w:r>
      <w:r>
        <w:rPr>
          <w:rFonts w:cs="Times New Roman"/>
          <w:bCs/>
          <w:szCs w:val="24"/>
          <w:vertAlign w:val="subscript"/>
        </w:rPr>
        <w:t>0</w:t>
      </w:r>
      <w:r>
        <w:rPr>
          <w:rFonts w:cs="Times New Roman"/>
          <w:bCs/>
          <w:szCs w:val="24"/>
        </w:rPr>
        <w:t>+β</w:t>
      </w:r>
      <w:r>
        <w:rPr>
          <w:rFonts w:cs="Times New Roman"/>
          <w:bCs/>
          <w:szCs w:val="24"/>
          <w:vertAlign w:val="subscript"/>
        </w:rPr>
        <w:t>4</w:t>
      </w:r>
      <w:r>
        <w:rPr>
          <w:rFonts w:cs="Times New Roman"/>
          <w:bCs/>
          <w:szCs w:val="24"/>
        </w:rPr>
        <w:t>X</w:t>
      </w:r>
      <w:r>
        <w:rPr>
          <w:rFonts w:cs="Times New Roman"/>
          <w:bCs/>
          <w:szCs w:val="24"/>
          <w:vertAlign w:val="subscript"/>
        </w:rPr>
        <w:t>4</w:t>
      </w:r>
      <w:r>
        <w:rPr>
          <w:rFonts w:cs="Times New Roman"/>
          <w:bCs/>
          <w:szCs w:val="24"/>
        </w:rPr>
        <w:t xml:space="preserve"> +e</w:t>
      </w:r>
    </w:p>
    <w:p w14:paraId="2A3605CD" w14:textId="77777777" w:rsidR="009F33CD" w:rsidRDefault="00E40740">
      <w:pPr>
        <w:spacing w:after="240"/>
        <w:rPr>
          <w:rFonts w:cs="Times New Roman"/>
          <w:bCs/>
        </w:rPr>
      </w:pPr>
      <w:r>
        <w:rPr>
          <w:rFonts w:cs="Times New Roman"/>
          <w:bCs/>
        </w:rPr>
        <w:t>The statistical significance of the effect of green performance evaluation (independent variable) on the performance of devolved healthcare services (dependent vari</w:t>
      </w:r>
      <w:r w:rsidR="009427A3">
        <w:rPr>
          <w:rFonts w:cs="Times New Roman"/>
          <w:bCs/>
        </w:rPr>
        <w:t>able) is presented in Table 4.37</w:t>
      </w:r>
      <w:r>
        <w:rPr>
          <w:rFonts w:cs="Times New Roman"/>
          <w:bCs/>
        </w:rPr>
        <w:t>.</w:t>
      </w:r>
    </w:p>
    <w:p w14:paraId="7589627C" w14:textId="77777777" w:rsidR="009F33CD" w:rsidRDefault="009427A3">
      <w:pPr>
        <w:pStyle w:val="Heading6"/>
      </w:pPr>
      <w:bookmarkStart w:id="1483" w:name="_Toc185614135"/>
      <w:bookmarkStart w:id="1484" w:name="_Toc187080907"/>
      <w:bookmarkStart w:id="1485" w:name="_Toc224237466"/>
      <w:bookmarkStart w:id="1486" w:name="_Toc178944338"/>
      <w:bookmarkStart w:id="1487" w:name="_Toc165626428"/>
      <w:bookmarkStart w:id="1488" w:name="_Toc178942680"/>
      <w:bookmarkStart w:id="1489" w:name="_Toc178945090"/>
      <w:r>
        <w:t>Table 4.37</w:t>
      </w:r>
      <w:r w:rsidR="00E40740">
        <w:t>: Simple Linear Regression Findings for GPE and Performance</w:t>
      </w:r>
      <w:bookmarkEnd w:id="1483"/>
      <w:bookmarkEnd w:id="1484"/>
      <w:bookmarkEnd w:id="1485"/>
      <w:r w:rsidR="00E40740">
        <w:t xml:space="preserve"> </w:t>
      </w:r>
      <w:bookmarkEnd w:id="1486"/>
      <w:bookmarkEnd w:id="1487"/>
      <w:bookmarkEnd w:id="1488"/>
      <w:bookmarkEnd w:id="1489"/>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33"/>
        <w:gridCol w:w="934"/>
        <w:gridCol w:w="1187"/>
        <w:gridCol w:w="2121"/>
        <w:gridCol w:w="3045"/>
      </w:tblGrid>
      <w:tr w:rsidR="009F33CD" w14:paraId="38CB0461" w14:textId="77777777" w:rsidTr="009427A3">
        <w:trPr>
          <w:cantSplit/>
          <w:trHeight w:val="167"/>
        </w:trPr>
        <w:tc>
          <w:tcPr>
            <w:tcW w:w="568" w:type="pct"/>
            <w:tcBorders>
              <w:top w:val="single" w:sz="4" w:space="0" w:color="auto"/>
              <w:bottom w:val="single" w:sz="4" w:space="0" w:color="auto"/>
            </w:tcBorders>
            <w:vAlign w:val="bottom"/>
          </w:tcPr>
          <w:p w14:paraId="32942728" w14:textId="77777777" w:rsidR="009F33CD" w:rsidRDefault="00E40740">
            <w:pPr>
              <w:spacing w:before="0" w:beforeAutospacing="0" w:after="0" w:afterAutospacing="0" w:line="240" w:lineRule="auto"/>
              <w:rPr>
                <w:rFonts w:cs="Times New Roman"/>
                <w:b/>
              </w:rPr>
            </w:pPr>
            <w:r>
              <w:rPr>
                <w:rFonts w:cs="Times New Roman"/>
                <w:b/>
              </w:rPr>
              <w:t>Model</w:t>
            </w:r>
          </w:p>
        </w:tc>
        <w:tc>
          <w:tcPr>
            <w:tcW w:w="568" w:type="pct"/>
            <w:tcBorders>
              <w:top w:val="single" w:sz="4" w:space="0" w:color="auto"/>
              <w:bottom w:val="single" w:sz="4" w:space="0" w:color="auto"/>
            </w:tcBorders>
          </w:tcPr>
          <w:p w14:paraId="78AF09F6" w14:textId="77777777" w:rsidR="009F33CD" w:rsidRDefault="00E40740" w:rsidP="009427A3">
            <w:pPr>
              <w:spacing w:before="0" w:beforeAutospacing="0" w:after="0" w:afterAutospacing="0" w:line="240" w:lineRule="auto"/>
              <w:jc w:val="center"/>
              <w:rPr>
                <w:rFonts w:cs="Times New Roman"/>
                <w:b/>
              </w:rPr>
            </w:pPr>
            <w:r>
              <w:rPr>
                <w:rFonts w:cs="Times New Roman"/>
                <w:b/>
              </w:rPr>
              <w:t>R</w:t>
            </w:r>
          </w:p>
        </w:tc>
        <w:tc>
          <w:tcPr>
            <w:tcW w:w="722" w:type="pct"/>
            <w:tcBorders>
              <w:top w:val="single" w:sz="4" w:space="0" w:color="auto"/>
              <w:bottom w:val="single" w:sz="4" w:space="0" w:color="auto"/>
            </w:tcBorders>
          </w:tcPr>
          <w:p w14:paraId="6E1E19CD" w14:textId="77777777" w:rsidR="009F33CD" w:rsidRDefault="00E40740" w:rsidP="009427A3">
            <w:pPr>
              <w:spacing w:before="0" w:beforeAutospacing="0" w:after="0" w:afterAutospacing="0" w:line="240" w:lineRule="auto"/>
              <w:jc w:val="center"/>
              <w:rPr>
                <w:rFonts w:cs="Times New Roman"/>
                <w:b/>
              </w:rPr>
            </w:pPr>
            <w:r>
              <w:rPr>
                <w:rFonts w:cs="Times New Roman"/>
                <w:b/>
              </w:rPr>
              <w:t>R Square</w:t>
            </w:r>
          </w:p>
        </w:tc>
        <w:tc>
          <w:tcPr>
            <w:tcW w:w="1290" w:type="pct"/>
            <w:tcBorders>
              <w:top w:val="single" w:sz="4" w:space="0" w:color="auto"/>
              <w:bottom w:val="single" w:sz="4" w:space="0" w:color="auto"/>
            </w:tcBorders>
          </w:tcPr>
          <w:p w14:paraId="13D0BBFF" w14:textId="77777777" w:rsidR="009F33CD" w:rsidRDefault="00E40740" w:rsidP="009427A3">
            <w:pPr>
              <w:spacing w:before="0" w:beforeAutospacing="0" w:after="0" w:afterAutospacing="0" w:line="240" w:lineRule="auto"/>
              <w:jc w:val="center"/>
              <w:rPr>
                <w:rFonts w:cs="Times New Roman"/>
                <w:b/>
              </w:rPr>
            </w:pPr>
            <w:r>
              <w:rPr>
                <w:rFonts w:cs="Times New Roman"/>
                <w:b/>
              </w:rPr>
              <w:t>Adjusted R Square</w:t>
            </w:r>
          </w:p>
        </w:tc>
        <w:tc>
          <w:tcPr>
            <w:tcW w:w="1853" w:type="pct"/>
            <w:tcBorders>
              <w:top w:val="single" w:sz="4" w:space="0" w:color="auto"/>
              <w:bottom w:val="single" w:sz="4" w:space="0" w:color="auto"/>
            </w:tcBorders>
          </w:tcPr>
          <w:p w14:paraId="49C8D61D" w14:textId="77777777" w:rsidR="009F33CD" w:rsidRDefault="00E40740" w:rsidP="009427A3">
            <w:pPr>
              <w:spacing w:before="0" w:beforeAutospacing="0" w:after="0" w:afterAutospacing="0" w:line="240" w:lineRule="auto"/>
              <w:jc w:val="center"/>
              <w:rPr>
                <w:rFonts w:cs="Times New Roman"/>
                <w:b/>
              </w:rPr>
            </w:pPr>
            <w:r>
              <w:rPr>
                <w:rFonts w:cs="Times New Roman"/>
                <w:b/>
              </w:rPr>
              <w:t>Std. Error of the Estimate</w:t>
            </w:r>
          </w:p>
        </w:tc>
      </w:tr>
      <w:tr w:rsidR="009F33CD" w14:paraId="49BD54C0" w14:textId="77777777" w:rsidTr="009427A3">
        <w:trPr>
          <w:cantSplit/>
          <w:trHeight w:val="91"/>
        </w:trPr>
        <w:tc>
          <w:tcPr>
            <w:tcW w:w="568" w:type="pct"/>
            <w:tcBorders>
              <w:top w:val="single" w:sz="4" w:space="0" w:color="auto"/>
              <w:bottom w:val="single" w:sz="4" w:space="0" w:color="auto"/>
            </w:tcBorders>
          </w:tcPr>
          <w:p w14:paraId="5F73E204" w14:textId="77777777" w:rsidR="009F33CD" w:rsidRDefault="00E40740">
            <w:pPr>
              <w:spacing w:before="0" w:beforeAutospacing="0" w:after="0" w:afterAutospacing="0" w:line="240" w:lineRule="auto"/>
              <w:rPr>
                <w:rFonts w:cs="Times New Roman"/>
                <w:bCs/>
              </w:rPr>
            </w:pPr>
            <w:r>
              <w:rPr>
                <w:rFonts w:cs="Times New Roman"/>
                <w:bCs/>
              </w:rPr>
              <w:t>1</w:t>
            </w:r>
          </w:p>
        </w:tc>
        <w:tc>
          <w:tcPr>
            <w:tcW w:w="568" w:type="pct"/>
            <w:tcBorders>
              <w:top w:val="single" w:sz="4" w:space="0" w:color="auto"/>
              <w:bottom w:val="single" w:sz="4" w:space="0" w:color="auto"/>
            </w:tcBorders>
          </w:tcPr>
          <w:p w14:paraId="7BB2990D" w14:textId="77777777" w:rsidR="009F33CD" w:rsidRDefault="00E40740" w:rsidP="009427A3">
            <w:pPr>
              <w:spacing w:before="0" w:beforeAutospacing="0" w:after="0" w:afterAutospacing="0" w:line="240" w:lineRule="auto"/>
              <w:jc w:val="center"/>
              <w:rPr>
                <w:rFonts w:cs="Times New Roman"/>
                <w:bCs/>
              </w:rPr>
            </w:pPr>
            <w:r>
              <w:rPr>
                <w:rFonts w:cs="Times New Roman"/>
                <w:bCs/>
              </w:rPr>
              <w:t>.605</w:t>
            </w:r>
            <w:r>
              <w:rPr>
                <w:rFonts w:cs="Times New Roman"/>
                <w:bCs/>
                <w:vertAlign w:val="superscript"/>
              </w:rPr>
              <w:t>a</w:t>
            </w:r>
          </w:p>
        </w:tc>
        <w:tc>
          <w:tcPr>
            <w:tcW w:w="722" w:type="pct"/>
            <w:tcBorders>
              <w:top w:val="single" w:sz="4" w:space="0" w:color="auto"/>
              <w:bottom w:val="single" w:sz="4" w:space="0" w:color="auto"/>
            </w:tcBorders>
          </w:tcPr>
          <w:p w14:paraId="0DA6939E" w14:textId="77777777" w:rsidR="009F33CD" w:rsidRDefault="00E40740" w:rsidP="009427A3">
            <w:pPr>
              <w:spacing w:before="0" w:beforeAutospacing="0" w:after="0" w:afterAutospacing="0" w:line="240" w:lineRule="auto"/>
              <w:jc w:val="center"/>
              <w:rPr>
                <w:rFonts w:cs="Times New Roman"/>
                <w:bCs/>
              </w:rPr>
            </w:pPr>
            <w:r>
              <w:rPr>
                <w:rFonts w:cs="Times New Roman"/>
                <w:bCs/>
              </w:rPr>
              <w:t>.366</w:t>
            </w:r>
          </w:p>
        </w:tc>
        <w:tc>
          <w:tcPr>
            <w:tcW w:w="1290" w:type="pct"/>
            <w:tcBorders>
              <w:top w:val="single" w:sz="4" w:space="0" w:color="auto"/>
              <w:bottom w:val="single" w:sz="4" w:space="0" w:color="auto"/>
            </w:tcBorders>
          </w:tcPr>
          <w:p w14:paraId="4A79CCAB" w14:textId="77777777" w:rsidR="009F33CD" w:rsidRDefault="00E40740" w:rsidP="009427A3">
            <w:pPr>
              <w:spacing w:before="0" w:beforeAutospacing="0" w:after="0" w:afterAutospacing="0" w:line="240" w:lineRule="auto"/>
              <w:jc w:val="center"/>
              <w:rPr>
                <w:rFonts w:cs="Times New Roman"/>
                <w:bCs/>
              </w:rPr>
            </w:pPr>
            <w:r>
              <w:rPr>
                <w:rFonts w:cs="Times New Roman"/>
                <w:bCs/>
              </w:rPr>
              <w:t>.360</w:t>
            </w:r>
          </w:p>
        </w:tc>
        <w:tc>
          <w:tcPr>
            <w:tcW w:w="1853" w:type="pct"/>
            <w:tcBorders>
              <w:top w:val="single" w:sz="4" w:space="0" w:color="auto"/>
              <w:bottom w:val="single" w:sz="4" w:space="0" w:color="auto"/>
            </w:tcBorders>
          </w:tcPr>
          <w:p w14:paraId="3DADA5C5" w14:textId="77777777" w:rsidR="009F33CD" w:rsidRDefault="00E40740" w:rsidP="009427A3">
            <w:pPr>
              <w:spacing w:before="0" w:beforeAutospacing="0" w:after="0" w:afterAutospacing="0" w:line="240" w:lineRule="auto"/>
              <w:jc w:val="center"/>
              <w:rPr>
                <w:rFonts w:cs="Times New Roman"/>
                <w:bCs/>
              </w:rPr>
            </w:pPr>
            <w:r>
              <w:rPr>
                <w:rFonts w:cs="Times New Roman"/>
                <w:bCs/>
              </w:rPr>
              <w:t>.74356</w:t>
            </w:r>
          </w:p>
        </w:tc>
      </w:tr>
      <w:tr w:rsidR="009F33CD" w14:paraId="01617431" w14:textId="77777777">
        <w:trPr>
          <w:cantSplit/>
          <w:trHeight w:val="161"/>
        </w:trPr>
        <w:tc>
          <w:tcPr>
            <w:tcW w:w="5000" w:type="pct"/>
            <w:gridSpan w:val="5"/>
            <w:tcBorders>
              <w:top w:val="single" w:sz="4" w:space="0" w:color="auto"/>
              <w:bottom w:val="nil"/>
            </w:tcBorders>
          </w:tcPr>
          <w:p w14:paraId="7F692FF3" w14:textId="77777777" w:rsidR="009F33CD" w:rsidRDefault="00E40740">
            <w:pPr>
              <w:spacing w:after="240" w:line="240" w:lineRule="auto"/>
              <w:rPr>
                <w:rFonts w:cs="Times New Roman"/>
                <w:bCs/>
              </w:rPr>
            </w:pPr>
            <w:r>
              <w:rPr>
                <w:rFonts w:cs="Times New Roman"/>
                <w:bCs/>
              </w:rPr>
              <w:t>a. Predictors: (Constant), green performance evaluation</w:t>
            </w:r>
          </w:p>
        </w:tc>
      </w:tr>
    </w:tbl>
    <w:p w14:paraId="12B33978" w14:textId="77777777" w:rsidR="009F33CD" w:rsidRDefault="009427A3">
      <w:pPr>
        <w:spacing w:after="240"/>
        <w:rPr>
          <w:rFonts w:cs="Times New Roman"/>
          <w:bCs/>
        </w:rPr>
      </w:pPr>
      <w:r>
        <w:rPr>
          <w:rFonts w:cs="Times New Roman"/>
          <w:bCs/>
        </w:rPr>
        <w:t>From the findings in Table 4.37</w:t>
      </w:r>
      <w:r w:rsidR="00E40740">
        <w:rPr>
          <w:rFonts w:cs="Times New Roman"/>
          <w:bCs/>
        </w:rPr>
        <w:t xml:space="preserve">, green performance evaluation had an R squared of 0.366 which implies that 36.6% variations in the performance of devolved healthcare services are explained by green performance evaluation. This finding indicates that green performance evaluation is a significant factor in influencing the performance of devolved healthcare services. This result provides evidence-based support for policies that encourage the adoption of green performance evaluation practices. The remaining unexplained 63.4% variations in the performance of devolved healthcare services could be explained by other green human resource management practices that were not included in the model. </w:t>
      </w:r>
    </w:p>
    <w:p w14:paraId="00B076E2" w14:textId="77777777" w:rsidR="009F33CD" w:rsidRDefault="009427A3">
      <w:pPr>
        <w:pStyle w:val="Heading6"/>
      </w:pPr>
      <w:bookmarkStart w:id="1490" w:name="_Toc185614136"/>
      <w:bookmarkStart w:id="1491" w:name="_Toc187080908"/>
      <w:bookmarkStart w:id="1492" w:name="_Toc224237467"/>
      <w:bookmarkStart w:id="1493" w:name="_Toc178942681"/>
      <w:bookmarkStart w:id="1494" w:name="_Toc165626429"/>
      <w:bookmarkStart w:id="1495" w:name="_Toc178945091"/>
      <w:bookmarkStart w:id="1496" w:name="_Toc178944339"/>
      <w:r>
        <w:t>Table 4.38</w:t>
      </w:r>
      <w:r w:rsidR="00E40740">
        <w:t>: Regression Coefficients for GPE and Performance</w:t>
      </w:r>
      <w:bookmarkEnd w:id="1490"/>
      <w:bookmarkEnd w:id="1491"/>
      <w:bookmarkEnd w:id="1492"/>
      <w:r w:rsidR="00E40740">
        <w:t xml:space="preserve"> </w:t>
      </w:r>
      <w:bookmarkEnd w:id="1493"/>
      <w:bookmarkEnd w:id="1494"/>
      <w:bookmarkEnd w:id="1495"/>
      <w:bookmarkEnd w:id="1496"/>
    </w:p>
    <w:tbl>
      <w:tblPr>
        <w:tblW w:w="5000" w:type="pct"/>
        <w:tblCellMar>
          <w:left w:w="0" w:type="dxa"/>
          <w:right w:w="0" w:type="dxa"/>
        </w:tblCellMar>
        <w:tblLook w:val="04A0" w:firstRow="1" w:lastRow="0" w:firstColumn="1" w:lastColumn="0" w:noHBand="0" w:noVBand="1"/>
      </w:tblPr>
      <w:tblGrid>
        <w:gridCol w:w="743"/>
        <w:gridCol w:w="1198"/>
        <w:gridCol w:w="962"/>
        <w:gridCol w:w="1268"/>
        <w:gridCol w:w="1711"/>
        <w:gridCol w:w="1414"/>
        <w:gridCol w:w="924"/>
      </w:tblGrid>
      <w:tr w:rsidR="009F33CD" w14:paraId="34A10A09" w14:textId="77777777" w:rsidTr="009427A3">
        <w:trPr>
          <w:cantSplit/>
          <w:trHeight w:val="531"/>
        </w:trPr>
        <w:tc>
          <w:tcPr>
            <w:tcW w:w="1181" w:type="pct"/>
            <w:gridSpan w:val="2"/>
            <w:vMerge w:val="restart"/>
            <w:tcBorders>
              <w:top w:val="single" w:sz="4" w:space="0" w:color="auto"/>
            </w:tcBorders>
          </w:tcPr>
          <w:p w14:paraId="0CCD6341" w14:textId="77777777" w:rsidR="009F33CD" w:rsidRDefault="00E40740" w:rsidP="009427A3">
            <w:pPr>
              <w:spacing w:before="0" w:beforeAutospacing="0" w:after="0" w:afterAutospacing="0" w:line="240" w:lineRule="auto"/>
              <w:jc w:val="left"/>
              <w:rPr>
                <w:rFonts w:cs="Times New Roman"/>
                <w:b/>
                <w:bCs/>
              </w:rPr>
            </w:pPr>
            <w:r>
              <w:rPr>
                <w:rFonts w:cs="Times New Roman"/>
                <w:b/>
                <w:bCs/>
              </w:rPr>
              <w:t>Model</w:t>
            </w:r>
          </w:p>
        </w:tc>
        <w:tc>
          <w:tcPr>
            <w:tcW w:w="1356" w:type="pct"/>
            <w:gridSpan w:val="2"/>
            <w:tcBorders>
              <w:top w:val="single" w:sz="4" w:space="0" w:color="auto"/>
              <w:bottom w:val="single" w:sz="4" w:space="0" w:color="auto"/>
            </w:tcBorders>
            <w:vAlign w:val="bottom"/>
          </w:tcPr>
          <w:p w14:paraId="3E6577B7" w14:textId="77777777" w:rsidR="009F33CD" w:rsidRDefault="00E40740" w:rsidP="001E3129">
            <w:pPr>
              <w:spacing w:before="0" w:beforeAutospacing="0" w:after="0" w:afterAutospacing="0" w:line="240" w:lineRule="auto"/>
              <w:jc w:val="center"/>
              <w:rPr>
                <w:rFonts w:cs="Times New Roman"/>
                <w:b/>
                <w:bCs/>
              </w:rPr>
            </w:pPr>
            <w:r>
              <w:rPr>
                <w:rFonts w:cs="Times New Roman"/>
                <w:b/>
                <w:bCs/>
              </w:rPr>
              <w:t>Unstandardized Coefficients</w:t>
            </w:r>
          </w:p>
        </w:tc>
        <w:tc>
          <w:tcPr>
            <w:tcW w:w="1041" w:type="pct"/>
            <w:tcBorders>
              <w:top w:val="single" w:sz="4" w:space="0" w:color="auto"/>
              <w:bottom w:val="single" w:sz="4" w:space="0" w:color="auto"/>
            </w:tcBorders>
            <w:vAlign w:val="bottom"/>
          </w:tcPr>
          <w:p w14:paraId="55AE6C90" w14:textId="77777777" w:rsidR="009F33CD" w:rsidRDefault="00E40740" w:rsidP="001E3129">
            <w:pPr>
              <w:spacing w:before="0" w:beforeAutospacing="0" w:after="0" w:afterAutospacing="0" w:line="240" w:lineRule="auto"/>
              <w:jc w:val="center"/>
              <w:rPr>
                <w:rFonts w:cs="Times New Roman"/>
                <w:b/>
                <w:bCs/>
              </w:rPr>
            </w:pPr>
            <w:r>
              <w:rPr>
                <w:rFonts w:cs="Times New Roman"/>
                <w:b/>
                <w:bCs/>
              </w:rPr>
              <w:t>Standardized Coefficients</w:t>
            </w:r>
          </w:p>
        </w:tc>
        <w:tc>
          <w:tcPr>
            <w:tcW w:w="860" w:type="pct"/>
            <w:vMerge w:val="restart"/>
            <w:tcBorders>
              <w:top w:val="single" w:sz="4" w:space="0" w:color="auto"/>
            </w:tcBorders>
          </w:tcPr>
          <w:p w14:paraId="1F87BC49" w14:textId="77777777" w:rsidR="009F33CD" w:rsidRDefault="00E40740" w:rsidP="009427A3">
            <w:pPr>
              <w:spacing w:before="0" w:beforeAutospacing="0" w:after="0" w:afterAutospacing="0" w:line="240" w:lineRule="auto"/>
              <w:jc w:val="center"/>
              <w:rPr>
                <w:rFonts w:cs="Times New Roman"/>
                <w:b/>
                <w:bCs/>
              </w:rPr>
            </w:pPr>
            <w:r>
              <w:rPr>
                <w:rFonts w:cs="Times New Roman"/>
                <w:b/>
                <w:bCs/>
              </w:rPr>
              <w:t>T</w:t>
            </w:r>
          </w:p>
        </w:tc>
        <w:tc>
          <w:tcPr>
            <w:tcW w:w="563" w:type="pct"/>
            <w:vMerge w:val="restart"/>
            <w:tcBorders>
              <w:top w:val="single" w:sz="4" w:space="0" w:color="auto"/>
            </w:tcBorders>
          </w:tcPr>
          <w:p w14:paraId="354F0C8B" w14:textId="77777777" w:rsidR="009F33CD" w:rsidRDefault="00E40740" w:rsidP="009427A3">
            <w:pPr>
              <w:spacing w:before="0" w:beforeAutospacing="0" w:after="0" w:afterAutospacing="0" w:line="240" w:lineRule="auto"/>
              <w:jc w:val="center"/>
              <w:rPr>
                <w:rFonts w:cs="Times New Roman"/>
                <w:b/>
                <w:bCs/>
              </w:rPr>
            </w:pPr>
            <w:r>
              <w:rPr>
                <w:rFonts w:cs="Times New Roman"/>
                <w:b/>
                <w:bCs/>
              </w:rPr>
              <w:t>Sig.</w:t>
            </w:r>
          </w:p>
        </w:tc>
      </w:tr>
      <w:tr w:rsidR="009F33CD" w14:paraId="2217DCC5" w14:textId="77777777" w:rsidTr="001E3129">
        <w:trPr>
          <w:cantSplit/>
          <w:trHeight w:val="258"/>
        </w:trPr>
        <w:tc>
          <w:tcPr>
            <w:tcW w:w="1181" w:type="pct"/>
            <w:gridSpan w:val="2"/>
            <w:vMerge/>
            <w:tcBorders>
              <w:bottom w:val="single" w:sz="4" w:space="0" w:color="auto"/>
            </w:tcBorders>
            <w:vAlign w:val="bottom"/>
          </w:tcPr>
          <w:p w14:paraId="210AD76F" w14:textId="77777777" w:rsidR="009F33CD" w:rsidRDefault="009F33CD">
            <w:pPr>
              <w:spacing w:before="0" w:beforeAutospacing="0" w:after="0" w:afterAutospacing="0" w:line="240" w:lineRule="auto"/>
              <w:rPr>
                <w:rFonts w:cs="Times New Roman"/>
                <w:b/>
                <w:bCs/>
              </w:rPr>
            </w:pPr>
          </w:p>
        </w:tc>
        <w:tc>
          <w:tcPr>
            <w:tcW w:w="585" w:type="pct"/>
            <w:tcBorders>
              <w:top w:val="single" w:sz="4" w:space="0" w:color="auto"/>
              <w:bottom w:val="single" w:sz="4" w:space="0" w:color="auto"/>
            </w:tcBorders>
            <w:vAlign w:val="bottom"/>
          </w:tcPr>
          <w:p w14:paraId="37F780D6" w14:textId="77777777" w:rsidR="009F33CD" w:rsidRDefault="00E40740">
            <w:pPr>
              <w:spacing w:before="0" w:beforeAutospacing="0" w:after="0" w:afterAutospacing="0" w:line="240" w:lineRule="auto"/>
              <w:jc w:val="center"/>
              <w:rPr>
                <w:rFonts w:cs="Times New Roman"/>
                <w:b/>
                <w:bCs/>
              </w:rPr>
            </w:pPr>
            <w:r>
              <w:rPr>
                <w:rFonts w:cs="Times New Roman"/>
                <w:b/>
                <w:bCs/>
              </w:rPr>
              <w:t>B</w:t>
            </w:r>
          </w:p>
        </w:tc>
        <w:tc>
          <w:tcPr>
            <w:tcW w:w="771" w:type="pct"/>
            <w:tcBorders>
              <w:top w:val="single" w:sz="4" w:space="0" w:color="auto"/>
              <w:bottom w:val="single" w:sz="4" w:space="0" w:color="auto"/>
            </w:tcBorders>
            <w:vAlign w:val="bottom"/>
          </w:tcPr>
          <w:p w14:paraId="2D165E78" w14:textId="77777777" w:rsidR="009F33CD" w:rsidRDefault="00E40740">
            <w:pPr>
              <w:spacing w:before="0" w:beforeAutospacing="0" w:after="0" w:afterAutospacing="0" w:line="240" w:lineRule="auto"/>
              <w:rPr>
                <w:rFonts w:cs="Times New Roman"/>
                <w:b/>
                <w:bCs/>
              </w:rPr>
            </w:pPr>
            <w:r>
              <w:rPr>
                <w:rFonts w:cs="Times New Roman"/>
                <w:b/>
                <w:bCs/>
              </w:rPr>
              <w:t>Std. Error</w:t>
            </w:r>
          </w:p>
        </w:tc>
        <w:tc>
          <w:tcPr>
            <w:tcW w:w="1041" w:type="pct"/>
            <w:tcBorders>
              <w:top w:val="single" w:sz="4" w:space="0" w:color="auto"/>
              <w:bottom w:val="single" w:sz="4" w:space="0" w:color="auto"/>
            </w:tcBorders>
            <w:vAlign w:val="bottom"/>
          </w:tcPr>
          <w:p w14:paraId="4E32FB6F" w14:textId="77777777" w:rsidR="009F33CD" w:rsidRDefault="00E40740">
            <w:pPr>
              <w:spacing w:before="0" w:beforeAutospacing="0" w:after="0" w:afterAutospacing="0" w:line="240" w:lineRule="auto"/>
              <w:jc w:val="center"/>
              <w:rPr>
                <w:rFonts w:cs="Times New Roman"/>
                <w:b/>
                <w:bCs/>
              </w:rPr>
            </w:pPr>
            <w:r>
              <w:rPr>
                <w:rFonts w:cs="Times New Roman"/>
                <w:b/>
                <w:bCs/>
              </w:rPr>
              <w:t>Beta</w:t>
            </w:r>
          </w:p>
        </w:tc>
        <w:tc>
          <w:tcPr>
            <w:tcW w:w="860" w:type="pct"/>
            <w:vMerge/>
            <w:tcBorders>
              <w:bottom w:val="single" w:sz="4" w:space="0" w:color="auto"/>
            </w:tcBorders>
            <w:vAlign w:val="bottom"/>
          </w:tcPr>
          <w:p w14:paraId="14E4A300" w14:textId="77777777" w:rsidR="009F33CD" w:rsidRDefault="009F33CD">
            <w:pPr>
              <w:spacing w:before="0" w:beforeAutospacing="0" w:after="0" w:afterAutospacing="0" w:line="240" w:lineRule="auto"/>
              <w:rPr>
                <w:rFonts w:cs="Times New Roman"/>
              </w:rPr>
            </w:pPr>
          </w:p>
        </w:tc>
        <w:tc>
          <w:tcPr>
            <w:tcW w:w="563" w:type="pct"/>
            <w:vMerge/>
            <w:tcBorders>
              <w:bottom w:val="single" w:sz="4" w:space="0" w:color="auto"/>
            </w:tcBorders>
            <w:vAlign w:val="bottom"/>
          </w:tcPr>
          <w:p w14:paraId="224DEA07" w14:textId="77777777" w:rsidR="009F33CD" w:rsidRDefault="009F33CD">
            <w:pPr>
              <w:spacing w:before="0" w:beforeAutospacing="0" w:after="0" w:afterAutospacing="0" w:line="240" w:lineRule="auto"/>
              <w:rPr>
                <w:rFonts w:cs="Times New Roman"/>
              </w:rPr>
            </w:pPr>
          </w:p>
        </w:tc>
      </w:tr>
      <w:tr w:rsidR="009F33CD" w14:paraId="6142C127" w14:textId="77777777">
        <w:trPr>
          <w:cantSplit/>
          <w:trHeight w:val="271"/>
        </w:trPr>
        <w:tc>
          <w:tcPr>
            <w:tcW w:w="452" w:type="pct"/>
            <w:vMerge w:val="restart"/>
            <w:tcBorders>
              <w:top w:val="single" w:sz="4" w:space="0" w:color="auto"/>
            </w:tcBorders>
          </w:tcPr>
          <w:p w14:paraId="087D3D53" w14:textId="77777777" w:rsidR="009F33CD" w:rsidRDefault="00E40740">
            <w:pPr>
              <w:spacing w:before="0" w:beforeAutospacing="0" w:after="0" w:afterAutospacing="0" w:line="240" w:lineRule="auto"/>
              <w:rPr>
                <w:rFonts w:cs="Times New Roman"/>
              </w:rPr>
            </w:pPr>
            <w:r>
              <w:rPr>
                <w:rFonts w:cs="Times New Roman"/>
              </w:rPr>
              <w:t>1</w:t>
            </w:r>
          </w:p>
        </w:tc>
        <w:tc>
          <w:tcPr>
            <w:tcW w:w="728" w:type="pct"/>
            <w:tcBorders>
              <w:top w:val="single" w:sz="4" w:space="0" w:color="auto"/>
            </w:tcBorders>
          </w:tcPr>
          <w:p w14:paraId="47A63EC4" w14:textId="77777777" w:rsidR="009F33CD" w:rsidRDefault="00E40740">
            <w:pPr>
              <w:spacing w:before="0" w:beforeAutospacing="0" w:after="0" w:afterAutospacing="0" w:line="240" w:lineRule="auto"/>
              <w:rPr>
                <w:rFonts w:cs="Times New Roman"/>
              </w:rPr>
            </w:pPr>
            <w:r>
              <w:rPr>
                <w:rFonts w:cs="Times New Roman"/>
              </w:rPr>
              <w:t>(Constant)</w:t>
            </w:r>
          </w:p>
        </w:tc>
        <w:tc>
          <w:tcPr>
            <w:tcW w:w="585" w:type="pct"/>
            <w:tcBorders>
              <w:top w:val="single" w:sz="4" w:space="0" w:color="auto"/>
            </w:tcBorders>
          </w:tcPr>
          <w:p w14:paraId="4FC2C616" w14:textId="77777777" w:rsidR="009F33CD" w:rsidRDefault="00E40740">
            <w:pPr>
              <w:spacing w:before="0" w:beforeAutospacing="0" w:after="0" w:afterAutospacing="0" w:line="240" w:lineRule="auto"/>
              <w:jc w:val="center"/>
              <w:rPr>
                <w:rFonts w:cs="Times New Roman"/>
              </w:rPr>
            </w:pPr>
            <w:r>
              <w:rPr>
                <w:rFonts w:cs="Times New Roman"/>
              </w:rPr>
              <w:t>.541</w:t>
            </w:r>
          </w:p>
        </w:tc>
        <w:tc>
          <w:tcPr>
            <w:tcW w:w="771" w:type="pct"/>
            <w:tcBorders>
              <w:top w:val="single" w:sz="4" w:space="0" w:color="auto"/>
            </w:tcBorders>
          </w:tcPr>
          <w:p w14:paraId="7E360E82" w14:textId="77777777" w:rsidR="009F33CD" w:rsidRDefault="00E40740">
            <w:pPr>
              <w:spacing w:before="0" w:beforeAutospacing="0" w:after="0" w:afterAutospacing="0" w:line="240" w:lineRule="auto"/>
              <w:jc w:val="center"/>
              <w:rPr>
                <w:rFonts w:cs="Times New Roman"/>
              </w:rPr>
            </w:pPr>
            <w:r>
              <w:rPr>
                <w:rFonts w:cs="Times New Roman"/>
              </w:rPr>
              <w:t>.355</w:t>
            </w:r>
          </w:p>
        </w:tc>
        <w:tc>
          <w:tcPr>
            <w:tcW w:w="1041" w:type="pct"/>
            <w:tcBorders>
              <w:top w:val="single" w:sz="4" w:space="0" w:color="auto"/>
            </w:tcBorders>
            <w:vAlign w:val="center"/>
          </w:tcPr>
          <w:p w14:paraId="7AD78D3B" w14:textId="77777777" w:rsidR="009F33CD" w:rsidRDefault="009F33CD">
            <w:pPr>
              <w:spacing w:before="0" w:beforeAutospacing="0" w:after="0" w:afterAutospacing="0" w:line="240" w:lineRule="auto"/>
              <w:jc w:val="center"/>
              <w:rPr>
                <w:rFonts w:cs="Times New Roman"/>
              </w:rPr>
            </w:pPr>
          </w:p>
        </w:tc>
        <w:tc>
          <w:tcPr>
            <w:tcW w:w="860" w:type="pct"/>
            <w:tcBorders>
              <w:top w:val="single" w:sz="4" w:space="0" w:color="auto"/>
            </w:tcBorders>
          </w:tcPr>
          <w:p w14:paraId="3A5201F3" w14:textId="77777777" w:rsidR="009F33CD" w:rsidRDefault="00E40740">
            <w:pPr>
              <w:spacing w:before="0" w:beforeAutospacing="0" w:after="0" w:afterAutospacing="0" w:line="240" w:lineRule="auto"/>
              <w:jc w:val="center"/>
              <w:rPr>
                <w:rFonts w:cs="Times New Roman"/>
              </w:rPr>
            </w:pPr>
            <w:r>
              <w:rPr>
                <w:rFonts w:cs="Times New Roman"/>
              </w:rPr>
              <w:t>2.525</w:t>
            </w:r>
          </w:p>
        </w:tc>
        <w:tc>
          <w:tcPr>
            <w:tcW w:w="563" w:type="pct"/>
            <w:tcBorders>
              <w:top w:val="single" w:sz="4" w:space="0" w:color="auto"/>
            </w:tcBorders>
          </w:tcPr>
          <w:p w14:paraId="7721A84E" w14:textId="77777777" w:rsidR="009F33CD" w:rsidRDefault="00E40740">
            <w:pPr>
              <w:spacing w:before="0" w:beforeAutospacing="0" w:after="0" w:afterAutospacing="0" w:line="240" w:lineRule="auto"/>
              <w:jc w:val="center"/>
              <w:rPr>
                <w:rFonts w:cs="Times New Roman"/>
              </w:rPr>
            </w:pPr>
            <w:r>
              <w:rPr>
                <w:rFonts w:cs="Times New Roman"/>
              </w:rPr>
              <w:t>.003</w:t>
            </w:r>
          </w:p>
        </w:tc>
      </w:tr>
      <w:tr w:rsidR="009F33CD" w14:paraId="4A8F978D" w14:textId="77777777">
        <w:trPr>
          <w:cantSplit/>
          <w:trHeight w:val="236"/>
        </w:trPr>
        <w:tc>
          <w:tcPr>
            <w:tcW w:w="452" w:type="pct"/>
            <w:vMerge/>
            <w:tcBorders>
              <w:bottom w:val="single" w:sz="4" w:space="0" w:color="auto"/>
            </w:tcBorders>
          </w:tcPr>
          <w:p w14:paraId="58F8E915" w14:textId="77777777" w:rsidR="009F33CD" w:rsidRDefault="009F33CD">
            <w:pPr>
              <w:spacing w:before="0" w:beforeAutospacing="0" w:after="0" w:afterAutospacing="0" w:line="240" w:lineRule="auto"/>
              <w:rPr>
                <w:rFonts w:cs="Times New Roman"/>
              </w:rPr>
            </w:pPr>
          </w:p>
        </w:tc>
        <w:tc>
          <w:tcPr>
            <w:tcW w:w="728" w:type="pct"/>
            <w:tcBorders>
              <w:bottom w:val="single" w:sz="4" w:space="0" w:color="auto"/>
            </w:tcBorders>
          </w:tcPr>
          <w:p w14:paraId="6012A464" w14:textId="77777777" w:rsidR="009F33CD" w:rsidRDefault="00E40740">
            <w:pPr>
              <w:spacing w:before="0" w:beforeAutospacing="0" w:after="0" w:afterAutospacing="0" w:line="240" w:lineRule="auto"/>
              <w:rPr>
                <w:rFonts w:cs="Times New Roman"/>
              </w:rPr>
            </w:pPr>
            <w:r>
              <w:rPr>
                <w:rFonts w:cs="Times New Roman"/>
              </w:rPr>
              <w:t>X</w:t>
            </w:r>
            <w:r>
              <w:rPr>
                <w:rFonts w:cs="Times New Roman"/>
                <w:vertAlign w:val="subscript"/>
              </w:rPr>
              <w:t>4</w:t>
            </w:r>
          </w:p>
        </w:tc>
        <w:tc>
          <w:tcPr>
            <w:tcW w:w="585" w:type="pct"/>
            <w:tcBorders>
              <w:bottom w:val="single" w:sz="4" w:space="0" w:color="auto"/>
            </w:tcBorders>
          </w:tcPr>
          <w:p w14:paraId="46398165" w14:textId="77777777" w:rsidR="009F33CD" w:rsidRDefault="00E40740">
            <w:pPr>
              <w:spacing w:before="0" w:beforeAutospacing="0" w:after="0" w:afterAutospacing="0" w:line="240" w:lineRule="auto"/>
              <w:jc w:val="center"/>
              <w:rPr>
                <w:rFonts w:cs="Times New Roman"/>
              </w:rPr>
            </w:pPr>
            <w:r>
              <w:rPr>
                <w:rFonts w:cs="Times New Roman"/>
              </w:rPr>
              <w:t>.767</w:t>
            </w:r>
          </w:p>
        </w:tc>
        <w:tc>
          <w:tcPr>
            <w:tcW w:w="771" w:type="pct"/>
            <w:tcBorders>
              <w:bottom w:val="single" w:sz="4" w:space="0" w:color="auto"/>
            </w:tcBorders>
          </w:tcPr>
          <w:p w14:paraId="2725DD34" w14:textId="77777777" w:rsidR="009F33CD" w:rsidRDefault="00E40740">
            <w:pPr>
              <w:spacing w:before="0" w:beforeAutospacing="0" w:after="0" w:afterAutospacing="0" w:line="240" w:lineRule="auto"/>
              <w:jc w:val="center"/>
              <w:rPr>
                <w:rFonts w:cs="Times New Roman"/>
              </w:rPr>
            </w:pPr>
            <w:r>
              <w:rPr>
                <w:rFonts w:cs="Times New Roman"/>
              </w:rPr>
              <w:t>.108</w:t>
            </w:r>
          </w:p>
        </w:tc>
        <w:tc>
          <w:tcPr>
            <w:tcW w:w="1041" w:type="pct"/>
            <w:tcBorders>
              <w:bottom w:val="single" w:sz="4" w:space="0" w:color="auto"/>
            </w:tcBorders>
          </w:tcPr>
          <w:p w14:paraId="72A3E1BD" w14:textId="77777777" w:rsidR="009F33CD" w:rsidRDefault="00E40740">
            <w:pPr>
              <w:spacing w:before="0" w:beforeAutospacing="0" w:after="0" w:afterAutospacing="0" w:line="240" w:lineRule="auto"/>
              <w:jc w:val="center"/>
              <w:rPr>
                <w:rFonts w:cs="Times New Roman"/>
              </w:rPr>
            </w:pPr>
            <w:r>
              <w:rPr>
                <w:rFonts w:cs="Times New Roman"/>
              </w:rPr>
              <w:t>.605</w:t>
            </w:r>
          </w:p>
        </w:tc>
        <w:tc>
          <w:tcPr>
            <w:tcW w:w="860" w:type="pct"/>
            <w:tcBorders>
              <w:bottom w:val="single" w:sz="4" w:space="0" w:color="auto"/>
            </w:tcBorders>
          </w:tcPr>
          <w:p w14:paraId="1418054D" w14:textId="77777777" w:rsidR="009F33CD" w:rsidRDefault="00E40740">
            <w:pPr>
              <w:spacing w:before="0" w:beforeAutospacing="0" w:after="0" w:afterAutospacing="0" w:line="240" w:lineRule="auto"/>
              <w:jc w:val="center"/>
              <w:rPr>
                <w:rFonts w:cs="Times New Roman"/>
              </w:rPr>
            </w:pPr>
            <w:r>
              <w:rPr>
                <w:rFonts w:cs="Times New Roman"/>
              </w:rPr>
              <w:t>9.180</w:t>
            </w:r>
          </w:p>
        </w:tc>
        <w:tc>
          <w:tcPr>
            <w:tcW w:w="563" w:type="pct"/>
            <w:tcBorders>
              <w:bottom w:val="single" w:sz="4" w:space="0" w:color="auto"/>
            </w:tcBorders>
          </w:tcPr>
          <w:p w14:paraId="78901557" w14:textId="77777777" w:rsidR="009F33CD" w:rsidRDefault="00E40740">
            <w:pPr>
              <w:spacing w:before="0" w:beforeAutospacing="0" w:after="0" w:afterAutospacing="0" w:line="240" w:lineRule="auto"/>
              <w:jc w:val="center"/>
              <w:rPr>
                <w:rFonts w:cs="Times New Roman"/>
              </w:rPr>
            </w:pPr>
            <w:r>
              <w:rPr>
                <w:rFonts w:cs="Times New Roman"/>
              </w:rPr>
              <w:t>.000</w:t>
            </w:r>
          </w:p>
        </w:tc>
      </w:tr>
      <w:tr w:rsidR="009F33CD" w14:paraId="3882EE3E" w14:textId="77777777">
        <w:trPr>
          <w:cantSplit/>
          <w:trHeight w:val="236"/>
        </w:trPr>
        <w:tc>
          <w:tcPr>
            <w:tcW w:w="5000" w:type="pct"/>
            <w:gridSpan w:val="7"/>
            <w:tcBorders>
              <w:top w:val="single" w:sz="4" w:space="0" w:color="auto"/>
            </w:tcBorders>
          </w:tcPr>
          <w:p w14:paraId="01B5DA43" w14:textId="77777777" w:rsidR="009F33CD" w:rsidRDefault="00E40740">
            <w:pPr>
              <w:spacing w:after="240" w:line="240" w:lineRule="auto"/>
              <w:rPr>
                <w:rFonts w:cs="Times New Roman"/>
              </w:rPr>
            </w:pPr>
            <w:r>
              <w:rPr>
                <w:rFonts w:cs="Times New Roman"/>
              </w:rPr>
              <w:t>a. Dependent Variable: performance of devolved healthcare services in Kenya</w:t>
            </w:r>
          </w:p>
        </w:tc>
      </w:tr>
    </w:tbl>
    <w:p w14:paraId="11FA9952" w14:textId="77777777" w:rsidR="009F33CD" w:rsidRDefault="00E40740">
      <w:pPr>
        <w:spacing w:after="240"/>
        <w:rPr>
          <w:rFonts w:cs="Times New Roman"/>
        </w:rPr>
      </w:pPr>
      <w:r>
        <w:rPr>
          <w:rFonts w:cs="Times New Roman"/>
        </w:rPr>
        <w:t>From the regression coef</w:t>
      </w:r>
      <w:r w:rsidR="009427A3">
        <w:rPr>
          <w:rFonts w:cs="Times New Roman"/>
        </w:rPr>
        <w:t>ficients, as shown in Table 4.38</w:t>
      </w:r>
      <w:r>
        <w:rPr>
          <w:rFonts w:cs="Times New Roman"/>
        </w:rPr>
        <w:t xml:space="preserve">, the </w:t>
      </w:r>
      <w:bookmarkStart w:id="1497" w:name="_Hlk185245653"/>
      <w:r>
        <w:rPr>
          <w:rFonts w:cs="Times New Roman"/>
        </w:rPr>
        <w:t xml:space="preserve">findings revealed that green performance evaluation has a statistically significant effect on the performance of devolved healthcare services </w:t>
      </w:r>
      <w:bookmarkEnd w:id="1497"/>
      <w:r>
        <w:rPr>
          <w:rFonts w:cs="Times New Roman"/>
        </w:rPr>
        <w:t xml:space="preserve">as supported by a beta coefficient of β= 0.767 and a p=0.000&lt;0.05. This result agrees with a study by Nury </w:t>
      </w:r>
      <w:r>
        <w:rPr>
          <w:rFonts w:cs="Times New Roman"/>
          <w:i/>
        </w:rPr>
        <w:t>et al.</w:t>
      </w:r>
      <w:r>
        <w:rPr>
          <w:rFonts w:cs="Times New Roman"/>
        </w:rPr>
        <w:t xml:space="preserve"> (2018) which found that the Green Performance appraisal has a significant effect on organizational performance. Therefore;</w:t>
      </w:r>
    </w:p>
    <w:p w14:paraId="55D88C45" w14:textId="77777777" w:rsidR="009F33CD" w:rsidRDefault="00E40740">
      <w:pPr>
        <w:spacing w:after="240"/>
        <w:jc w:val="right"/>
        <w:rPr>
          <w:rFonts w:cs="Times New Roman"/>
        </w:rPr>
      </w:pPr>
      <w:r>
        <w:rPr>
          <w:rFonts w:cs="Times New Roman"/>
        </w:rPr>
        <w:lastRenderedPageBreak/>
        <w:t>Y=0.541+0.767X</w:t>
      </w:r>
      <w:r>
        <w:rPr>
          <w:rFonts w:cs="Times New Roman"/>
          <w:vertAlign w:val="subscript"/>
        </w:rPr>
        <w:t>4</w:t>
      </w:r>
      <w:r>
        <w:rPr>
          <w:rFonts w:cs="Times New Roman"/>
        </w:rPr>
        <w:t>………………………………………………………… (eq. 4).</w:t>
      </w:r>
    </w:p>
    <w:p w14:paraId="6F8A16B8" w14:textId="77777777" w:rsidR="009F33CD" w:rsidRDefault="00E40740">
      <w:pPr>
        <w:spacing w:after="240"/>
        <w:rPr>
          <w:rFonts w:cs="Times New Roman"/>
        </w:rPr>
      </w:pPr>
      <w:r>
        <w:rPr>
          <w:rFonts w:cs="Times New Roman"/>
        </w:rPr>
        <w:t xml:space="preserve">The results imply that a unit increase in green performance evaluation and other factors held constant will increase the performance of devolved healthcare services in Kenya by 0.767 units. Further in support of the findings, t </w:t>
      </w:r>
      <w:r>
        <w:rPr>
          <w:rFonts w:cs="Times New Roman"/>
          <w:vertAlign w:val="subscript"/>
        </w:rPr>
        <w:t>cal</w:t>
      </w:r>
      <w:r>
        <w:rPr>
          <w:rFonts w:cs="Times New Roman"/>
        </w:rPr>
        <w:t xml:space="preserve">= 9.180&gt; </w:t>
      </w:r>
      <w:bookmarkStart w:id="1498" w:name="_Hlk187860752"/>
      <w:r>
        <w:rPr>
          <w:rFonts w:cs="Times New Roman"/>
        </w:rPr>
        <w:t xml:space="preserve">t </w:t>
      </w:r>
      <w:r>
        <w:rPr>
          <w:rFonts w:cs="Times New Roman"/>
          <w:vertAlign w:val="subscript"/>
        </w:rPr>
        <w:t>critical</w:t>
      </w:r>
      <w:r>
        <w:rPr>
          <w:rFonts w:cs="Times New Roman"/>
        </w:rPr>
        <w:t xml:space="preserve"> =1.96 at a 95 percent confidence level </w:t>
      </w:r>
      <w:bookmarkEnd w:id="1498"/>
      <w:r>
        <w:rPr>
          <w:rFonts w:cs="Times New Roman"/>
        </w:rPr>
        <w:t>the null hypothesis (H</w:t>
      </w:r>
      <w:r>
        <w:rPr>
          <w:rFonts w:cs="Times New Roman"/>
          <w:vertAlign w:val="subscript"/>
        </w:rPr>
        <w:t>o4</w:t>
      </w:r>
      <w:r>
        <w:rPr>
          <w:rFonts w:cs="Times New Roman"/>
        </w:rPr>
        <w:t>) was rejected and the alternative hypothesis was accepted.</w:t>
      </w:r>
    </w:p>
    <w:p w14:paraId="1F968104" w14:textId="77777777" w:rsidR="009F33CD" w:rsidRDefault="00E40740">
      <w:pPr>
        <w:spacing w:after="240"/>
        <w:rPr>
          <w:rFonts w:cs="Times New Roman"/>
        </w:rPr>
      </w:pPr>
      <w:r>
        <w:rPr>
          <w:rFonts w:cs="Times New Roman"/>
        </w:rPr>
        <w:t xml:space="preserve">Analysis of Variance (ANOVA) was conducted to test the study hypothesis and thus establish whether the model was a significant fit for the data. From Table 4.38 testing the study hypothesis, the study compared means using one-way ANOVA and found significant differences in the means of different study variables; hence GPE revealed a significant effect on the performance of devolved healthcare services F {(26, 91) = </w:t>
      </w:r>
      <w:r>
        <w:rPr>
          <w:rFonts w:cs="Times New Roman"/>
          <w:bCs/>
        </w:rPr>
        <w:t>5.771</w:t>
      </w:r>
      <w:r>
        <w:rPr>
          <w:rFonts w:cs="Times New Roman"/>
        </w:rPr>
        <w:t>, p = 0.000}.</w:t>
      </w:r>
    </w:p>
    <w:p w14:paraId="6BE026C8" w14:textId="77777777" w:rsidR="009F33CD" w:rsidRDefault="009427A3">
      <w:pPr>
        <w:pStyle w:val="Heading6"/>
      </w:pPr>
      <w:bookmarkStart w:id="1499" w:name="_Toc187080909"/>
      <w:bookmarkStart w:id="1500" w:name="_Toc185614137"/>
      <w:bookmarkStart w:id="1501" w:name="_Toc224237468"/>
      <w:r>
        <w:t>Table 4.39</w:t>
      </w:r>
      <w:r w:rsidR="00E40740">
        <w:t>: One Way ANOVA for Green Performance Evaluation</w:t>
      </w:r>
      <w:bookmarkEnd w:id="1499"/>
      <w:bookmarkEnd w:id="1500"/>
      <w:bookmarkEnd w:id="1501"/>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10"/>
        <w:gridCol w:w="1866"/>
        <w:gridCol w:w="1780"/>
        <w:gridCol w:w="763"/>
        <w:gridCol w:w="1440"/>
        <w:gridCol w:w="1134"/>
        <w:gridCol w:w="727"/>
      </w:tblGrid>
      <w:tr w:rsidR="009F33CD" w14:paraId="24B1B129" w14:textId="77777777">
        <w:trPr>
          <w:cantSplit/>
          <w:trHeight w:val="45"/>
        </w:trPr>
        <w:tc>
          <w:tcPr>
            <w:tcW w:w="1445" w:type="pct"/>
            <w:gridSpan w:val="2"/>
            <w:tcBorders>
              <w:top w:val="single" w:sz="4" w:space="0" w:color="auto"/>
              <w:bottom w:val="single" w:sz="4" w:space="0" w:color="auto"/>
            </w:tcBorders>
            <w:vAlign w:val="bottom"/>
          </w:tcPr>
          <w:p w14:paraId="113CA691" w14:textId="77777777" w:rsidR="009F33CD" w:rsidRDefault="009F33CD">
            <w:pPr>
              <w:spacing w:before="0" w:beforeAutospacing="0" w:after="0" w:afterAutospacing="0" w:line="240" w:lineRule="auto"/>
              <w:rPr>
                <w:rFonts w:cs="Times New Roman"/>
                <w:b/>
              </w:rPr>
            </w:pPr>
          </w:p>
        </w:tc>
        <w:tc>
          <w:tcPr>
            <w:tcW w:w="1083" w:type="pct"/>
            <w:tcBorders>
              <w:top w:val="single" w:sz="4" w:space="0" w:color="auto"/>
              <w:bottom w:val="single" w:sz="4" w:space="0" w:color="auto"/>
            </w:tcBorders>
            <w:vAlign w:val="bottom"/>
          </w:tcPr>
          <w:p w14:paraId="5ECECF55" w14:textId="77777777" w:rsidR="009F33CD" w:rsidRDefault="00E40740">
            <w:pPr>
              <w:spacing w:before="0" w:beforeAutospacing="0" w:after="0" w:afterAutospacing="0" w:line="240" w:lineRule="auto"/>
              <w:jc w:val="center"/>
              <w:rPr>
                <w:rFonts w:cs="Times New Roman"/>
                <w:b/>
              </w:rPr>
            </w:pPr>
            <w:r>
              <w:rPr>
                <w:rFonts w:cs="Times New Roman"/>
                <w:b/>
              </w:rPr>
              <w:t>Sum of Squares</w:t>
            </w:r>
          </w:p>
        </w:tc>
        <w:tc>
          <w:tcPr>
            <w:tcW w:w="464" w:type="pct"/>
            <w:tcBorders>
              <w:top w:val="single" w:sz="4" w:space="0" w:color="auto"/>
              <w:bottom w:val="single" w:sz="4" w:space="0" w:color="auto"/>
            </w:tcBorders>
            <w:vAlign w:val="bottom"/>
          </w:tcPr>
          <w:p w14:paraId="3EF4D4BC" w14:textId="77777777" w:rsidR="009F33CD" w:rsidRDefault="00E40740">
            <w:pPr>
              <w:spacing w:before="0" w:beforeAutospacing="0" w:after="0" w:afterAutospacing="0" w:line="240" w:lineRule="auto"/>
              <w:jc w:val="center"/>
              <w:rPr>
                <w:rFonts w:cs="Times New Roman"/>
                <w:b/>
              </w:rPr>
            </w:pPr>
            <w:r>
              <w:rPr>
                <w:rFonts w:cs="Times New Roman"/>
                <w:b/>
              </w:rPr>
              <w:t>Df</w:t>
            </w:r>
          </w:p>
        </w:tc>
        <w:tc>
          <w:tcPr>
            <w:tcW w:w="876" w:type="pct"/>
            <w:tcBorders>
              <w:top w:val="single" w:sz="4" w:space="0" w:color="auto"/>
              <w:bottom w:val="single" w:sz="4" w:space="0" w:color="auto"/>
            </w:tcBorders>
            <w:vAlign w:val="bottom"/>
          </w:tcPr>
          <w:p w14:paraId="5191F681" w14:textId="77777777" w:rsidR="009F33CD" w:rsidRDefault="00E40740">
            <w:pPr>
              <w:spacing w:before="0" w:beforeAutospacing="0" w:after="0" w:afterAutospacing="0" w:line="240" w:lineRule="auto"/>
              <w:jc w:val="center"/>
              <w:rPr>
                <w:rFonts w:cs="Times New Roman"/>
                <w:b/>
              </w:rPr>
            </w:pPr>
            <w:r>
              <w:rPr>
                <w:rFonts w:cs="Times New Roman"/>
                <w:b/>
              </w:rPr>
              <w:t>Mean Square</w:t>
            </w:r>
          </w:p>
        </w:tc>
        <w:tc>
          <w:tcPr>
            <w:tcW w:w="690" w:type="pct"/>
            <w:tcBorders>
              <w:top w:val="single" w:sz="4" w:space="0" w:color="auto"/>
              <w:bottom w:val="single" w:sz="4" w:space="0" w:color="auto"/>
            </w:tcBorders>
            <w:vAlign w:val="bottom"/>
          </w:tcPr>
          <w:p w14:paraId="67AA9445" w14:textId="77777777" w:rsidR="009F33CD" w:rsidRDefault="00E40740">
            <w:pPr>
              <w:spacing w:before="0" w:beforeAutospacing="0" w:after="0" w:afterAutospacing="0" w:line="240" w:lineRule="auto"/>
              <w:jc w:val="center"/>
              <w:rPr>
                <w:rFonts w:cs="Times New Roman"/>
                <w:b/>
              </w:rPr>
            </w:pPr>
            <w:r>
              <w:rPr>
                <w:rFonts w:cs="Times New Roman"/>
                <w:b/>
              </w:rPr>
              <w:t>F</w:t>
            </w:r>
          </w:p>
        </w:tc>
        <w:tc>
          <w:tcPr>
            <w:tcW w:w="442" w:type="pct"/>
            <w:tcBorders>
              <w:top w:val="single" w:sz="4" w:space="0" w:color="auto"/>
              <w:bottom w:val="single" w:sz="4" w:space="0" w:color="auto"/>
            </w:tcBorders>
            <w:vAlign w:val="bottom"/>
          </w:tcPr>
          <w:p w14:paraId="1606FA01" w14:textId="77777777" w:rsidR="009F33CD" w:rsidRDefault="00E40740">
            <w:pPr>
              <w:spacing w:before="0" w:beforeAutospacing="0" w:after="0" w:afterAutospacing="0" w:line="240" w:lineRule="auto"/>
              <w:jc w:val="center"/>
              <w:rPr>
                <w:rFonts w:cs="Times New Roman"/>
                <w:b/>
              </w:rPr>
            </w:pPr>
            <w:r>
              <w:rPr>
                <w:rFonts w:cs="Times New Roman"/>
                <w:b/>
              </w:rPr>
              <w:t>Sig.</w:t>
            </w:r>
          </w:p>
        </w:tc>
      </w:tr>
      <w:tr w:rsidR="009F33CD" w14:paraId="68270494" w14:textId="77777777">
        <w:trPr>
          <w:cantSplit/>
          <w:trHeight w:val="224"/>
        </w:trPr>
        <w:tc>
          <w:tcPr>
            <w:tcW w:w="310" w:type="pct"/>
            <w:vMerge w:val="restart"/>
          </w:tcPr>
          <w:p w14:paraId="4FE63F98" w14:textId="77777777" w:rsidR="009F33CD" w:rsidRDefault="00E40740">
            <w:pPr>
              <w:spacing w:before="0" w:beforeAutospacing="0" w:after="0" w:afterAutospacing="0" w:line="240" w:lineRule="auto"/>
              <w:rPr>
                <w:rFonts w:cs="Times New Roman"/>
                <w:bCs/>
              </w:rPr>
            </w:pPr>
            <w:r>
              <w:rPr>
                <w:rFonts w:cs="Times New Roman"/>
                <w:bCs/>
              </w:rPr>
              <w:t>X</w:t>
            </w:r>
            <w:r>
              <w:rPr>
                <w:rFonts w:cs="Times New Roman"/>
                <w:bCs/>
                <w:vertAlign w:val="subscript"/>
              </w:rPr>
              <w:t>4</w:t>
            </w:r>
          </w:p>
        </w:tc>
        <w:tc>
          <w:tcPr>
            <w:tcW w:w="1135" w:type="pct"/>
          </w:tcPr>
          <w:p w14:paraId="4F2291EB" w14:textId="77777777" w:rsidR="009F33CD" w:rsidRDefault="00E40740">
            <w:pPr>
              <w:spacing w:before="0" w:beforeAutospacing="0" w:after="0" w:afterAutospacing="0" w:line="240" w:lineRule="auto"/>
              <w:rPr>
                <w:rFonts w:cs="Times New Roman"/>
                <w:bCs/>
              </w:rPr>
            </w:pPr>
            <w:r>
              <w:rPr>
                <w:rFonts w:cs="Times New Roman"/>
                <w:bCs/>
              </w:rPr>
              <w:t>Between Groups</w:t>
            </w:r>
          </w:p>
        </w:tc>
        <w:tc>
          <w:tcPr>
            <w:tcW w:w="1083" w:type="pct"/>
          </w:tcPr>
          <w:p w14:paraId="7C44CD31" w14:textId="77777777" w:rsidR="009F33CD" w:rsidRDefault="00E40740">
            <w:pPr>
              <w:spacing w:before="0" w:beforeAutospacing="0" w:after="0" w:afterAutospacing="0" w:line="240" w:lineRule="auto"/>
              <w:jc w:val="center"/>
              <w:rPr>
                <w:rFonts w:cs="Times New Roman"/>
                <w:bCs/>
              </w:rPr>
            </w:pPr>
            <w:r>
              <w:rPr>
                <w:rFonts w:cs="Times New Roman"/>
                <w:bCs/>
              </w:rPr>
              <w:t>31.011</w:t>
            </w:r>
          </w:p>
        </w:tc>
        <w:tc>
          <w:tcPr>
            <w:tcW w:w="464" w:type="pct"/>
          </w:tcPr>
          <w:p w14:paraId="7680D56C" w14:textId="77777777" w:rsidR="009F33CD" w:rsidRDefault="00E40740">
            <w:pPr>
              <w:spacing w:before="0" w:beforeAutospacing="0" w:after="0" w:afterAutospacing="0" w:line="240" w:lineRule="auto"/>
              <w:jc w:val="center"/>
              <w:rPr>
                <w:rFonts w:cs="Times New Roman"/>
                <w:bCs/>
              </w:rPr>
            </w:pPr>
            <w:r>
              <w:rPr>
                <w:rFonts w:cs="Times New Roman"/>
                <w:bCs/>
              </w:rPr>
              <w:t>26</w:t>
            </w:r>
          </w:p>
        </w:tc>
        <w:tc>
          <w:tcPr>
            <w:tcW w:w="876" w:type="pct"/>
          </w:tcPr>
          <w:p w14:paraId="47887D8E" w14:textId="77777777" w:rsidR="009F33CD" w:rsidRDefault="00E40740">
            <w:pPr>
              <w:spacing w:before="0" w:beforeAutospacing="0" w:after="0" w:afterAutospacing="0" w:line="240" w:lineRule="auto"/>
              <w:jc w:val="center"/>
              <w:rPr>
                <w:rFonts w:cs="Times New Roman"/>
                <w:bCs/>
              </w:rPr>
            </w:pPr>
            <w:r>
              <w:rPr>
                <w:rFonts w:cs="Times New Roman"/>
                <w:bCs/>
              </w:rPr>
              <w:t>1.193</w:t>
            </w:r>
          </w:p>
        </w:tc>
        <w:tc>
          <w:tcPr>
            <w:tcW w:w="690" w:type="pct"/>
          </w:tcPr>
          <w:p w14:paraId="5A458B06" w14:textId="77777777" w:rsidR="009F33CD" w:rsidRDefault="00E40740">
            <w:pPr>
              <w:spacing w:before="0" w:beforeAutospacing="0" w:after="0" w:afterAutospacing="0" w:line="240" w:lineRule="auto"/>
              <w:jc w:val="center"/>
              <w:rPr>
                <w:rFonts w:cs="Times New Roman"/>
                <w:bCs/>
              </w:rPr>
            </w:pPr>
            <w:r>
              <w:rPr>
                <w:rFonts w:cs="Times New Roman"/>
                <w:bCs/>
              </w:rPr>
              <w:t>5.771</w:t>
            </w:r>
          </w:p>
        </w:tc>
        <w:tc>
          <w:tcPr>
            <w:tcW w:w="442" w:type="pct"/>
          </w:tcPr>
          <w:p w14:paraId="38F3483C" w14:textId="77777777" w:rsidR="009F33CD" w:rsidRDefault="00E40740">
            <w:pPr>
              <w:spacing w:before="0" w:beforeAutospacing="0" w:after="0" w:afterAutospacing="0" w:line="240" w:lineRule="auto"/>
              <w:jc w:val="center"/>
              <w:rPr>
                <w:rFonts w:cs="Times New Roman"/>
                <w:bCs/>
              </w:rPr>
            </w:pPr>
            <w:r>
              <w:rPr>
                <w:rFonts w:cs="Times New Roman"/>
                <w:bCs/>
              </w:rPr>
              <w:t>.000</w:t>
            </w:r>
          </w:p>
        </w:tc>
      </w:tr>
      <w:tr w:rsidR="009F33CD" w14:paraId="3AE150BE" w14:textId="77777777">
        <w:trPr>
          <w:cantSplit/>
          <w:trHeight w:val="303"/>
        </w:trPr>
        <w:tc>
          <w:tcPr>
            <w:tcW w:w="310" w:type="pct"/>
            <w:vMerge/>
            <w:tcBorders>
              <w:bottom w:val="single" w:sz="4" w:space="0" w:color="auto"/>
            </w:tcBorders>
          </w:tcPr>
          <w:p w14:paraId="3BE7995A" w14:textId="77777777" w:rsidR="009F33CD" w:rsidRDefault="009F33CD">
            <w:pPr>
              <w:spacing w:before="0" w:beforeAutospacing="0" w:after="0" w:afterAutospacing="0" w:line="240" w:lineRule="auto"/>
              <w:rPr>
                <w:rFonts w:cs="Times New Roman"/>
                <w:bCs/>
              </w:rPr>
            </w:pPr>
          </w:p>
        </w:tc>
        <w:tc>
          <w:tcPr>
            <w:tcW w:w="1135" w:type="pct"/>
            <w:tcBorders>
              <w:bottom w:val="single" w:sz="4" w:space="0" w:color="auto"/>
            </w:tcBorders>
          </w:tcPr>
          <w:p w14:paraId="3EF2E7A3" w14:textId="77777777" w:rsidR="009F33CD" w:rsidRDefault="00E40740">
            <w:pPr>
              <w:spacing w:before="0" w:beforeAutospacing="0" w:after="0" w:afterAutospacing="0" w:line="240" w:lineRule="auto"/>
              <w:rPr>
                <w:rFonts w:cs="Times New Roman"/>
                <w:bCs/>
              </w:rPr>
            </w:pPr>
            <w:r>
              <w:rPr>
                <w:rFonts w:cs="Times New Roman"/>
                <w:bCs/>
              </w:rPr>
              <w:t>Within Groups</w:t>
            </w:r>
          </w:p>
        </w:tc>
        <w:tc>
          <w:tcPr>
            <w:tcW w:w="1083" w:type="pct"/>
            <w:tcBorders>
              <w:bottom w:val="single" w:sz="4" w:space="0" w:color="auto"/>
            </w:tcBorders>
          </w:tcPr>
          <w:p w14:paraId="07AD3F2C" w14:textId="77777777" w:rsidR="009F33CD" w:rsidRDefault="00E40740">
            <w:pPr>
              <w:spacing w:before="0" w:beforeAutospacing="0" w:after="0" w:afterAutospacing="0" w:line="240" w:lineRule="auto"/>
              <w:jc w:val="center"/>
              <w:rPr>
                <w:rFonts w:cs="Times New Roman"/>
                <w:bCs/>
              </w:rPr>
            </w:pPr>
            <w:r>
              <w:rPr>
                <w:rFonts w:cs="Times New Roman"/>
                <w:bCs/>
              </w:rPr>
              <w:t>18.809</w:t>
            </w:r>
          </w:p>
        </w:tc>
        <w:tc>
          <w:tcPr>
            <w:tcW w:w="464" w:type="pct"/>
            <w:tcBorders>
              <w:bottom w:val="single" w:sz="4" w:space="0" w:color="auto"/>
            </w:tcBorders>
          </w:tcPr>
          <w:p w14:paraId="1C5D1E21" w14:textId="77777777" w:rsidR="009F33CD" w:rsidRDefault="00E40740">
            <w:pPr>
              <w:spacing w:before="0" w:beforeAutospacing="0" w:after="0" w:afterAutospacing="0" w:line="240" w:lineRule="auto"/>
              <w:jc w:val="center"/>
              <w:rPr>
                <w:rFonts w:cs="Times New Roman"/>
                <w:bCs/>
              </w:rPr>
            </w:pPr>
            <w:r>
              <w:rPr>
                <w:rFonts w:cs="Times New Roman"/>
                <w:bCs/>
              </w:rPr>
              <w:t>91</w:t>
            </w:r>
          </w:p>
        </w:tc>
        <w:tc>
          <w:tcPr>
            <w:tcW w:w="876" w:type="pct"/>
            <w:tcBorders>
              <w:bottom w:val="single" w:sz="4" w:space="0" w:color="auto"/>
            </w:tcBorders>
          </w:tcPr>
          <w:p w14:paraId="3B5992BC" w14:textId="77777777" w:rsidR="009F33CD" w:rsidRDefault="00E40740">
            <w:pPr>
              <w:spacing w:before="0" w:beforeAutospacing="0" w:after="0" w:afterAutospacing="0" w:line="240" w:lineRule="auto"/>
              <w:jc w:val="center"/>
              <w:rPr>
                <w:rFonts w:cs="Times New Roman"/>
                <w:bCs/>
              </w:rPr>
            </w:pPr>
            <w:r>
              <w:rPr>
                <w:rFonts w:cs="Times New Roman"/>
                <w:bCs/>
              </w:rPr>
              <w:t>.207</w:t>
            </w:r>
          </w:p>
        </w:tc>
        <w:tc>
          <w:tcPr>
            <w:tcW w:w="690" w:type="pct"/>
            <w:tcBorders>
              <w:bottom w:val="single" w:sz="4" w:space="0" w:color="auto"/>
            </w:tcBorders>
            <w:vAlign w:val="center"/>
          </w:tcPr>
          <w:p w14:paraId="765EF95B" w14:textId="77777777" w:rsidR="009F33CD" w:rsidRDefault="009F33CD">
            <w:pPr>
              <w:spacing w:before="0" w:beforeAutospacing="0" w:after="0" w:afterAutospacing="0" w:line="240" w:lineRule="auto"/>
              <w:jc w:val="center"/>
              <w:rPr>
                <w:rFonts w:cs="Times New Roman"/>
                <w:bCs/>
              </w:rPr>
            </w:pPr>
          </w:p>
        </w:tc>
        <w:tc>
          <w:tcPr>
            <w:tcW w:w="442" w:type="pct"/>
            <w:tcBorders>
              <w:bottom w:val="single" w:sz="4" w:space="0" w:color="auto"/>
            </w:tcBorders>
            <w:vAlign w:val="center"/>
          </w:tcPr>
          <w:p w14:paraId="349107B4" w14:textId="77777777" w:rsidR="009F33CD" w:rsidRDefault="009F33CD">
            <w:pPr>
              <w:spacing w:before="0" w:beforeAutospacing="0" w:after="0" w:afterAutospacing="0" w:line="240" w:lineRule="auto"/>
              <w:jc w:val="center"/>
              <w:rPr>
                <w:rFonts w:cs="Times New Roman"/>
                <w:bCs/>
              </w:rPr>
            </w:pPr>
          </w:p>
        </w:tc>
      </w:tr>
      <w:tr w:rsidR="009F33CD" w14:paraId="5EDBA3E1" w14:textId="77777777">
        <w:trPr>
          <w:cantSplit/>
          <w:trHeight w:val="45"/>
        </w:trPr>
        <w:tc>
          <w:tcPr>
            <w:tcW w:w="5000" w:type="pct"/>
            <w:gridSpan w:val="7"/>
            <w:tcBorders>
              <w:top w:val="single" w:sz="4" w:space="0" w:color="auto"/>
              <w:bottom w:val="nil"/>
            </w:tcBorders>
          </w:tcPr>
          <w:p w14:paraId="70E36662" w14:textId="77777777" w:rsidR="009F33CD" w:rsidRDefault="00E40740">
            <w:pPr>
              <w:spacing w:line="240" w:lineRule="auto"/>
              <w:rPr>
                <w:rFonts w:cs="Times New Roman"/>
                <w:bCs/>
              </w:rPr>
            </w:pPr>
            <w:r>
              <w:rPr>
                <w:rFonts w:cs="Times New Roman"/>
              </w:rPr>
              <w:t>X</w:t>
            </w:r>
            <w:r>
              <w:rPr>
                <w:rFonts w:cs="Times New Roman"/>
                <w:vertAlign w:val="subscript"/>
              </w:rPr>
              <w:t xml:space="preserve">4 </w:t>
            </w:r>
            <w:r>
              <w:rPr>
                <w:rFonts w:cs="Times New Roman"/>
              </w:rPr>
              <w:t>= Green Performance Evaluation</w:t>
            </w:r>
          </w:p>
        </w:tc>
      </w:tr>
    </w:tbl>
    <w:p w14:paraId="2B2AC655" w14:textId="77777777" w:rsidR="009F33CD" w:rsidRDefault="00E40740">
      <w:pPr>
        <w:spacing w:after="240"/>
        <w:rPr>
          <w:rFonts w:cs="Times New Roman"/>
        </w:rPr>
      </w:pPr>
      <w:r>
        <w:rPr>
          <w:rFonts w:cs="Times New Roman"/>
        </w:rPr>
        <w:t>The study found that green performance evaluation had a P-value (P=0.000) which was less than 0.05 l</w:t>
      </w:r>
      <w:r w:rsidR="009427A3">
        <w:rPr>
          <w:rFonts w:cs="Times New Roman"/>
        </w:rPr>
        <w:t>evel of significance (Table 4.39</w:t>
      </w:r>
      <w:r>
        <w:rPr>
          <w:rFonts w:cs="Times New Roman"/>
        </w:rPr>
        <w:t>). This implies that GPE practice significantly influenced the performance of devolved healthcare services in Kenya. The null hypothesis (H</w:t>
      </w:r>
      <w:r>
        <w:rPr>
          <w:rFonts w:cs="Times New Roman"/>
          <w:vertAlign w:val="subscript"/>
        </w:rPr>
        <w:t>o4</w:t>
      </w:r>
      <w:r>
        <w:rPr>
          <w:rFonts w:cs="Times New Roman"/>
        </w:rPr>
        <w:t>) was; therefore, rejected and the alternative hypothesis was accepted:</w:t>
      </w:r>
    </w:p>
    <w:p w14:paraId="23076B52" w14:textId="77777777" w:rsidR="009F33CD" w:rsidRDefault="00E40740">
      <w:pPr>
        <w:spacing w:after="240"/>
      </w:pPr>
      <w:r>
        <w:rPr>
          <w:rFonts w:cs="Times New Roman"/>
        </w:rPr>
        <w:t xml:space="preserve">Thus; </w:t>
      </w:r>
      <w:r>
        <w:rPr>
          <w:rFonts w:cs="Times New Roman"/>
          <w:b/>
        </w:rPr>
        <w:t>H</w:t>
      </w:r>
      <w:r>
        <w:rPr>
          <w:rFonts w:cs="Times New Roman"/>
          <w:b/>
          <w:vertAlign w:val="subscript"/>
        </w:rPr>
        <w:t>4</w:t>
      </w:r>
      <w:r>
        <w:rPr>
          <w:rFonts w:cs="Times New Roman"/>
          <w:b/>
        </w:rPr>
        <w:t>:</w:t>
      </w:r>
      <w:r>
        <w:rPr>
          <w:rFonts w:cs="Times New Roman"/>
        </w:rPr>
        <w:t xml:space="preserve"> </w:t>
      </w:r>
      <w:r>
        <w:t>Green performance evaluation has a significant effect on the performance of devolved healthcare services in Kenya.</w:t>
      </w:r>
    </w:p>
    <w:p w14:paraId="6EACE45B" w14:textId="77777777" w:rsidR="009F33CD" w:rsidRDefault="00E40740">
      <w:pPr>
        <w:pStyle w:val="Heading2"/>
        <w:rPr>
          <w:lang w:val="en-GB"/>
        </w:rPr>
      </w:pPr>
      <w:bookmarkStart w:id="1502" w:name="_Toc224237753"/>
      <w:r>
        <w:rPr>
          <w:lang w:val="en-GB"/>
        </w:rPr>
        <w:t>4.10 Multiple Regression Analysis Findings without the Moderating Variable</w:t>
      </w:r>
      <w:bookmarkEnd w:id="1502"/>
    </w:p>
    <w:p w14:paraId="79C16068" w14:textId="77777777" w:rsidR="009F33CD" w:rsidRDefault="00E40740">
      <w:pPr>
        <w:spacing w:after="240"/>
        <w:rPr>
          <w:rFonts w:cs="Times New Roman"/>
        </w:rPr>
      </w:pPr>
      <w:r>
        <w:rPr>
          <w:rFonts w:cs="Times New Roman"/>
        </w:rPr>
        <w:t xml:space="preserve">According to Creswell and Clark (2018), the multiple regression model is a statistical approach for determining the relationship between certain independent variables and dependent variables. </w:t>
      </w:r>
      <w:bookmarkStart w:id="1503" w:name="_Hlk185588515"/>
      <w:r>
        <w:rPr>
          <w:rFonts w:cs="Times New Roman"/>
        </w:rPr>
        <w:t xml:space="preserve">In the realm of cutting-edge academic research or market-driven </w:t>
      </w:r>
      <w:r>
        <w:rPr>
          <w:rFonts w:cs="Times New Roman"/>
        </w:rPr>
        <w:lastRenderedPageBreak/>
        <w:t>studies, R</w:t>
      </w:r>
      <w:r>
        <w:rPr>
          <w:rFonts w:cs="Times New Roman"/>
          <w:vertAlign w:val="superscript"/>
        </w:rPr>
        <w:t>2</w:t>
      </w:r>
      <w:r>
        <w:rPr>
          <w:rFonts w:cs="Times New Roman"/>
        </w:rPr>
        <w:t xml:space="preserve"> values for endogenous latent variables can be interpreted as follows: 0.75 is considered strong, 0.50 is seen as moderate, and 0.25 is viewed as weak (Chicco, Warrens, &amp; Jurman, 2021). A multiple regression analysis was carried out to investigate the overall (joint) effect of GHRM practices on the performance of devolved healthcare services. The study's main objective was to test hypotheses about how the independent variables jointly would affect the dependent variable (performance of devolved healthcare services in Kenya)</w:t>
      </w:r>
      <w:bookmarkEnd w:id="1503"/>
      <w:r>
        <w:rPr>
          <w:rFonts w:cs="Times New Roman"/>
        </w:rPr>
        <w:t xml:space="preserve">. </w:t>
      </w:r>
    </w:p>
    <w:p w14:paraId="0A9C5E9C" w14:textId="77777777" w:rsidR="009F33CD" w:rsidRDefault="00E40740">
      <w:pPr>
        <w:spacing w:after="240"/>
        <w:rPr>
          <w:rFonts w:cs="Times New Roman"/>
        </w:rPr>
      </w:pPr>
      <w:r>
        <w:rPr>
          <w:rFonts w:cs="Times New Roman"/>
        </w:rPr>
        <w:t>Thus, the model;</w:t>
      </w:r>
      <w:bookmarkStart w:id="1504" w:name="_Hlk174351587"/>
      <w:r>
        <w:rPr>
          <w:rFonts w:cs="Times New Roman"/>
        </w:rPr>
        <w:t xml:space="preserve"> Y = β</w:t>
      </w:r>
      <w:r>
        <w:rPr>
          <w:rFonts w:cs="Times New Roman"/>
          <w:vertAlign w:val="subscript"/>
        </w:rPr>
        <w:t>0</w:t>
      </w:r>
      <w:r>
        <w:rPr>
          <w:rFonts w:cs="Times New Roman"/>
        </w:rPr>
        <w:t>+β</w:t>
      </w:r>
      <w:r>
        <w:rPr>
          <w:rFonts w:cs="Times New Roman"/>
          <w:vertAlign w:val="subscript"/>
        </w:rPr>
        <w:t>1</w:t>
      </w:r>
      <w:r>
        <w:rPr>
          <w:rFonts w:cs="Times New Roman"/>
        </w:rPr>
        <w:t>X</w:t>
      </w:r>
      <w:r>
        <w:rPr>
          <w:rFonts w:cs="Times New Roman"/>
          <w:vertAlign w:val="subscript"/>
        </w:rPr>
        <w:t>1</w:t>
      </w:r>
      <w:r>
        <w:rPr>
          <w:rFonts w:cs="Times New Roman"/>
        </w:rPr>
        <w:t>+ β</w:t>
      </w:r>
      <w:r>
        <w:rPr>
          <w:rFonts w:cs="Times New Roman"/>
          <w:vertAlign w:val="subscript"/>
        </w:rPr>
        <w:t>2</w:t>
      </w:r>
      <w:r>
        <w:rPr>
          <w:rFonts w:cs="Times New Roman"/>
        </w:rPr>
        <w:t>X</w:t>
      </w:r>
      <w:r>
        <w:rPr>
          <w:rFonts w:cs="Times New Roman"/>
          <w:vertAlign w:val="subscript"/>
        </w:rPr>
        <w:t>2</w:t>
      </w:r>
      <w:r>
        <w:rPr>
          <w:rFonts w:cs="Times New Roman"/>
        </w:rPr>
        <w:t>+β</w:t>
      </w:r>
      <w:r>
        <w:rPr>
          <w:rFonts w:cs="Times New Roman"/>
          <w:vertAlign w:val="subscript"/>
        </w:rPr>
        <w:t>3</w:t>
      </w:r>
      <w:r>
        <w:rPr>
          <w:rFonts w:cs="Times New Roman"/>
        </w:rPr>
        <w:t>X</w:t>
      </w:r>
      <w:r>
        <w:rPr>
          <w:rFonts w:cs="Times New Roman"/>
          <w:vertAlign w:val="subscript"/>
        </w:rPr>
        <w:t>3</w:t>
      </w:r>
      <w:r>
        <w:rPr>
          <w:rFonts w:cs="Times New Roman"/>
        </w:rPr>
        <w:t>+β</w:t>
      </w:r>
      <w:r>
        <w:rPr>
          <w:rFonts w:cs="Times New Roman"/>
          <w:vertAlign w:val="subscript"/>
        </w:rPr>
        <w:t>4</w:t>
      </w:r>
      <w:r>
        <w:rPr>
          <w:rFonts w:cs="Times New Roman"/>
        </w:rPr>
        <w:t>X</w:t>
      </w:r>
      <w:r>
        <w:rPr>
          <w:rFonts w:cs="Times New Roman"/>
          <w:vertAlign w:val="subscript"/>
        </w:rPr>
        <w:t>4</w:t>
      </w:r>
      <w:r>
        <w:rPr>
          <w:rFonts w:cs="Times New Roman"/>
        </w:rPr>
        <w:t xml:space="preserve"> +e </w:t>
      </w:r>
      <w:r w:rsidR="001E3129">
        <w:rPr>
          <w:rFonts w:cs="Times New Roman"/>
          <w:sz w:val="40"/>
          <w:szCs w:val="40"/>
          <w:vertAlign w:val="subscript"/>
        </w:rPr>
        <w:t>...……</w:t>
      </w:r>
      <w:r>
        <w:rPr>
          <w:rFonts w:cs="Times New Roman"/>
          <w:sz w:val="40"/>
          <w:szCs w:val="40"/>
          <w:vertAlign w:val="subscript"/>
        </w:rPr>
        <w:t>………………… (eq.5)</w:t>
      </w:r>
    </w:p>
    <w:p w14:paraId="2BE63EA5" w14:textId="77777777" w:rsidR="009F33CD" w:rsidRDefault="00E40740">
      <w:pPr>
        <w:autoSpaceDE/>
        <w:autoSpaceDN/>
        <w:adjustRightInd/>
        <w:spacing w:after="200"/>
        <w:rPr>
          <w:rFonts w:cs="Times New Roman"/>
          <w:bCs/>
        </w:rPr>
      </w:pPr>
      <w:r>
        <w:rPr>
          <w:rFonts w:cs="Times New Roman"/>
          <w:bCs/>
        </w:rPr>
        <w:t xml:space="preserve">The statistical significance of the joint effect of independent variables (GHRM practices) without the moderating variable on the dependent variable (performance of devolved healthcare services) was analyzed and results were presented </w:t>
      </w:r>
      <w:bookmarkEnd w:id="1504"/>
      <w:r>
        <w:rPr>
          <w:rFonts w:cs="Times New Roman"/>
          <w:bCs/>
        </w:rPr>
        <w:t>in Table 4.39.</w:t>
      </w:r>
    </w:p>
    <w:p w14:paraId="3AFE0DB8" w14:textId="77777777" w:rsidR="009F33CD" w:rsidRDefault="009427A3">
      <w:pPr>
        <w:pStyle w:val="Heading6"/>
      </w:pPr>
      <w:bookmarkStart w:id="1505" w:name="_Toc165626439"/>
      <w:bookmarkStart w:id="1506" w:name="_Toc185614143"/>
      <w:bookmarkStart w:id="1507" w:name="_Toc178945101"/>
      <w:bookmarkStart w:id="1508" w:name="_Toc187080915"/>
      <w:bookmarkStart w:id="1509" w:name="_Toc178942691"/>
      <w:bookmarkStart w:id="1510" w:name="_Toc224237469"/>
      <w:r>
        <w:t>Table 4.40</w:t>
      </w:r>
      <w:r w:rsidR="00E40740">
        <w:t>: Model Summary without Moderating Variable</w:t>
      </w:r>
      <w:bookmarkEnd w:id="1505"/>
      <w:bookmarkEnd w:id="1506"/>
      <w:bookmarkEnd w:id="1507"/>
      <w:bookmarkEnd w:id="1508"/>
      <w:bookmarkEnd w:id="1509"/>
      <w:bookmarkEnd w:id="1510"/>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76"/>
        <w:gridCol w:w="590"/>
        <w:gridCol w:w="760"/>
        <w:gridCol w:w="1098"/>
        <w:gridCol w:w="1268"/>
        <w:gridCol w:w="930"/>
        <w:gridCol w:w="1099"/>
        <w:gridCol w:w="506"/>
        <w:gridCol w:w="506"/>
        <w:gridCol w:w="787"/>
      </w:tblGrid>
      <w:tr w:rsidR="009F33CD" w14:paraId="49B535C1" w14:textId="77777777" w:rsidTr="009427A3">
        <w:trPr>
          <w:cantSplit/>
          <w:trHeight w:val="294"/>
        </w:trPr>
        <w:tc>
          <w:tcPr>
            <w:tcW w:w="413" w:type="pct"/>
            <w:vMerge w:val="restart"/>
            <w:tcBorders>
              <w:top w:val="single" w:sz="4" w:space="0" w:color="auto"/>
              <w:bottom w:val="single" w:sz="4" w:space="0" w:color="auto"/>
            </w:tcBorders>
          </w:tcPr>
          <w:p w14:paraId="3F611426" w14:textId="77777777" w:rsidR="009F33CD" w:rsidRDefault="00E40740" w:rsidP="009427A3">
            <w:pPr>
              <w:spacing w:before="0" w:beforeAutospacing="0" w:after="0" w:afterAutospacing="0" w:line="240" w:lineRule="auto"/>
              <w:jc w:val="center"/>
              <w:rPr>
                <w:rFonts w:cs="Times New Roman"/>
                <w:b/>
                <w:bCs/>
              </w:rPr>
            </w:pPr>
            <w:r>
              <w:rPr>
                <w:rFonts w:cs="Times New Roman"/>
                <w:b/>
                <w:bCs/>
              </w:rPr>
              <w:t>Model</w:t>
            </w:r>
          </w:p>
        </w:tc>
        <w:tc>
          <w:tcPr>
            <w:tcW w:w="361" w:type="pct"/>
            <w:vMerge w:val="restart"/>
            <w:tcBorders>
              <w:top w:val="single" w:sz="4" w:space="0" w:color="auto"/>
              <w:bottom w:val="single" w:sz="4" w:space="0" w:color="auto"/>
            </w:tcBorders>
          </w:tcPr>
          <w:p w14:paraId="0A4EDA83" w14:textId="77777777" w:rsidR="009F33CD" w:rsidRDefault="00E40740" w:rsidP="009427A3">
            <w:pPr>
              <w:spacing w:before="0" w:beforeAutospacing="0" w:after="0" w:afterAutospacing="0" w:line="240" w:lineRule="auto"/>
              <w:jc w:val="center"/>
              <w:rPr>
                <w:rFonts w:cs="Times New Roman"/>
                <w:b/>
                <w:bCs/>
              </w:rPr>
            </w:pPr>
            <w:r>
              <w:rPr>
                <w:rFonts w:cs="Times New Roman"/>
                <w:b/>
                <w:bCs/>
              </w:rPr>
              <w:t>R</w:t>
            </w:r>
          </w:p>
        </w:tc>
        <w:tc>
          <w:tcPr>
            <w:tcW w:w="464" w:type="pct"/>
            <w:vMerge w:val="restart"/>
            <w:tcBorders>
              <w:top w:val="single" w:sz="4" w:space="0" w:color="auto"/>
              <w:bottom w:val="single" w:sz="4" w:space="0" w:color="auto"/>
            </w:tcBorders>
          </w:tcPr>
          <w:p w14:paraId="0E218BDD" w14:textId="77777777" w:rsidR="009F33CD" w:rsidRDefault="00E40740" w:rsidP="009427A3">
            <w:pPr>
              <w:spacing w:before="0" w:beforeAutospacing="0" w:after="0" w:afterAutospacing="0" w:line="240" w:lineRule="auto"/>
              <w:jc w:val="center"/>
              <w:rPr>
                <w:rFonts w:cs="Times New Roman"/>
                <w:b/>
                <w:bCs/>
              </w:rPr>
            </w:pPr>
            <w:r>
              <w:rPr>
                <w:rFonts w:cs="Times New Roman"/>
                <w:b/>
                <w:bCs/>
              </w:rPr>
              <w:t>R Square</w:t>
            </w:r>
          </w:p>
        </w:tc>
        <w:tc>
          <w:tcPr>
            <w:tcW w:w="670" w:type="pct"/>
            <w:vMerge w:val="restart"/>
            <w:tcBorders>
              <w:top w:val="single" w:sz="4" w:space="0" w:color="auto"/>
              <w:bottom w:val="single" w:sz="4" w:space="0" w:color="auto"/>
            </w:tcBorders>
          </w:tcPr>
          <w:p w14:paraId="37FF6092" w14:textId="77777777" w:rsidR="009F33CD" w:rsidRDefault="00E40740" w:rsidP="009427A3">
            <w:pPr>
              <w:spacing w:before="0" w:beforeAutospacing="0" w:after="0" w:afterAutospacing="0" w:line="240" w:lineRule="auto"/>
              <w:jc w:val="center"/>
              <w:rPr>
                <w:rFonts w:cs="Times New Roman"/>
                <w:b/>
                <w:bCs/>
              </w:rPr>
            </w:pPr>
            <w:r>
              <w:rPr>
                <w:rFonts w:cs="Times New Roman"/>
                <w:b/>
                <w:bCs/>
              </w:rPr>
              <w:t>Adjusted Square</w:t>
            </w:r>
          </w:p>
        </w:tc>
        <w:tc>
          <w:tcPr>
            <w:tcW w:w="773" w:type="pct"/>
            <w:vMerge w:val="restart"/>
            <w:tcBorders>
              <w:top w:val="single" w:sz="4" w:space="0" w:color="auto"/>
              <w:bottom w:val="single" w:sz="4" w:space="0" w:color="auto"/>
            </w:tcBorders>
            <w:vAlign w:val="bottom"/>
          </w:tcPr>
          <w:p w14:paraId="5B289F39" w14:textId="77777777" w:rsidR="009F33CD" w:rsidRDefault="00E40740">
            <w:pPr>
              <w:spacing w:before="0" w:beforeAutospacing="0" w:after="0" w:afterAutospacing="0" w:line="240" w:lineRule="auto"/>
              <w:rPr>
                <w:rFonts w:cs="Times New Roman"/>
                <w:b/>
                <w:bCs/>
              </w:rPr>
            </w:pPr>
            <w:r>
              <w:rPr>
                <w:rFonts w:cs="Times New Roman"/>
                <w:b/>
                <w:bCs/>
              </w:rPr>
              <w:t xml:space="preserve">Std. Error </w:t>
            </w:r>
          </w:p>
          <w:p w14:paraId="407133E9" w14:textId="77777777" w:rsidR="009F33CD" w:rsidRDefault="00E40740" w:rsidP="0044359C">
            <w:pPr>
              <w:spacing w:before="0" w:beforeAutospacing="0" w:after="0" w:afterAutospacing="0" w:line="240" w:lineRule="auto"/>
              <w:jc w:val="center"/>
              <w:rPr>
                <w:rFonts w:cs="Times New Roman"/>
                <w:b/>
                <w:bCs/>
              </w:rPr>
            </w:pPr>
            <w:r>
              <w:rPr>
                <w:rFonts w:cs="Times New Roman"/>
                <w:b/>
                <w:bCs/>
              </w:rPr>
              <w:t>of the Estimate</w:t>
            </w:r>
          </w:p>
        </w:tc>
        <w:tc>
          <w:tcPr>
            <w:tcW w:w="2320" w:type="pct"/>
            <w:gridSpan w:val="5"/>
            <w:tcBorders>
              <w:top w:val="single" w:sz="4" w:space="0" w:color="auto"/>
              <w:bottom w:val="single" w:sz="4" w:space="0" w:color="auto"/>
            </w:tcBorders>
          </w:tcPr>
          <w:p w14:paraId="51E14231" w14:textId="77777777" w:rsidR="009F33CD" w:rsidRDefault="00E40740" w:rsidP="009427A3">
            <w:pPr>
              <w:spacing w:before="0" w:beforeAutospacing="0" w:after="0" w:afterAutospacing="0" w:line="240" w:lineRule="auto"/>
              <w:jc w:val="center"/>
              <w:rPr>
                <w:rFonts w:cs="Times New Roman"/>
                <w:b/>
                <w:bCs/>
              </w:rPr>
            </w:pPr>
            <w:r>
              <w:rPr>
                <w:rFonts w:cs="Times New Roman"/>
                <w:b/>
                <w:bCs/>
              </w:rPr>
              <w:t>Change Statistics</w:t>
            </w:r>
          </w:p>
        </w:tc>
      </w:tr>
      <w:tr w:rsidR="009F33CD" w14:paraId="4B9983AA" w14:textId="77777777" w:rsidTr="0044359C">
        <w:trPr>
          <w:cantSplit/>
          <w:trHeight w:val="251"/>
        </w:trPr>
        <w:tc>
          <w:tcPr>
            <w:tcW w:w="413" w:type="pct"/>
            <w:vMerge/>
            <w:tcBorders>
              <w:top w:val="single" w:sz="4" w:space="0" w:color="auto"/>
              <w:bottom w:val="single" w:sz="4" w:space="0" w:color="auto"/>
            </w:tcBorders>
            <w:vAlign w:val="bottom"/>
          </w:tcPr>
          <w:p w14:paraId="47DC12CA" w14:textId="77777777" w:rsidR="009F33CD" w:rsidRDefault="009F33CD">
            <w:pPr>
              <w:spacing w:before="0" w:beforeAutospacing="0" w:after="0" w:afterAutospacing="0" w:line="240" w:lineRule="auto"/>
              <w:rPr>
                <w:rFonts w:cs="Times New Roman"/>
                <w:b/>
                <w:bCs/>
              </w:rPr>
            </w:pPr>
          </w:p>
        </w:tc>
        <w:tc>
          <w:tcPr>
            <w:tcW w:w="361" w:type="pct"/>
            <w:vMerge/>
            <w:tcBorders>
              <w:top w:val="single" w:sz="4" w:space="0" w:color="auto"/>
              <w:bottom w:val="single" w:sz="4" w:space="0" w:color="auto"/>
            </w:tcBorders>
            <w:vAlign w:val="bottom"/>
          </w:tcPr>
          <w:p w14:paraId="60C9BBE1" w14:textId="77777777" w:rsidR="009F33CD" w:rsidRDefault="009F33CD">
            <w:pPr>
              <w:spacing w:before="0" w:beforeAutospacing="0" w:after="0" w:afterAutospacing="0" w:line="240" w:lineRule="auto"/>
              <w:rPr>
                <w:rFonts w:cs="Times New Roman"/>
                <w:b/>
                <w:bCs/>
              </w:rPr>
            </w:pPr>
          </w:p>
        </w:tc>
        <w:tc>
          <w:tcPr>
            <w:tcW w:w="464" w:type="pct"/>
            <w:vMerge/>
            <w:tcBorders>
              <w:top w:val="single" w:sz="4" w:space="0" w:color="auto"/>
              <w:bottom w:val="single" w:sz="4" w:space="0" w:color="auto"/>
            </w:tcBorders>
            <w:vAlign w:val="bottom"/>
          </w:tcPr>
          <w:p w14:paraId="3639812D" w14:textId="77777777" w:rsidR="009F33CD" w:rsidRDefault="009F33CD">
            <w:pPr>
              <w:spacing w:before="0" w:beforeAutospacing="0" w:after="0" w:afterAutospacing="0" w:line="240" w:lineRule="auto"/>
              <w:rPr>
                <w:rFonts w:cs="Times New Roman"/>
                <w:b/>
                <w:bCs/>
              </w:rPr>
            </w:pPr>
          </w:p>
        </w:tc>
        <w:tc>
          <w:tcPr>
            <w:tcW w:w="670" w:type="pct"/>
            <w:vMerge/>
            <w:tcBorders>
              <w:top w:val="single" w:sz="4" w:space="0" w:color="auto"/>
              <w:bottom w:val="single" w:sz="4" w:space="0" w:color="auto"/>
            </w:tcBorders>
            <w:vAlign w:val="bottom"/>
          </w:tcPr>
          <w:p w14:paraId="571D7E67" w14:textId="77777777" w:rsidR="009F33CD" w:rsidRDefault="009F33CD">
            <w:pPr>
              <w:spacing w:before="0" w:beforeAutospacing="0" w:after="0" w:afterAutospacing="0" w:line="240" w:lineRule="auto"/>
              <w:rPr>
                <w:rFonts w:cs="Times New Roman"/>
                <w:b/>
                <w:bCs/>
              </w:rPr>
            </w:pPr>
          </w:p>
        </w:tc>
        <w:tc>
          <w:tcPr>
            <w:tcW w:w="773" w:type="pct"/>
            <w:vMerge/>
            <w:tcBorders>
              <w:top w:val="single" w:sz="4" w:space="0" w:color="auto"/>
              <w:bottom w:val="single" w:sz="4" w:space="0" w:color="auto"/>
            </w:tcBorders>
            <w:vAlign w:val="bottom"/>
          </w:tcPr>
          <w:p w14:paraId="21871434" w14:textId="77777777" w:rsidR="009F33CD" w:rsidRDefault="009F33CD">
            <w:pPr>
              <w:spacing w:before="0" w:beforeAutospacing="0" w:after="0" w:afterAutospacing="0" w:line="240" w:lineRule="auto"/>
              <w:rPr>
                <w:rFonts w:cs="Times New Roman"/>
                <w:b/>
                <w:bCs/>
              </w:rPr>
            </w:pPr>
          </w:p>
        </w:tc>
        <w:tc>
          <w:tcPr>
            <w:tcW w:w="567" w:type="pct"/>
            <w:tcBorders>
              <w:top w:val="single" w:sz="4" w:space="0" w:color="auto"/>
              <w:bottom w:val="single" w:sz="4" w:space="0" w:color="auto"/>
            </w:tcBorders>
            <w:vAlign w:val="bottom"/>
          </w:tcPr>
          <w:p w14:paraId="561EE01D" w14:textId="77777777" w:rsidR="009F33CD" w:rsidRDefault="00E40740">
            <w:pPr>
              <w:spacing w:before="0" w:beforeAutospacing="0" w:after="0" w:afterAutospacing="0" w:line="240" w:lineRule="auto"/>
              <w:rPr>
                <w:rFonts w:cs="Times New Roman"/>
                <w:b/>
                <w:bCs/>
              </w:rPr>
            </w:pPr>
            <w:r>
              <w:rPr>
                <w:rFonts w:cs="Times New Roman"/>
                <w:b/>
                <w:bCs/>
              </w:rPr>
              <w:t>R Square Change</w:t>
            </w:r>
          </w:p>
        </w:tc>
        <w:tc>
          <w:tcPr>
            <w:tcW w:w="670" w:type="pct"/>
            <w:tcBorders>
              <w:top w:val="single" w:sz="4" w:space="0" w:color="auto"/>
              <w:bottom w:val="single" w:sz="4" w:space="0" w:color="auto"/>
            </w:tcBorders>
            <w:vAlign w:val="bottom"/>
          </w:tcPr>
          <w:p w14:paraId="79888E7A" w14:textId="77777777" w:rsidR="009F33CD" w:rsidRDefault="00E40740">
            <w:pPr>
              <w:spacing w:before="0" w:beforeAutospacing="0" w:after="0" w:afterAutospacing="0" w:line="240" w:lineRule="auto"/>
              <w:rPr>
                <w:rFonts w:cs="Times New Roman"/>
                <w:b/>
                <w:bCs/>
              </w:rPr>
            </w:pPr>
            <w:r>
              <w:rPr>
                <w:rFonts w:cs="Times New Roman"/>
                <w:b/>
                <w:bCs/>
              </w:rPr>
              <w:t>F Change</w:t>
            </w:r>
          </w:p>
        </w:tc>
        <w:tc>
          <w:tcPr>
            <w:tcW w:w="309" w:type="pct"/>
            <w:tcBorders>
              <w:top w:val="single" w:sz="4" w:space="0" w:color="auto"/>
              <w:bottom w:val="single" w:sz="4" w:space="0" w:color="auto"/>
            </w:tcBorders>
            <w:vAlign w:val="bottom"/>
          </w:tcPr>
          <w:p w14:paraId="06CEC547" w14:textId="77777777" w:rsidR="009F33CD" w:rsidRDefault="00E40740">
            <w:pPr>
              <w:spacing w:before="0" w:beforeAutospacing="0" w:after="0" w:afterAutospacing="0" w:line="240" w:lineRule="auto"/>
              <w:rPr>
                <w:rFonts w:cs="Times New Roman"/>
                <w:b/>
                <w:bCs/>
              </w:rPr>
            </w:pPr>
            <w:r>
              <w:rPr>
                <w:rFonts w:cs="Times New Roman"/>
                <w:b/>
                <w:bCs/>
              </w:rPr>
              <w:t>df1</w:t>
            </w:r>
          </w:p>
        </w:tc>
        <w:tc>
          <w:tcPr>
            <w:tcW w:w="309" w:type="pct"/>
            <w:tcBorders>
              <w:top w:val="single" w:sz="4" w:space="0" w:color="auto"/>
              <w:bottom w:val="single" w:sz="4" w:space="0" w:color="auto"/>
            </w:tcBorders>
            <w:vAlign w:val="bottom"/>
          </w:tcPr>
          <w:p w14:paraId="4572D816" w14:textId="77777777" w:rsidR="009F33CD" w:rsidRDefault="00E40740">
            <w:pPr>
              <w:spacing w:before="0" w:beforeAutospacing="0" w:after="0" w:afterAutospacing="0" w:line="240" w:lineRule="auto"/>
              <w:rPr>
                <w:rFonts w:cs="Times New Roman"/>
                <w:b/>
                <w:bCs/>
              </w:rPr>
            </w:pPr>
            <w:r>
              <w:rPr>
                <w:rFonts w:cs="Times New Roman"/>
                <w:b/>
                <w:bCs/>
              </w:rPr>
              <w:t>df2</w:t>
            </w:r>
          </w:p>
        </w:tc>
        <w:tc>
          <w:tcPr>
            <w:tcW w:w="464" w:type="pct"/>
            <w:tcBorders>
              <w:top w:val="single" w:sz="4" w:space="0" w:color="auto"/>
              <w:bottom w:val="single" w:sz="4" w:space="0" w:color="auto"/>
            </w:tcBorders>
            <w:vAlign w:val="bottom"/>
          </w:tcPr>
          <w:p w14:paraId="61D88CAC" w14:textId="77777777" w:rsidR="009F33CD" w:rsidRDefault="00E40740">
            <w:pPr>
              <w:spacing w:before="0" w:beforeAutospacing="0" w:after="0" w:afterAutospacing="0" w:line="240" w:lineRule="auto"/>
              <w:rPr>
                <w:rFonts w:cs="Times New Roman"/>
                <w:b/>
                <w:bCs/>
              </w:rPr>
            </w:pPr>
            <w:r>
              <w:rPr>
                <w:rFonts w:cs="Times New Roman"/>
                <w:b/>
                <w:bCs/>
              </w:rPr>
              <w:t>Sig. F Change</w:t>
            </w:r>
          </w:p>
        </w:tc>
      </w:tr>
      <w:tr w:rsidR="009F33CD" w14:paraId="49A66570" w14:textId="77777777" w:rsidTr="009427A3">
        <w:trPr>
          <w:cantSplit/>
          <w:trHeight w:val="278"/>
        </w:trPr>
        <w:tc>
          <w:tcPr>
            <w:tcW w:w="413" w:type="pct"/>
            <w:tcBorders>
              <w:top w:val="single" w:sz="4" w:space="0" w:color="auto"/>
              <w:bottom w:val="single" w:sz="4" w:space="0" w:color="auto"/>
            </w:tcBorders>
          </w:tcPr>
          <w:p w14:paraId="5B5D0126" w14:textId="77777777" w:rsidR="009F33CD" w:rsidRDefault="00E40740">
            <w:pPr>
              <w:spacing w:before="0" w:beforeAutospacing="0" w:after="0" w:afterAutospacing="0" w:line="240" w:lineRule="auto"/>
              <w:rPr>
                <w:rFonts w:cs="Times New Roman"/>
              </w:rPr>
            </w:pPr>
            <w:r>
              <w:rPr>
                <w:rFonts w:cs="Times New Roman"/>
              </w:rPr>
              <w:t>1</w:t>
            </w:r>
          </w:p>
        </w:tc>
        <w:tc>
          <w:tcPr>
            <w:tcW w:w="361" w:type="pct"/>
            <w:tcBorders>
              <w:top w:val="single" w:sz="4" w:space="0" w:color="auto"/>
              <w:bottom w:val="single" w:sz="4" w:space="0" w:color="auto"/>
            </w:tcBorders>
          </w:tcPr>
          <w:p w14:paraId="1A01FA54" w14:textId="77777777" w:rsidR="009F33CD" w:rsidRDefault="00E40740" w:rsidP="009427A3">
            <w:pPr>
              <w:spacing w:before="0" w:beforeAutospacing="0" w:after="0" w:afterAutospacing="0" w:line="240" w:lineRule="auto"/>
              <w:jc w:val="center"/>
              <w:rPr>
                <w:rFonts w:cs="Times New Roman"/>
              </w:rPr>
            </w:pPr>
            <w:r>
              <w:rPr>
                <w:rFonts w:cs="Times New Roman"/>
              </w:rPr>
              <w:t>.802</w:t>
            </w:r>
            <w:r>
              <w:rPr>
                <w:rFonts w:cs="Times New Roman"/>
                <w:vertAlign w:val="superscript"/>
              </w:rPr>
              <w:t>a</w:t>
            </w:r>
          </w:p>
        </w:tc>
        <w:tc>
          <w:tcPr>
            <w:tcW w:w="464" w:type="pct"/>
            <w:tcBorders>
              <w:top w:val="single" w:sz="4" w:space="0" w:color="auto"/>
              <w:bottom w:val="single" w:sz="4" w:space="0" w:color="auto"/>
            </w:tcBorders>
          </w:tcPr>
          <w:p w14:paraId="58ED3517" w14:textId="77777777" w:rsidR="009F33CD" w:rsidRDefault="00E40740" w:rsidP="009427A3">
            <w:pPr>
              <w:spacing w:before="0" w:beforeAutospacing="0" w:after="0" w:afterAutospacing="0" w:line="240" w:lineRule="auto"/>
              <w:jc w:val="center"/>
              <w:rPr>
                <w:rFonts w:cs="Times New Roman"/>
              </w:rPr>
            </w:pPr>
            <w:r>
              <w:rPr>
                <w:rFonts w:cs="Times New Roman"/>
              </w:rPr>
              <w:t>.644</w:t>
            </w:r>
          </w:p>
        </w:tc>
        <w:tc>
          <w:tcPr>
            <w:tcW w:w="670" w:type="pct"/>
            <w:tcBorders>
              <w:top w:val="single" w:sz="4" w:space="0" w:color="auto"/>
              <w:bottom w:val="single" w:sz="4" w:space="0" w:color="auto"/>
            </w:tcBorders>
          </w:tcPr>
          <w:p w14:paraId="1F1AA5A0" w14:textId="77777777" w:rsidR="009F33CD" w:rsidRDefault="00E40740" w:rsidP="009427A3">
            <w:pPr>
              <w:spacing w:before="0" w:beforeAutospacing="0" w:after="0" w:afterAutospacing="0" w:line="240" w:lineRule="auto"/>
              <w:jc w:val="center"/>
              <w:rPr>
                <w:rFonts w:cs="Times New Roman"/>
              </w:rPr>
            </w:pPr>
            <w:r>
              <w:rPr>
                <w:rFonts w:cs="Times New Roman"/>
              </w:rPr>
              <w:t>.631</w:t>
            </w:r>
          </w:p>
        </w:tc>
        <w:tc>
          <w:tcPr>
            <w:tcW w:w="773" w:type="pct"/>
            <w:tcBorders>
              <w:top w:val="single" w:sz="4" w:space="0" w:color="auto"/>
              <w:bottom w:val="single" w:sz="4" w:space="0" w:color="auto"/>
            </w:tcBorders>
          </w:tcPr>
          <w:p w14:paraId="5C509EAD" w14:textId="77777777" w:rsidR="009F33CD" w:rsidRDefault="00E40740">
            <w:pPr>
              <w:spacing w:before="0" w:beforeAutospacing="0" w:after="0" w:afterAutospacing="0" w:line="240" w:lineRule="auto"/>
              <w:jc w:val="center"/>
              <w:rPr>
                <w:rFonts w:cs="Times New Roman"/>
              </w:rPr>
            </w:pPr>
            <w:r>
              <w:rPr>
                <w:rFonts w:cs="Times New Roman"/>
              </w:rPr>
              <w:t>.56473</w:t>
            </w:r>
          </w:p>
        </w:tc>
        <w:tc>
          <w:tcPr>
            <w:tcW w:w="567" w:type="pct"/>
            <w:tcBorders>
              <w:top w:val="single" w:sz="4" w:space="0" w:color="auto"/>
              <w:bottom w:val="single" w:sz="4" w:space="0" w:color="auto"/>
            </w:tcBorders>
          </w:tcPr>
          <w:p w14:paraId="1BE42B7E" w14:textId="77777777" w:rsidR="009F33CD" w:rsidRDefault="00E40740">
            <w:pPr>
              <w:spacing w:before="0" w:beforeAutospacing="0" w:after="0" w:afterAutospacing="0" w:line="240" w:lineRule="auto"/>
              <w:jc w:val="center"/>
              <w:rPr>
                <w:rFonts w:cs="Times New Roman"/>
              </w:rPr>
            </w:pPr>
            <w:r>
              <w:rPr>
                <w:rFonts w:cs="Times New Roman"/>
              </w:rPr>
              <w:t>.644</w:t>
            </w:r>
          </w:p>
        </w:tc>
        <w:tc>
          <w:tcPr>
            <w:tcW w:w="670" w:type="pct"/>
            <w:tcBorders>
              <w:top w:val="single" w:sz="4" w:space="0" w:color="auto"/>
              <w:bottom w:val="single" w:sz="4" w:space="0" w:color="auto"/>
            </w:tcBorders>
          </w:tcPr>
          <w:p w14:paraId="1B652FAE" w14:textId="77777777" w:rsidR="009F33CD" w:rsidRDefault="00E40740">
            <w:pPr>
              <w:spacing w:before="0" w:beforeAutospacing="0" w:after="0" w:afterAutospacing="0" w:line="240" w:lineRule="auto"/>
              <w:jc w:val="center"/>
              <w:rPr>
                <w:rFonts w:cs="Times New Roman"/>
              </w:rPr>
            </w:pPr>
            <w:r>
              <w:rPr>
                <w:rFonts w:cs="Times New Roman"/>
              </w:rPr>
              <w:t>51.025</w:t>
            </w:r>
          </w:p>
        </w:tc>
        <w:tc>
          <w:tcPr>
            <w:tcW w:w="309" w:type="pct"/>
            <w:tcBorders>
              <w:top w:val="single" w:sz="4" w:space="0" w:color="auto"/>
              <w:bottom w:val="single" w:sz="4" w:space="0" w:color="auto"/>
            </w:tcBorders>
          </w:tcPr>
          <w:p w14:paraId="13E2F4D0" w14:textId="77777777" w:rsidR="009F33CD" w:rsidRDefault="00E40740">
            <w:pPr>
              <w:spacing w:before="0" w:beforeAutospacing="0" w:after="0" w:afterAutospacing="0" w:line="240" w:lineRule="auto"/>
              <w:jc w:val="center"/>
              <w:rPr>
                <w:rFonts w:cs="Times New Roman"/>
              </w:rPr>
            </w:pPr>
            <w:r>
              <w:rPr>
                <w:rFonts w:cs="Times New Roman"/>
              </w:rPr>
              <w:t>4</w:t>
            </w:r>
          </w:p>
        </w:tc>
        <w:tc>
          <w:tcPr>
            <w:tcW w:w="309" w:type="pct"/>
            <w:tcBorders>
              <w:top w:val="single" w:sz="4" w:space="0" w:color="auto"/>
              <w:bottom w:val="single" w:sz="4" w:space="0" w:color="auto"/>
            </w:tcBorders>
          </w:tcPr>
          <w:p w14:paraId="04D697CC" w14:textId="77777777" w:rsidR="009F33CD" w:rsidRDefault="00E40740">
            <w:pPr>
              <w:spacing w:before="0" w:beforeAutospacing="0" w:after="0" w:afterAutospacing="0" w:line="240" w:lineRule="auto"/>
              <w:jc w:val="center"/>
              <w:rPr>
                <w:rFonts w:cs="Times New Roman"/>
              </w:rPr>
            </w:pPr>
            <w:r>
              <w:rPr>
                <w:rFonts w:cs="Times New Roman"/>
              </w:rPr>
              <w:t>113</w:t>
            </w:r>
          </w:p>
        </w:tc>
        <w:tc>
          <w:tcPr>
            <w:tcW w:w="464" w:type="pct"/>
            <w:tcBorders>
              <w:top w:val="single" w:sz="4" w:space="0" w:color="auto"/>
              <w:bottom w:val="single" w:sz="4" w:space="0" w:color="auto"/>
            </w:tcBorders>
          </w:tcPr>
          <w:p w14:paraId="378A247B" w14:textId="77777777" w:rsidR="009F33CD" w:rsidRDefault="00E40740">
            <w:pPr>
              <w:spacing w:before="0" w:beforeAutospacing="0" w:after="0" w:afterAutospacing="0" w:line="240" w:lineRule="auto"/>
              <w:jc w:val="center"/>
              <w:rPr>
                <w:rFonts w:cs="Times New Roman"/>
              </w:rPr>
            </w:pPr>
            <w:r>
              <w:rPr>
                <w:rFonts w:cs="Times New Roman"/>
              </w:rPr>
              <w:t>.000</w:t>
            </w:r>
          </w:p>
        </w:tc>
      </w:tr>
    </w:tbl>
    <w:p w14:paraId="0F8E62F7" w14:textId="77777777" w:rsidR="009F33CD" w:rsidRDefault="009427A3">
      <w:pPr>
        <w:spacing w:after="240"/>
        <w:rPr>
          <w:rFonts w:cs="Times New Roman"/>
        </w:rPr>
      </w:pPr>
      <w:r>
        <w:rPr>
          <w:rFonts w:cs="Times New Roman"/>
        </w:rPr>
        <w:t>The findings in Table 4.40</w:t>
      </w:r>
      <w:r w:rsidR="00E40740">
        <w:rPr>
          <w:rFonts w:cs="Times New Roman"/>
        </w:rPr>
        <w:t xml:space="preserve"> revealed that GHRM practices had a joint correlation coefficient of r = 0.802, implying a statistically strong and positive relationship between GHRM practices jointly and the performance of devolved healthcare services in Kenya. The results also indicated that GHRM practices had R</w:t>
      </w:r>
      <w:r w:rsidR="00E40740">
        <w:rPr>
          <w:rFonts w:cs="Times New Roman"/>
          <w:sz w:val="28"/>
          <w:vertAlign w:val="superscript"/>
        </w:rPr>
        <w:t>2</w:t>
      </w:r>
      <w:r w:rsidR="00E40740">
        <w:rPr>
          <w:rFonts w:cs="Times New Roman"/>
          <w:sz w:val="28"/>
        </w:rPr>
        <w:t xml:space="preserve"> </w:t>
      </w:r>
      <w:r w:rsidR="00E40740">
        <w:rPr>
          <w:rFonts w:cs="Times New Roman"/>
        </w:rPr>
        <w:t>of 0.644, which implies that 64.4% of variations in the performance of devolved healthcare services in Kenya can be explained by GHRM practices under study. The findings imply that other human resource management practices could explain the remaining 35.6% of the performance of devolved healthcare services in Kenya.</w:t>
      </w:r>
    </w:p>
    <w:p w14:paraId="64775912" w14:textId="77777777" w:rsidR="00C67BC0" w:rsidRDefault="00C67BC0">
      <w:pPr>
        <w:spacing w:after="240"/>
        <w:rPr>
          <w:rFonts w:cs="Times New Roman"/>
        </w:rPr>
      </w:pPr>
    </w:p>
    <w:p w14:paraId="51A10259" w14:textId="77777777" w:rsidR="009F33CD" w:rsidRDefault="009427A3">
      <w:pPr>
        <w:pStyle w:val="Heading6"/>
      </w:pPr>
      <w:bookmarkStart w:id="1511" w:name="_Toc224237470"/>
      <w:r>
        <w:lastRenderedPageBreak/>
        <w:t>Table 4.41</w:t>
      </w:r>
      <w:r w:rsidR="00E40740">
        <w:t>: Multiple Regression Coefficients of GHRM Practices and Performance</w:t>
      </w:r>
      <w:bookmarkEnd w:id="1511"/>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83"/>
        <w:gridCol w:w="1267"/>
        <w:gridCol w:w="1133"/>
        <w:gridCol w:w="1211"/>
        <w:gridCol w:w="1374"/>
        <w:gridCol w:w="1371"/>
        <w:gridCol w:w="1281"/>
      </w:tblGrid>
      <w:tr w:rsidR="009F33CD" w14:paraId="4AB71EAE" w14:textId="77777777" w:rsidTr="009427A3">
        <w:trPr>
          <w:cantSplit/>
          <w:trHeight w:val="89"/>
        </w:trPr>
        <w:tc>
          <w:tcPr>
            <w:tcW w:w="1126" w:type="pct"/>
            <w:gridSpan w:val="2"/>
            <w:vMerge w:val="restart"/>
          </w:tcPr>
          <w:p w14:paraId="28E3DF02" w14:textId="77777777" w:rsidR="009F33CD" w:rsidRDefault="00E40740" w:rsidP="009427A3">
            <w:pPr>
              <w:spacing w:before="0" w:beforeAutospacing="0" w:after="0" w:afterAutospacing="0" w:line="240" w:lineRule="auto"/>
              <w:jc w:val="left"/>
              <w:rPr>
                <w:rFonts w:cs="Times New Roman"/>
                <w:b/>
              </w:rPr>
            </w:pPr>
            <w:r>
              <w:rPr>
                <w:rFonts w:cs="Times New Roman"/>
                <w:b/>
              </w:rPr>
              <w:t>Model</w:t>
            </w:r>
          </w:p>
        </w:tc>
        <w:tc>
          <w:tcPr>
            <w:tcW w:w="1427" w:type="pct"/>
            <w:gridSpan w:val="2"/>
            <w:tcBorders>
              <w:bottom w:val="single" w:sz="4" w:space="0" w:color="auto"/>
            </w:tcBorders>
            <w:vAlign w:val="bottom"/>
          </w:tcPr>
          <w:p w14:paraId="48EF1EED" w14:textId="77777777" w:rsidR="009F33CD" w:rsidRDefault="00E40740">
            <w:pPr>
              <w:spacing w:before="0" w:beforeAutospacing="0" w:after="0" w:afterAutospacing="0" w:line="240" w:lineRule="auto"/>
              <w:rPr>
                <w:rFonts w:cs="Times New Roman"/>
                <w:b/>
              </w:rPr>
            </w:pPr>
            <w:r>
              <w:rPr>
                <w:rFonts w:cs="Times New Roman"/>
                <w:b/>
              </w:rPr>
              <w:t>Unstandardized Coefficients</w:t>
            </w:r>
          </w:p>
        </w:tc>
        <w:tc>
          <w:tcPr>
            <w:tcW w:w="834" w:type="pct"/>
            <w:tcBorders>
              <w:bottom w:val="single" w:sz="4" w:space="0" w:color="auto"/>
            </w:tcBorders>
            <w:vAlign w:val="bottom"/>
          </w:tcPr>
          <w:p w14:paraId="188243B7" w14:textId="77777777" w:rsidR="009F33CD" w:rsidRDefault="00E40740">
            <w:pPr>
              <w:spacing w:before="0" w:beforeAutospacing="0" w:after="0" w:afterAutospacing="0" w:line="240" w:lineRule="auto"/>
              <w:rPr>
                <w:rFonts w:cs="Times New Roman"/>
                <w:b/>
              </w:rPr>
            </w:pPr>
            <w:r>
              <w:rPr>
                <w:rFonts w:cs="Times New Roman"/>
                <w:b/>
              </w:rPr>
              <w:t>Standardized Coefficients</w:t>
            </w:r>
          </w:p>
        </w:tc>
        <w:tc>
          <w:tcPr>
            <w:tcW w:w="834" w:type="pct"/>
            <w:vMerge w:val="restart"/>
          </w:tcPr>
          <w:p w14:paraId="586C803F" w14:textId="77777777" w:rsidR="009F33CD" w:rsidRDefault="00E40740" w:rsidP="009427A3">
            <w:pPr>
              <w:spacing w:before="0" w:beforeAutospacing="0" w:after="0" w:afterAutospacing="0" w:line="240" w:lineRule="auto"/>
              <w:jc w:val="center"/>
              <w:rPr>
                <w:rFonts w:cs="Times New Roman"/>
                <w:b/>
              </w:rPr>
            </w:pPr>
            <w:r>
              <w:rPr>
                <w:rFonts w:cs="Times New Roman"/>
                <w:b/>
              </w:rPr>
              <w:t>T</w:t>
            </w:r>
          </w:p>
        </w:tc>
        <w:tc>
          <w:tcPr>
            <w:tcW w:w="779" w:type="pct"/>
            <w:vMerge w:val="restart"/>
          </w:tcPr>
          <w:p w14:paraId="5580D6A3" w14:textId="77777777" w:rsidR="009F33CD" w:rsidRDefault="00E40740" w:rsidP="009427A3">
            <w:pPr>
              <w:spacing w:before="0" w:beforeAutospacing="0" w:after="0" w:afterAutospacing="0" w:line="240" w:lineRule="auto"/>
              <w:jc w:val="center"/>
              <w:rPr>
                <w:rFonts w:cs="Times New Roman"/>
                <w:b/>
              </w:rPr>
            </w:pPr>
            <w:r>
              <w:rPr>
                <w:rFonts w:cs="Times New Roman"/>
                <w:b/>
              </w:rPr>
              <w:t>Sig.</w:t>
            </w:r>
          </w:p>
        </w:tc>
      </w:tr>
      <w:tr w:rsidR="009F33CD" w14:paraId="0ED38D21" w14:textId="77777777">
        <w:trPr>
          <w:cantSplit/>
          <w:trHeight w:val="65"/>
        </w:trPr>
        <w:tc>
          <w:tcPr>
            <w:tcW w:w="1126" w:type="pct"/>
            <w:gridSpan w:val="2"/>
            <w:vMerge/>
            <w:tcBorders>
              <w:bottom w:val="single" w:sz="4" w:space="0" w:color="auto"/>
            </w:tcBorders>
            <w:vAlign w:val="bottom"/>
          </w:tcPr>
          <w:p w14:paraId="6E20CF87" w14:textId="77777777" w:rsidR="009F33CD" w:rsidRDefault="009F33CD">
            <w:pPr>
              <w:spacing w:before="0" w:beforeAutospacing="0" w:after="0" w:afterAutospacing="0" w:line="240" w:lineRule="auto"/>
              <w:rPr>
                <w:rFonts w:cs="Times New Roman"/>
                <w:bCs/>
              </w:rPr>
            </w:pPr>
          </w:p>
        </w:tc>
        <w:tc>
          <w:tcPr>
            <w:tcW w:w="690" w:type="pct"/>
            <w:tcBorders>
              <w:top w:val="single" w:sz="4" w:space="0" w:color="auto"/>
              <w:bottom w:val="single" w:sz="4" w:space="0" w:color="auto"/>
            </w:tcBorders>
            <w:vAlign w:val="bottom"/>
          </w:tcPr>
          <w:p w14:paraId="7BC65178" w14:textId="77777777" w:rsidR="009F33CD" w:rsidRDefault="00E40740">
            <w:pPr>
              <w:spacing w:before="0" w:beforeAutospacing="0" w:after="0" w:afterAutospacing="0" w:line="240" w:lineRule="auto"/>
              <w:rPr>
                <w:rFonts w:cs="Times New Roman"/>
                <w:b/>
              </w:rPr>
            </w:pPr>
            <w:r>
              <w:rPr>
                <w:rFonts w:cs="Times New Roman"/>
                <w:b/>
              </w:rPr>
              <w:t xml:space="preserve">   B</w:t>
            </w:r>
          </w:p>
        </w:tc>
        <w:tc>
          <w:tcPr>
            <w:tcW w:w="737" w:type="pct"/>
            <w:tcBorders>
              <w:top w:val="single" w:sz="4" w:space="0" w:color="auto"/>
              <w:bottom w:val="single" w:sz="4" w:space="0" w:color="auto"/>
            </w:tcBorders>
            <w:vAlign w:val="bottom"/>
          </w:tcPr>
          <w:p w14:paraId="02306A4C" w14:textId="77777777" w:rsidR="009F33CD" w:rsidRDefault="00E40740">
            <w:pPr>
              <w:spacing w:before="0" w:beforeAutospacing="0" w:after="0" w:afterAutospacing="0" w:line="240" w:lineRule="auto"/>
              <w:jc w:val="center"/>
              <w:rPr>
                <w:rFonts w:cs="Times New Roman"/>
                <w:b/>
              </w:rPr>
            </w:pPr>
            <w:r>
              <w:rPr>
                <w:rFonts w:cs="Times New Roman"/>
                <w:b/>
              </w:rPr>
              <w:t>Std. Error</w:t>
            </w:r>
          </w:p>
        </w:tc>
        <w:tc>
          <w:tcPr>
            <w:tcW w:w="834" w:type="pct"/>
            <w:tcBorders>
              <w:top w:val="single" w:sz="4" w:space="0" w:color="auto"/>
              <w:bottom w:val="single" w:sz="4" w:space="0" w:color="auto"/>
            </w:tcBorders>
            <w:vAlign w:val="bottom"/>
          </w:tcPr>
          <w:p w14:paraId="166AA946" w14:textId="77777777" w:rsidR="009F33CD" w:rsidRDefault="00E40740">
            <w:pPr>
              <w:spacing w:before="0" w:beforeAutospacing="0" w:after="0" w:afterAutospacing="0" w:line="240" w:lineRule="auto"/>
              <w:jc w:val="center"/>
              <w:rPr>
                <w:rFonts w:cs="Times New Roman"/>
                <w:b/>
              </w:rPr>
            </w:pPr>
            <w:r>
              <w:rPr>
                <w:rFonts w:cs="Times New Roman"/>
                <w:b/>
              </w:rPr>
              <w:t>Beta</w:t>
            </w:r>
          </w:p>
        </w:tc>
        <w:tc>
          <w:tcPr>
            <w:tcW w:w="834" w:type="pct"/>
            <w:vMerge/>
            <w:tcBorders>
              <w:bottom w:val="single" w:sz="4" w:space="0" w:color="auto"/>
            </w:tcBorders>
            <w:vAlign w:val="bottom"/>
          </w:tcPr>
          <w:p w14:paraId="14EC96BC" w14:textId="77777777" w:rsidR="009F33CD" w:rsidRDefault="009F33CD">
            <w:pPr>
              <w:spacing w:before="0" w:beforeAutospacing="0" w:after="0" w:afterAutospacing="0" w:line="240" w:lineRule="auto"/>
              <w:jc w:val="center"/>
              <w:rPr>
                <w:rFonts w:cs="Times New Roman"/>
                <w:bCs/>
              </w:rPr>
            </w:pPr>
          </w:p>
        </w:tc>
        <w:tc>
          <w:tcPr>
            <w:tcW w:w="779" w:type="pct"/>
            <w:vMerge/>
            <w:tcBorders>
              <w:bottom w:val="single" w:sz="4" w:space="0" w:color="auto"/>
            </w:tcBorders>
            <w:vAlign w:val="bottom"/>
          </w:tcPr>
          <w:p w14:paraId="535F6C88" w14:textId="77777777" w:rsidR="009F33CD" w:rsidRDefault="009F33CD">
            <w:pPr>
              <w:spacing w:before="0" w:beforeAutospacing="0" w:after="0" w:afterAutospacing="0" w:line="240" w:lineRule="auto"/>
              <w:jc w:val="center"/>
              <w:rPr>
                <w:rFonts w:cs="Times New Roman"/>
                <w:bCs/>
              </w:rPr>
            </w:pPr>
          </w:p>
        </w:tc>
      </w:tr>
      <w:tr w:rsidR="009F33CD" w14:paraId="0D831F18" w14:textId="77777777">
        <w:trPr>
          <w:cantSplit/>
          <w:trHeight w:val="237"/>
        </w:trPr>
        <w:tc>
          <w:tcPr>
            <w:tcW w:w="355" w:type="pct"/>
            <w:vMerge w:val="restart"/>
            <w:tcBorders>
              <w:top w:val="single" w:sz="4" w:space="0" w:color="auto"/>
              <w:bottom w:val="nil"/>
            </w:tcBorders>
          </w:tcPr>
          <w:p w14:paraId="64D9D7CB" w14:textId="77777777" w:rsidR="009F33CD" w:rsidRDefault="00E40740">
            <w:pPr>
              <w:spacing w:before="0" w:beforeAutospacing="0" w:after="0" w:afterAutospacing="0" w:line="240" w:lineRule="auto"/>
              <w:rPr>
                <w:rFonts w:cs="Times New Roman"/>
                <w:bCs/>
              </w:rPr>
            </w:pPr>
            <w:r>
              <w:rPr>
                <w:rFonts w:cs="Times New Roman"/>
                <w:bCs/>
              </w:rPr>
              <w:t>1</w:t>
            </w:r>
          </w:p>
        </w:tc>
        <w:tc>
          <w:tcPr>
            <w:tcW w:w="771" w:type="pct"/>
            <w:tcBorders>
              <w:top w:val="single" w:sz="4" w:space="0" w:color="auto"/>
              <w:bottom w:val="nil"/>
            </w:tcBorders>
          </w:tcPr>
          <w:p w14:paraId="1438786A" w14:textId="77777777" w:rsidR="009F33CD" w:rsidRDefault="00E40740">
            <w:pPr>
              <w:spacing w:before="0" w:beforeAutospacing="0" w:after="0" w:afterAutospacing="0" w:line="240" w:lineRule="auto"/>
              <w:rPr>
                <w:rFonts w:cs="Times New Roman"/>
                <w:bCs/>
              </w:rPr>
            </w:pPr>
            <w:r>
              <w:rPr>
                <w:rFonts w:cs="Times New Roman"/>
                <w:bCs/>
              </w:rPr>
              <w:t>(Constant)</w:t>
            </w:r>
          </w:p>
        </w:tc>
        <w:tc>
          <w:tcPr>
            <w:tcW w:w="690" w:type="pct"/>
            <w:tcBorders>
              <w:top w:val="single" w:sz="4" w:space="0" w:color="auto"/>
              <w:bottom w:val="nil"/>
            </w:tcBorders>
          </w:tcPr>
          <w:p w14:paraId="5570430A" w14:textId="77777777" w:rsidR="009F33CD" w:rsidRDefault="00E40740">
            <w:pPr>
              <w:spacing w:before="0" w:beforeAutospacing="0" w:after="0" w:afterAutospacing="0" w:line="240" w:lineRule="auto"/>
              <w:rPr>
                <w:rFonts w:cs="Times New Roman"/>
                <w:bCs/>
              </w:rPr>
            </w:pPr>
            <w:r>
              <w:rPr>
                <w:rFonts w:cs="Times New Roman"/>
                <w:bCs/>
              </w:rPr>
              <w:t>-.330</w:t>
            </w:r>
          </w:p>
        </w:tc>
        <w:tc>
          <w:tcPr>
            <w:tcW w:w="737" w:type="pct"/>
            <w:tcBorders>
              <w:top w:val="single" w:sz="4" w:space="0" w:color="auto"/>
              <w:bottom w:val="nil"/>
            </w:tcBorders>
          </w:tcPr>
          <w:p w14:paraId="4EC8A9E1" w14:textId="77777777" w:rsidR="009F33CD" w:rsidRDefault="00E40740">
            <w:pPr>
              <w:spacing w:before="0" w:beforeAutospacing="0" w:after="0" w:afterAutospacing="0" w:line="240" w:lineRule="auto"/>
              <w:jc w:val="center"/>
              <w:rPr>
                <w:rFonts w:cs="Times New Roman"/>
                <w:bCs/>
              </w:rPr>
            </w:pPr>
            <w:r>
              <w:rPr>
                <w:rFonts w:cs="Times New Roman"/>
                <w:bCs/>
              </w:rPr>
              <w:t>.299</w:t>
            </w:r>
          </w:p>
        </w:tc>
        <w:tc>
          <w:tcPr>
            <w:tcW w:w="834" w:type="pct"/>
            <w:tcBorders>
              <w:top w:val="single" w:sz="4" w:space="0" w:color="auto"/>
              <w:bottom w:val="nil"/>
            </w:tcBorders>
            <w:vAlign w:val="center"/>
          </w:tcPr>
          <w:p w14:paraId="0329EF03" w14:textId="77777777" w:rsidR="009F33CD" w:rsidRDefault="009F33CD">
            <w:pPr>
              <w:spacing w:before="0" w:beforeAutospacing="0" w:after="0" w:afterAutospacing="0" w:line="240" w:lineRule="auto"/>
              <w:jc w:val="center"/>
              <w:rPr>
                <w:rFonts w:cs="Times New Roman"/>
                <w:bCs/>
              </w:rPr>
            </w:pPr>
          </w:p>
        </w:tc>
        <w:tc>
          <w:tcPr>
            <w:tcW w:w="834" w:type="pct"/>
            <w:tcBorders>
              <w:top w:val="single" w:sz="4" w:space="0" w:color="auto"/>
              <w:bottom w:val="nil"/>
            </w:tcBorders>
          </w:tcPr>
          <w:p w14:paraId="7AC30A7F" w14:textId="77777777" w:rsidR="009F33CD" w:rsidRDefault="00E40740">
            <w:pPr>
              <w:spacing w:before="0" w:beforeAutospacing="0" w:after="0" w:afterAutospacing="0" w:line="240" w:lineRule="auto"/>
              <w:jc w:val="center"/>
              <w:rPr>
                <w:rFonts w:cs="Times New Roman"/>
                <w:bCs/>
              </w:rPr>
            </w:pPr>
            <w:r>
              <w:rPr>
                <w:rFonts w:cs="Times New Roman"/>
                <w:bCs/>
              </w:rPr>
              <w:t>-1.105</w:t>
            </w:r>
          </w:p>
        </w:tc>
        <w:tc>
          <w:tcPr>
            <w:tcW w:w="779" w:type="pct"/>
            <w:tcBorders>
              <w:top w:val="single" w:sz="4" w:space="0" w:color="auto"/>
              <w:bottom w:val="nil"/>
            </w:tcBorders>
          </w:tcPr>
          <w:p w14:paraId="2776A420" w14:textId="77777777" w:rsidR="009F33CD" w:rsidRDefault="00E40740">
            <w:pPr>
              <w:spacing w:before="0" w:beforeAutospacing="0" w:after="0" w:afterAutospacing="0" w:line="240" w:lineRule="auto"/>
              <w:jc w:val="center"/>
              <w:rPr>
                <w:rFonts w:cs="Times New Roman"/>
                <w:bCs/>
              </w:rPr>
            </w:pPr>
            <w:r>
              <w:rPr>
                <w:rFonts w:cs="Times New Roman"/>
                <w:bCs/>
              </w:rPr>
              <w:t>.271</w:t>
            </w:r>
          </w:p>
        </w:tc>
      </w:tr>
      <w:tr w:rsidR="009F33CD" w14:paraId="52179A56" w14:textId="77777777">
        <w:trPr>
          <w:cantSplit/>
          <w:trHeight w:val="82"/>
        </w:trPr>
        <w:tc>
          <w:tcPr>
            <w:tcW w:w="355" w:type="pct"/>
            <w:vMerge/>
            <w:tcBorders>
              <w:top w:val="nil"/>
            </w:tcBorders>
          </w:tcPr>
          <w:p w14:paraId="7A4C896C" w14:textId="77777777" w:rsidR="009F33CD" w:rsidRDefault="009F33CD">
            <w:pPr>
              <w:spacing w:before="0" w:beforeAutospacing="0" w:after="0" w:afterAutospacing="0" w:line="240" w:lineRule="auto"/>
              <w:rPr>
                <w:rFonts w:cs="Times New Roman"/>
                <w:bCs/>
              </w:rPr>
            </w:pPr>
          </w:p>
        </w:tc>
        <w:tc>
          <w:tcPr>
            <w:tcW w:w="771" w:type="pct"/>
            <w:tcBorders>
              <w:top w:val="nil"/>
            </w:tcBorders>
          </w:tcPr>
          <w:p w14:paraId="6540ECCB" w14:textId="77777777" w:rsidR="009F33CD" w:rsidRDefault="00E40740">
            <w:pPr>
              <w:spacing w:before="0" w:beforeAutospacing="0" w:after="0" w:afterAutospacing="0" w:line="240" w:lineRule="auto"/>
              <w:rPr>
                <w:rFonts w:cs="Times New Roman"/>
                <w:bCs/>
              </w:rPr>
            </w:pPr>
            <w:r>
              <w:rPr>
                <w:rFonts w:cs="Times New Roman"/>
                <w:bCs/>
              </w:rPr>
              <w:t>GER (X</w:t>
            </w:r>
            <w:r>
              <w:rPr>
                <w:rFonts w:cs="Times New Roman"/>
                <w:bCs/>
                <w:vertAlign w:val="subscript"/>
              </w:rPr>
              <w:t>1</w:t>
            </w:r>
            <w:r>
              <w:t>)</w:t>
            </w:r>
          </w:p>
        </w:tc>
        <w:tc>
          <w:tcPr>
            <w:tcW w:w="690" w:type="pct"/>
            <w:tcBorders>
              <w:top w:val="nil"/>
            </w:tcBorders>
          </w:tcPr>
          <w:p w14:paraId="06C90BA1" w14:textId="77777777" w:rsidR="009F33CD" w:rsidRDefault="00E40740">
            <w:pPr>
              <w:spacing w:before="0" w:beforeAutospacing="0" w:after="0" w:afterAutospacing="0" w:line="240" w:lineRule="auto"/>
              <w:rPr>
                <w:rFonts w:cs="Times New Roman"/>
                <w:bCs/>
              </w:rPr>
            </w:pPr>
            <w:r>
              <w:rPr>
                <w:rFonts w:cs="Times New Roman"/>
                <w:bCs/>
              </w:rPr>
              <w:t>.516</w:t>
            </w:r>
          </w:p>
        </w:tc>
        <w:tc>
          <w:tcPr>
            <w:tcW w:w="737" w:type="pct"/>
            <w:tcBorders>
              <w:top w:val="nil"/>
            </w:tcBorders>
          </w:tcPr>
          <w:p w14:paraId="69CFD7D5" w14:textId="77777777" w:rsidR="009F33CD" w:rsidRDefault="00E40740">
            <w:pPr>
              <w:spacing w:before="0" w:beforeAutospacing="0" w:after="0" w:afterAutospacing="0" w:line="240" w:lineRule="auto"/>
              <w:jc w:val="center"/>
              <w:rPr>
                <w:rFonts w:cs="Times New Roman"/>
                <w:bCs/>
              </w:rPr>
            </w:pPr>
            <w:r>
              <w:rPr>
                <w:rFonts w:cs="Times New Roman"/>
                <w:bCs/>
              </w:rPr>
              <w:t>.115</w:t>
            </w:r>
          </w:p>
        </w:tc>
        <w:tc>
          <w:tcPr>
            <w:tcW w:w="834" w:type="pct"/>
            <w:tcBorders>
              <w:top w:val="nil"/>
            </w:tcBorders>
          </w:tcPr>
          <w:p w14:paraId="6597F6FF" w14:textId="77777777" w:rsidR="009F33CD" w:rsidRDefault="00E40740">
            <w:pPr>
              <w:spacing w:before="0" w:beforeAutospacing="0" w:after="0" w:afterAutospacing="0" w:line="240" w:lineRule="auto"/>
              <w:jc w:val="center"/>
              <w:rPr>
                <w:rFonts w:cs="Times New Roman"/>
                <w:bCs/>
              </w:rPr>
            </w:pPr>
            <w:r>
              <w:rPr>
                <w:rFonts w:cs="Times New Roman"/>
                <w:bCs/>
              </w:rPr>
              <w:t>.381</w:t>
            </w:r>
          </w:p>
        </w:tc>
        <w:tc>
          <w:tcPr>
            <w:tcW w:w="834" w:type="pct"/>
            <w:tcBorders>
              <w:top w:val="nil"/>
            </w:tcBorders>
          </w:tcPr>
          <w:p w14:paraId="11EB6EB4" w14:textId="77777777" w:rsidR="009F33CD" w:rsidRDefault="00E40740">
            <w:pPr>
              <w:spacing w:before="0" w:beforeAutospacing="0" w:after="0" w:afterAutospacing="0" w:line="240" w:lineRule="auto"/>
              <w:jc w:val="center"/>
              <w:rPr>
                <w:rFonts w:cs="Times New Roman"/>
                <w:bCs/>
              </w:rPr>
            </w:pPr>
            <w:r>
              <w:rPr>
                <w:rFonts w:cs="Times New Roman"/>
                <w:bCs/>
              </w:rPr>
              <w:t>4.487</w:t>
            </w:r>
          </w:p>
        </w:tc>
        <w:tc>
          <w:tcPr>
            <w:tcW w:w="779" w:type="pct"/>
            <w:tcBorders>
              <w:top w:val="nil"/>
            </w:tcBorders>
          </w:tcPr>
          <w:p w14:paraId="1002AF9C" w14:textId="77777777" w:rsidR="009F33CD" w:rsidRDefault="00E40740">
            <w:pPr>
              <w:spacing w:before="0" w:beforeAutospacing="0" w:after="0" w:afterAutospacing="0" w:line="240" w:lineRule="auto"/>
              <w:jc w:val="center"/>
              <w:rPr>
                <w:rFonts w:cs="Times New Roman"/>
                <w:bCs/>
              </w:rPr>
            </w:pPr>
            <w:r>
              <w:rPr>
                <w:rFonts w:cs="Times New Roman"/>
                <w:bCs/>
              </w:rPr>
              <w:t>.000</w:t>
            </w:r>
          </w:p>
        </w:tc>
      </w:tr>
      <w:tr w:rsidR="009F33CD" w14:paraId="04E7F9B6" w14:textId="77777777">
        <w:trPr>
          <w:cantSplit/>
          <w:trHeight w:val="82"/>
        </w:trPr>
        <w:tc>
          <w:tcPr>
            <w:tcW w:w="355" w:type="pct"/>
            <w:vMerge/>
          </w:tcPr>
          <w:p w14:paraId="6E88A497" w14:textId="77777777" w:rsidR="009F33CD" w:rsidRDefault="009F33CD">
            <w:pPr>
              <w:spacing w:before="0" w:beforeAutospacing="0" w:after="0" w:afterAutospacing="0" w:line="240" w:lineRule="auto"/>
              <w:rPr>
                <w:rFonts w:cs="Times New Roman"/>
                <w:bCs/>
              </w:rPr>
            </w:pPr>
          </w:p>
        </w:tc>
        <w:tc>
          <w:tcPr>
            <w:tcW w:w="771" w:type="pct"/>
          </w:tcPr>
          <w:p w14:paraId="0B1F1C69" w14:textId="77777777" w:rsidR="009F33CD" w:rsidRDefault="00E40740">
            <w:pPr>
              <w:spacing w:before="0" w:beforeAutospacing="0" w:after="0" w:afterAutospacing="0" w:line="240" w:lineRule="auto"/>
              <w:rPr>
                <w:rFonts w:cs="Times New Roman"/>
                <w:bCs/>
              </w:rPr>
            </w:pPr>
            <w:r>
              <w:rPr>
                <w:rFonts w:cs="Times New Roman"/>
                <w:bCs/>
              </w:rPr>
              <w:t>GT (X</w:t>
            </w:r>
            <w:r>
              <w:rPr>
                <w:rFonts w:cs="Times New Roman"/>
                <w:bCs/>
                <w:vertAlign w:val="subscript"/>
              </w:rPr>
              <w:t>2</w:t>
            </w:r>
            <w:r>
              <w:t>)</w:t>
            </w:r>
          </w:p>
        </w:tc>
        <w:tc>
          <w:tcPr>
            <w:tcW w:w="690" w:type="pct"/>
          </w:tcPr>
          <w:p w14:paraId="43919CD2" w14:textId="77777777" w:rsidR="009F33CD" w:rsidRDefault="00E40740">
            <w:pPr>
              <w:spacing w:before="0" w:beforeAutospacing="0" w:after="0" w:afterAutospacing="0" w:line="240" w:lineRule="auto"/>
              <w:rPr>
                <w:rFonts w:cs="Times New Roman"/>
                <w:bCs/>
              </w:rPr>
            </w:pPr>
            <w:r>
              <w:rPr>
                <w:rFonts w:cs="Times New Roman"/>
                <w:bCs/>
              </w:rPr>
              <w:t>.183</w:t>
            </w:r>
          </w:p>
        </w:tc>
        <w:tc>
          <w:tcPr>
            <w:tcW w:w="737" w:type="pct"/>
          </w:tcPr>
          <w:p w14:paraId="4439F25D" w14:textId="77777777" w:rsidR="009F33CD" w:rsidRDefault="00E40740">
            <w:pPr>
              <w:spacing w:before="0" w:beforeAutospacing="0" w:after="0" w:afterAutospacing="0" w:line="240" w:lineRule="auto"/>
              <w:jc w:val="center"/>
              <w:rPr>
                <w:rFonts w:cs="Times New Roman"/>
                <w:bCs/>
              </w:rPr>
            </w:pPr>
            <w:r>
              <w:rPr>
                <w:rFonts w:cs="Times New Roman"/>
                <w:bCs/>
              </w:rPr>
              <w:t>.109</w:t>
            </w:r>
          </w:p>
        </w:tc>
        <w:tc>
          <w:tcPr>
            <w:tcW w:w="834" w:type="pct"/>
          </w:tcPr>
          <w:p w14:paraId="7E13BDF6" w14:textId="77777777" w:rsidR="009F33CD" w:rsidRDefault="00E40740">
            <w:pPr>
              <w:spacing w:before="0" w:beforeAutospacing="0" w:after="0" w:afterAutospacing="0" w:line="240" w:lineRule="auto"/>
              <w:jc w:val="center"/>
              <w:rPr>
                <w:rFonts w:cs="Times New Roman"/>
                <w:bCs/>
              </w:rPr>
            </w:pPr>
            <w:r>
              <w:rPr>
                <w:rFonts w:cs="Times New Roman"/>
                <w:bCs/>
              </w:rPr>
              <w:t>.160</w:t>
            </w:r>
          </w:p>
        </w:tc>
        <w:tc>
          <w:tcPr>
            <w:tcW w:w="834" w:type="pct"/>
          </w:tcPr>
          <w:p w14:paraId="566B80F3" w14:textId="77777777" w:rsidR="009F33CD" w:rsidRDefault="00E40740">
            <w:pPr>
              <w:spacing w:before="0" w:beforeAutospacing="0" w:after="0" w:afterAutospacing="0" w:line="240" w:lineRule="auto"/>
              <w:jc w:val="center"/>
              <w:rPr>
                <w:rFonts w:cs="Times New Roman"/>
                <w:bCs/>
              </w:rPr>
            </w:pPr>
            <w:r>
              <w:rPr>
                <w:rFonts w:cs="Times New Roman"/>
                <w:bCs/>
              </w:rPr>
              <w:t>1.675</w:t>
            </w:r>
          </w:p>
        </w:tc>
        <w:tc>
          <w:tcPr>
            <w:tcW w:w="779" w:type="pct"/>
          </w:tcPr>
          <w:p w14:paraId="753ECA68" w14:textId="77777777" w:rsidR="009F33CD" w:rsidRDefault="00E40740">
            <w:pPr>
              <w:spacing w:before="0" w:beforeAutospacing="0" w:after="0" w:afterAutospacing="0" w:line="240" w:lineRule="auto"/>
              <w:jc w:val="center"/>
              <w:rPr>
                <w:rFonts w:cs="Times New Roman"/>
                <w:bCs/>
              </w:rPr>
            </w:pPr>
            <w:r>
              <w:rPr>
                <w:rFonts w:cs="Times New Roman"/>
                <w:bCs/>
              </w:rPr>
              <w:t>.003</w:t>
            </w:r>
          </w:p>
        </w:tc>
      </w:tr>
      <w:tr w:rsidR="009F33CD" w14:paraId="3E3E591B" w14:textId="77777777">
        <w:trPr>
          <w:cantSplit/>
          <w:trHeight w:val="82"/>
        </w:trPr>
        <w:tc>
          <w:tcPr>
            <w:tcW w:w="355" w:type="pct"/>
            <w:vMerge/>
          </w:tcPr>
          <w:p w14:paraId="52636D65" w14:textId="77777777" w:rsidR="009F33CD" w:rsidRDefault="009F33CD">
            <w:pPr>
              <w:spacing w:before="0" w:beforeAutospacing="0" w:after="0" w:afterAutospacing="0" w:line="240" w:lineRule="auto"/>
              <w:rPr>
                <w:rFonts w:cs="Times New Roman"/>
                <w:bCs/>
              </w:rPr>
            </w:pPr>
          </w:p>
        </w:tc>
        <w:tc>
          <w:tcPr>
            <w:tcW w:w="771" w:type="pct"/>
          </w:tcPr>
          <w:p w14:paraId="4B6890F6" w14:textId="77777777" w:rsidR="009F33CD" w:rsidRDefault="00E40740">
            <w:pPr>
              <w:spacing w:before="0" w:beforeAutospacing="0" w:after="0" w:afterAutospacing="0" w:line="240" w:lineRule="auto"/>
              <w:rPr>
                <w:rFonts w:cs="Times New Roman"/>
                <w:bCs/>
              </w:rPr>
            </w:pPr>
            <w:r>
              <w:rPr>
                <w:rFonts w:cs="Times New Roman"/>
                <w:bCs/>
              </w:rPr>
              <w:t>GOSH (X</w:t>
            </w:r>
            <w:r>
              <w:rPr>
                <w:rFonts w:cs="Times New Roman"/>
                <w:bCs/>
                <w:vertAlign w:val="subscript"/>
              </w:rPr>
              <w:t>3</w:t>
            </w:r>
            <w:r>
              <w:t>)</w:t>
            </w:r>
          </w:p>
        </w:tc>
        <w:tc>
          <w:tcPr>
            <w:tcW w:w="690" w:type="pct"/>
          </w:tcPr>
          <w:p w14:paraId="058DFBF9" w14:textId="77777777" w:rsidR="009F33CD" w:rsidRDefault="00E40740">
            <w:pPr>
              <w:spacing w:before="0" w:beforeAutospacing="0" w:after="0" w:afterAutospacing="0" w:line="240" w:lineRule="auto"/>
              <w:rPr>
                <w:rFonts w:cs="Times New Roman"/>
                <w:bCs/>
              </w:rPr>
            </w:pPr>
            <w:r>
              <w:rPr>
                <w:rFonts w:cs="Times New Roman"/>
                <w:bCs/>
              </w:rPr>
              <w:t>.355</w:t>
            </w:r>
          </w:p>
        </w:tc>
        <w:tc>
          <w:tcPr>
            <w:tcW w:w="737" w:type="pct"/>
          </w:tcPr>
          <w:p w14:paraId="33082153" w14:textId="77777777" w:rsidR="009F33CD" w:rsidRDefault="00E40740">
            <w:pPr>
              <w:spacing w:before="0" w:beforeAutospacing="0" w:after="0" w:afterAutospacing="0" w:line="240" w:lineRule="auto"/>
              <w:jc w:val="center"/>
              <w:rPr>
                <w:rFonts w:cs="Times New Roman"/>
                <w:bCs/>
              </w:rPr>
            </w:pPr>
            <w:r>
              <w:rPr>
                <w:rFonts w:cs="Times New Roman"/>
                <w:bCs/>
              </w:rPr>
              <w:t>.122</w:t>
            </w:r>
          </w:p>
        </w:tc>
        <w:tc>
          <w:tcPr>
            <w:tcW w:w="834" w:type="pct"/>
          </w:tcPr>
          <w:p w14:paraId="59F34AE3" w14:textId="77777777" w:rsidR="009F33CD" w:rsidRDefault="00E40740">
            <w:pPr>
              <w:spacing w:before="0" w:beforeAutospacing="0" w:after="0" w:afterAutospacing="0" w:line="240" w:lineRule="auto"/>
              <w:jc w:val="center"/>
              <w:rPr>
                <w:rFonts w:cs="Times New Roman"/>
                <w:bCs/>
              </w:rPr>
            </w:pPr>
            <w:r>
              <w:rPr>
                <w:rFonts w:cs="Times New Roman"/>
                <w:bCs/>
              </w:rPr>
              <w:t>.301</w:t>
            </w:r>
          </w:p>
        </w:tc>
        <w:tc>
          <w:tcPr>
            <w:tcW w:w="834" w:type="pct"/>
          </w:tcPr>
          <w:p w14:paraId="658CC938" w14:textId="77777777" w:rsidR="009F33CD" w:rsidRDefault="00E40740">
            <w:pPr>
              <w:spacing w:before="0" w:beforeAutospacing="0" w:after="0" w:afterAutospacing="0" w:line="240" w:lineRule="auto"/>
              <w:jc w:val="center"/>
              <w:rPr>
                <w:rFonts w:cs="Times New Roman"/>
                <w:bCs/>
              </w:rPr>
            </w:pPr>
            <w:r>
              <w:rPr>
                <w:rFonts w:cs="Times New Roman"/>
                <w:bCs/>
              </w:rPr>
              <w:t>2.903</w:t>
            </w:r>
          </w:p>
        </w:tc>
        <w:tc>
          <w:tcPr>
            <w:tcW w:w="779" w:type="pct"/>
          </w:tcPr>
          <w:p w14:paraId="6510529E" w14:textId="77777777" w:rsidR="009F33CD" w:rsidRDefault="00E40740">
            <w:pPr>
              <w:spacing w:before="0" w:beforeAutospacing="0" w:after="0" w:afterAutospacing="0" w:line="240" w:lineRule="auto"/>
              <w:jc w:val="center"/>
              <w:rPr>
                <w:rFonts w:cs="Times New Roman"/>
                <w:bCs/>
              </w:rPr>
            </w:pPr>
            <w:r>
              <w:rPr>
                <w:rFonts w:cs="Times New Roman"/>
                <w:bCs/>
              </w:rPr>
              <w:t>.001</w:t>
            </w:r>
          </w:p>
        </w:tc>
      </w:tr>
      <w:tr w:rsidR="009F33CD" w14:paraId="57E31A5F" w14:textId="77777777">
        <w:trPr>
          <w:cantSplit/>
          <w:trHeight w:val="128"/>
        </w:trPr>
        <w:tc>
          <w:tcPr>
            <w:tcW w:w="355" w:type="pct"/>
            <w:vMerge/>
            <w:tcBorders>
              <w:bottom w:val="single" w:sz="4" w:space="0" w:color="auto"/>
            </w:tcBorders>
          </w:tcPr>
          <w:p w14:paraId="78ED3540" w14:textId="77777777" w:rsidR="009F33CD" w:rsidRDefault="009F33CD">
            <w:pPr>
              <w:spacing w:before="0" w:beforeAutospacing="0" w:after="0" w:afterAutospacing="0" w:line="240" w:lineRule="auto"/>
              <w:rPr>
                <w:rFonts w:cs="Times New Roman"/>
                <w:bCs/>
              </w:rPr>
            </w:pPr>
          </w:p>
        </w:tc>
        <w:tc>
          <w:tcPr>
            <w:tcW w:w="771" w:type="pct"/>
            <w:tcBorders>
              <w:bottom w:val="single" w:sz="4" w:space="0" w:color="auto"/>
            </w:tcBorders>
          </w:tcPr>
          <w:p w14:paraId="3F20CD4A" w14:textId="77777777" w:rsidR="009F33CD" w:rsidRDefault="00E40740">
            <w:pPr>
              <w:spacing w:before="0" w:beforeAutospacing="0" w:after="0" w:afterAutospacing="0" w:line="240" w:lineRule="auto"/>
              <w:rPr>
                <w:rFonts w:cs="Times New Roman"/>
                <w:bCs/>
              </w:rPr>
            </w:pPr>
            <w:r>
              <w:rPr>
                <w:rFonts w:cs="Times New Roman"/>
                <w:bCs/>
              </w:rPr>
              <w:t>GPE (X</w:t>
            </w:r>
            <w:r>
              <w:rPr>
                <w:rFonts w:cs="Times New Roman"/>
                <w:bCs/>
                <w:vertAlign w:val="subscript"/>
              </w:rPr>
              <w:t>4</w:t>
            </w:r>
            <w:r>
              <w:t>)</w:t>
            </w:r>
          </w:p>
        </w:tc>
        <w:tc>
          <w:tcPr>
            <w:tcW w:w="690" w:type="pct"/>
            <w:tcBorders>
              <w:bottom w:val="single" w:sz="4" w:space="0" w:color="auto"/>
            </w:tcBorders>
          </w:tcPr>
          <w:p w14:paraId="68705F3B" w14:textId="77777777" w:rsidR="009F33CD" w:rsidRDefault="00E40740">
            <w:pPr>
              <w:spacing w:before="0" w:beforeAutospacing="0" w:after="0" w:afterAutospacing="0" w:line="240" w:lineRule="auto"/>
              <w:rPr>
                <w:rFonts w:cs="Times New Roman"/>
                <w:bCs/>
              </w:rPr>
            </w:pPr>
            <w:r>
              <w:rPr>
                <w:rFonts w:cs="Times New Roman"/>
                <w:bCs/>
              </w:rPr>
              <w:t>.085</w:t>
            </w:r>
          </w:p>
        </w:tc>
        <w:tc>
          <w:tcPr>
            <w:tcW w:w="737" w:type="pct"/>
            <w:tcBorders>
              <w:bottom w:val="single" w:sz="4" w:space="0" w:color="auto"/>
            </w:tcBorders>
          </w:tcPr>
          <w:p w14:paraId="3A0241FC" w14:textId="77777777" w:rsidR="009F33CD" w:rsidRDefault="00E40740">
            <w:pPr>
              <w:spacing w:before="0" w:beforeAutospacing="0" w:after="0" w:afterAutospacing="0" w:line="240" w:lineRule="auto"/>
              <w:jc w:val="center"/>
              <w:rPr>
                <w:rFonts w:cs="Times New Roman"/>
                <w:bCs/>
              </w:rPr>
            </w:pPr>
            <w:r>
              <w:rPr>
                <w:rFonts w:cs="Times New Roman"/>
                <w:bCs/>
              </w:rPr>
              <w:t>.118</w:t>
            </w:r>
          </w:p>
        </w:tc>
        <w:tc>
          <w:tcPr>
            <w:tcW w:w="834" w:type="pct"/>
            <w:tcBorders>
              <w:bottom w:val="single" w:sz="4" w:space="0" w:color="auto"/>
            </w:tcBorders>
          </w:tcPr>
          <w:p w14:paraId="03AA3B70" w14:textId="77777777" w:rsidR="009F33CD" w:rsidRDefault="00E40740">
            <w:pPr>
              <w:spacing w:before="0" w:beforeAutospacing="0" w:after="0" w:afterAutospacing="0" w:line="240" w:lineRule="auto"/>
              <w:jc w:val="center"/>
              <w:rPr>
                <w:rFonts w:cs="Times New Roman"/>
                <w:bCs/>
              </w:rPr>
            </w:pPr>
            <w:r>
              <w:rPr>
                <w:rFonts w:cs="Times New Roman"/>
                <w:bCs/>
              </w:rPr>
              <w:t>.058</w:t>
            </w:r>
          </w:p>
        </w:tc>
        <w:tc>
          <w:tcPr>
            <w:tcW w:w="834" w:type="pct"/>
            <w:tcBorders>
              <w:bottom w:val="single" w:sz="4" w:space="0" w:color="auto"/>
            </w:tcBorders>
          </w:tcPr>
          <w:p w14:paraId="34B6F7D4" w14:textId="77777777" w:rsidR="009F33CD" w:rsidRDefault="00E40740">
            <w:pPr>
              <w:spacing w:before="0" w:beforeAutospacing="0" w:after="0" w:afterAutospacing="0" w:line="240" w:lineRule="auto"/>
              <w:jc w:val="center"/>
              <w:rPr>
                <w:rFonts w:cs="Times New Roman"/>
                <w:bCs/>
              </w:rPr>
            </w:pPr>
            <w:r>
              <w:rPr>
                <w:rFonts w:cs="Times New Roman"/>
                <w:bCs/>
              </w:rPr>
              <w:t>.715</w:t>
            </w:r>
          </w:p>
        </w:tc>
        <w:tc>
          <w:tcPr>
            <w:tcW w:w="779" w:type="pct"/>
            <w:tcBorders>
              <w:bottom w:val="single" w:sz="4" w:space="0" w:color="auto"/>
            </w:tcBorders>
          </w:tcPr>
          <w:p w14:paraId="6A4E4612" w14:textId="77777777" w:rsidR="009F33CD" w:rsidRDefault="00E40740">
            <w:pPr>
              <w:spacing w:before="0" w:beforeAutospacing="0" w:after="0" w:afterAutospacing="0" w:line="240" w:lineRule="auto"/>
              <w:jc w:val="center"/>
              <w:rPr>
                <w:rFonts w:cs="Times New Roman"/>
                <w:bCs/>
              </w:rPr>
            </w:pPr>
            <w:r>
              <w:rPr>
                <w:rFonts w:cs="Times New Roman"/>
                <w:bCs/>
              </w:rPr>
              <w:t>.003</w:t>
            </w:r>
          </w:p>
        </w:tc>
      </w:tr>
      <w:tr w:rsidR="009F33CD" w14:paraId="0CB65F5A" w14:textId="77777777">
        <w:trPr>
          <w:cantSplit/>
          <w:trHeight w:val="128"/>
        </w:trPr>
        <w:tc>
          <w:tcPr>
            <w:tcW w:w="5000" w:type="pct"/>
            <w:gridSpan w:val="7"/>
            <w:tcBorders>
              <w:top w:val="single" w:sz="4" w:space="0" w:color="auto"/>
              <w:bottom w:val="nil"/>
            </w:tcBorders>
          </w:tcPr>
          <w:p w14:paraId="3E7795B0" w14:textId="77777777" w:rsidR="009F33CD" w:rsidRDefault="00E40740" w:rsidP="0044359C">
            <w:pPr>
              <w:pStyle w:val="ListParagraph"/>
              <w:numPr>
                <w:ilvl w:val="0"/>
                <w:numId w:val="9"/>
              </w:numPr>
              <w:spacing w:before="0" w:beforeAutospacing="0" w:after="0" w:afterAutospacing="0" w:line="240" w:lineRule="auto"/>
              <w:ind w:left="426"/>
              <w:jc w:val="left"/>
              <w:rPr>
                <w:rFonts w:cs="Times New Roman"/>
                <w:bCs w:val="0"/>
              </w:rPr>
            </w:pPr>
            <w:r>
              <w:rPr>
                <w:rFonts w:ascii="Times New Roman" w:hAnsi="Times New Roman" w:cs="Times New Roman"/>
                <w:sz w:val="24"/>
                <w:szCs w:val="24"/>
              </w:rPr>
              <w:t>Dependent variable: Performance of Devolved Healthcare Services in Kenya</w:t>
            </w:r>
          </w:p>
        </w:tc>
      </w:tr>
    </w:tbl>
    <w:p w14:paraId="4B74AE13" w14:textId="77777777" w:rsidR="009F33CD" w:rsidRDefault="00E40740">
      <w:pPr>
        <w:rPr>
          <w:bCs/>
        </w:rPr>
      </w:pPr>
      <w:bookmarkStart w:id="1512" w:name="_Hlk187861453"/>
      <w:bookmarkStart w:id="1513" w:name="_Hlk174351266"/>
      <w:r>
        <w:rPr>
          <w:bCs/>
        </w:rPr>
        <w:t>Y = Performance of devolved Healthcare Services, β</w:t>
      </w:r>
      <w:r>
        <w:rPr>
          <w:bCs/>
          <w:vertAlign w:val="subscript"/>
        </w:rPr>
        <w:t>0</w:t>
      </w:r>
      <w:r>
        <w:rPr>
          <w:bCs/>
        </w:rPr>
        <w:t>= Constant, β= regression co-efficient, X</w:t>
      </w:r>
      <w:r>
        <w:rPr>
          <w:bCs/>
          <w:vertAlign w:val="subscript"/>
        </w:rPr>
        <w:t>1</w:t>
      </w:r>
      <w:r>
        <w:rPr>
          <w:bCs/>
        </w:rPr>
        <w:t>= Green Employee Resourcing, X</w:t>
      </w:r>
      <w:r>
        <w:rPr>
          <w:bCs/>
          <w:vertAlign w:val="subscript"/>
        </w:rPr>
        <w:t>2</w:t>
      </w:r>
      <w:r>
        <w:rPr>
          <w:bCs/>
        </w:rPr>
        <w:t xml:space="preserve"> = green Training, X</w:t>
      </w:r>
      <w:r>
        <w:rPr>
          <w:bCs/>
          <w:vertAlign w:val="subscript"/>
        </w:rPr>
        <w:t>3</w:t>
      </w:r>
      <w:r>
        <w:rPr>
          <w:bCs/>
        </w:rPr>
        <w:t>= Green occupational safety and health, X</w:t>
      </w:r>
      <w:r>
        <w:rPr>
          <w:bCs/>
          <w:vertAlign w:val="subscript"/>
        </w:rPr>
        <w:t>4</w:t>
      </w:r>
      <w:r>
        <w:rPr>
          <w:bCs/>
        </w:rPr>
        <w:t xml:space="preserve"> = Green performance Evaluation and e= error term of the sample </w:t>
      </w:r>
    </w:p>
    <w:bookmarkEnd w:id="1512"/>
    <w:p w14:paraId="5646F973" w14:textId="77777777" w:rsidR="009F33CD" w:rsidRDefault="00E40740">
      <w:pPr>
        <w:rPr>
          <w:rFonts w:cs="Times New Roman"/>
          <w:bCs/>
          <w:szCs w:val="24"/>
        </w:rPr>
      </w:pPr>
      <w:r>
        <w:rPr>
          <w:rFonts w:cs="Times New Roman"/>
          <w:bCs/>
          <w:szCs w:val="24"/>
        </w:rPr>
        <w:t xml:space="preserve">The </w:t>
      </w:r>
      <w:r w:rsidR="009427A3">
        <w:rPr>
          <w:rFonts w:cs="Times New Roman"/>
          <w:bCs/>
          <w:szCs w:val="24"/>
        </w:rPr>
        <w:t>findings in Table 4.41</w:t>
      </w:r>
      <w:r>
        <w:rPr>
          <w:rFonts w:cs="Times New Roman"/>
          <w:bCs/>
          <w:szCs w:val="24"/>
        </w:rPr>
        <w:t xml:space="preserve"> reveal that the intercept (-330), is the expected value of Y when all the independent variables X</w:t>
      </w:r>
      <w:r>
        <w:rPr>
          <w:rFonts w:cs="Times New Roman"/>
          <w:bCs/>
          <w:szCs w:val="24"/>
          <w:vertAlign w:val="subscript"/>
        </w:rPr>
        <w:t>1</w:t>
      </w:r>
      <w:r>
        <w:rPr>
          <w:rFonts w:cs="Times New Roman"/>
          <w:bCs/>
          <w:szCs w:val="24"/>
        </w:rPr>
        <w:t>, X</w:t>
      </w:r>
      <w:r>
        <w:rPr>
          <w:rFonts w:cs="Times New Roman"/>
          <w:bCs/>
          <w:szCs w:val="24"/>
          <w:vertAlign w:val="subscript"/>
        </w:rPr>
        <w:t>2</w:t>
      </w:r>
      <w:r>
        <w:rPr>
          <w:rFonts w:cs="Times New Roman"/>
          <w:bCs/>
          <w:szCs w:val="24"/>
        </w:rPr>
        <w:t>, X</w:t>
      </w:r>
      <w:r>
        <w:rPr>
          <w:rFonts w:cs="Times New Roman"/>
          <w:bCs/>
          <w:szCs w:val="24"/>
          <w:vertAlign w:val="subscript"/>
        </w:rPr>
        <w:t>3</w:t>
      </w:r>
      <w:r>
        <w:rPr>
          <w:rFonts w:cs="Times New Roman"/>
          <w:bCs/>
          <w:szCs w:val="24"/>
        </w:rPr>
        <w:t>, and X</w:t>
      </w:r>
      <w:r>
        <w:rPr>
          <w:rFonts w:cs="Times New Roman"/>
          <w:bCs/>
          <w:szCs w:val="24"/>
          <w:vertAlign w:val="subscript"/>
        </w:rPr>
        <w:t>4</w:t>
      </w:r>
      <w:r>
        <w:rPr>
          <w:rFonts w:cs="Times New Roman"/>
          <w:bCs/>
          <w:szCs w:val="24"/>
        </w:rPr>
        <w:t xml:space="preserve"> are zero. In this case, Y would be -330. Green employee resourcing practice (0.516) implies that for each one-unit increase in X</w:t>
      </w:r>
      <w:r>
        <w:rPr>
          <w:rFonts w:cs="Times New Roman"/>
          <w:bCs/>
          <w:szCs w:val="24"/>
          <w:vertAlign w:val="subscript"/>
        </w:rPr>
        <w:t>1</w:t>
      </w:r>
      <w:r>
        <w:rPr>
          <w:rFonts w:cs="Times New Roman"/>
          <w:bCs/>
          <w:szCs w:val="24"/>
        </w:rPr>
        <w:t>, Y increases by 0.516, holding all other variables constant; green training practice (0.183) implies that for each one-unit increase in X</w:t>
      </w:r>
      <w:r>
        <w:rPr>
          <w:rFonts w:cs="Times New Roman"/>
          <w:bCs/>
          <w:szCs w:val="24"/>
          <w:vertAlign w:val="subscript"/>
        </w:rPr>
        <w:t>2</w:t>
      </w:r>
      <w:r>
        <w:rPr>
          <w:rFonts w:cs="Times New Roman"/>
          <w:bCs/>
          <w:szCs w:val="24"/>
        </w:rPr>
        <w:t>, Y increases by 0.183, holding all other variables constant; green occupational safety and health practice (0.355) implies that for each one-unit increase in X</w:t>
      </w:r>
      <w:r>
        <w:rPr>
          <w:rFonts w:cs="Times New Roman"/>
          <w:bCs/>
          <w:szCs w:val="24"/>
          <w:vertAlign w:val="subscript"/>
        </w:rPr>
        <w:t>3</w:t>
      </w:r>
      <w:r>
        <w:rPr>
          <w:rFonts w:cs="Times New Roman"/>
          <w:bCs/>
          <w:szCs w:val="24"/>
        </w:rPr>
        <w:t>, Y increases by 0.355, holding all other variables constant and finally, green performance evaluation practice (0.085) implies that for each one-unit increase in X</w:t>
      </w:r>
      <w:r>
        <w:rPr>
          <w:rFonts w:cs="Times New Roman"/>
          <w:bCs/>
          <w:szCs w:val="24"/>
          <w:vertAlign w:val="subscript"/>
        </w:rPr>
        <w:t>4</w:t>
      </w:r>
      <w:r>
        <w:rPr>
          <w:rFonts w:cs="Times New Roman"/>
          <w:bCs/>
          <w:szCs w:val="24"/>
        </w:rPr>
        <w:t>, Y increases by 0.085, holding all other variables constant. From the coefficients, the following model was developed:</w:t>
      </w:r>
    </w:p>
    <w:p w14:paraId="7BDC95DA" w14:textId="77777777" w:rsidR="009F33CD" w:rsidRDefault="00E40740">
      <w:pPr>
        <w:ind w:firstLine="720"/>
        <w:jc w:val="right"/>
        <w:rPr>
          <w:rFonts w:cs="Times New Roman"/>
          <w:sz w:val="40"/>
          <w:szCs w:val="40"/>
          <w:vertAlign w:val="subscript"/>
        </w:rPr>
      </w:pPr>
      <w:r>
        <w:rPr>
          <w:rFonts w:cs="Times New Roman"/>
        </w:rPr>
        <w:t>Y= -330+.516X</w:t>
      </w:r>
      <w:r>
        <w:rPr>
          <w:rFonts w:cs="Times New Roman"/>
          <w:vertAlign w:val="subscript"/>
        </w:rPr>
        <w:t>1</w:t>
      </w:r>
      <w:r>
        <w:rPr>
          <w:rFonts w:cs="Times New Roman"/>
        </w:rPr>
        <w:t>+ .183X</w:t>
      </w:r>
      <w:r>
        <w:rPr>
          <w:rFonts w:cs="Times New Roman"/>
          <w:vertAlign w:val="subscript"/>
        </w:rPr>
        <w:t>2</w:t>
      </w:r>
      <w:r>
        <w:rPr>
          <w:rFonts w:cs="Times New Roman"/>
        </w:rPr>
        <w:t>+.355X</w:t>
      </w:r>
      <w:r>
        <w:rPr>
          <w:rFonts w:cs="Times New Roman"/>
          <w:vertAlign w:val="subscript"/>
        </w:rPr>
        <w:t>3</w:t>
      </w:r>
      <w:r>
        <w:rPr>
          <w:rFonts w:cs="Times New Roman"/>
        </w:rPr>
        <w:t>+.085X</w:t>
      </w:r>
      <w:r>
        <w:rPr>
          <w:rFonts w:cs="Times New Roman"/>
          <w:vertAlign w:val="subscript"/>
        </w:rPr>
        <w:t>4</w:t>
      </w:r>
      <w:r>
        <w:rPr>
          <w:rFonts w:cs="Times New Roman"/>
          <w:sz w:val="40"/>
          <w:szCs w:val="40"/>
          <w:vertAlign w:val="subscript"/>
        </w:rPr>
        <w:t>+</w:t>
      </w:r>
      <w:r>
        <w:rPr>
          <w:rFonts w:cs="Times New Roman"/>
          <w:sz w:val="36"/>
          <w:szCs w:val="36"/>
          <w:vertAlign w:val="subscript"/>
        </w:rPr>
        <w:t>e.</w:t>
      </w:r>
      <w:r>
        <w:rPr>
          <w:rFonts w:cs="Times New Roman"/>
          <w:sz w:val="40"/>
          <w:szCs w:val="40"/>
          <w:vertAlign w:val="subscript"/>
        </w:rPr>
        <w:t>……………………… (eq.6)</w:t>
      </w:r>
    </w:p>
    <w:p w14:paraId="586DCDAC" w14:textId="77777777" w:rsidR="009F33CD" w:rsidRDefault="00E40740">
      <w:pPr>
        <w:rPr>
          <w:rFonts w:cs="Times New Roman"/>
        </w:rPr>
      </w:pPr>
      <w:r>
        <w:rPr>
          <w:rFonts w:cs="Times New Roman"/>
          <w:bCs/>
          <w:szCs w:val="24"/>
        </w:rPr>
        <w:t xml:space="preserve">The beta coefficients in the regression model indicate that all the tested variables had a positive association with the performance of devolved healthcare services. The results indicate that green employee resourcing has significant positive effect on the performance of devolved healthcare services, with a coefficient of 0.516. Green occupational safety and health practice has an effect on the performance of devolved </w:t>
      </w:r>
      <w:r>
        <w:rPr>
          <w:rFonts w:cs="Times New Roman"/>
          <w:bCs/>
          <w:szCs w:val="24"/>
        </w:rPr>
        <w:lastRenderedPageBreak/>
        <w:t xml:space="preserve">healthcare services, with a coefficient of 0.355. Green training and green performance evaluation have a smaller positive effect on the performance of devolved healthcare services, with coefficients of 0.183 and 0.085, respectively. At </w:t>
      </w:r>
      <w:r>
        <w:rPr>
          <w:rFonts w:cs="Times New Roman"/>
        </w:rPr>
        <w:t xml:space="preserve">t </w:t>
      </w:r>
      <w:r>
        <w:rPr>
          <w:rFonts w:cs="Times New Roman"/>
          <w:vertAlign w:val="subscript"/>
        </w:rPr>
        <w:t>critical</w:t>
      </w:r>
      <w:r>
        <w:rPr>
          <w:rFonts w:cs="Times New Roman"/>
        </w:rPr>
        <w:t xml:space="preserve"> =1.96 with a 95 percent confidence level, green employee resourcing with a t-value of 4.487 was the most significant, followed by green occupational safety and health practice with a t-value of 2.903, followed by green training with a t-value of 1.675 and finally green performance evaluation with t-value of 0.715. </w:t>
      </w:r>
    </w:p>
    <w:p w14:paraId="07781488" w14:textId="77777777" w:rsidR="009F33CD" w:rsidRDefault="00A63BEB">
      <w:pPr>
        <w:pStyle w:val="Heading6"/>
      </w:pPr>
      <w:bookmarkStart w:id="1514" w:name="_Toc224237471"/>
      <w:r>
        <w:t>Table 4.42</w:t>
      </w:r>
      <w:r w:rsidR="00E40740">
        <w:t>: ANOVA</w:t>
      </w:r>
      <w:r w:rsidR="00E40740">
        <w:rPr>
          <w:vertAlign w:val="superscript"/>
        </w:rPr>
        <w:t xml:space="preserve">a </w:t>
      </w:r>
      <w:r w:rsidR="00E40740">
        <w:t>Model Summary</w:t>
      </w:r>
      <w:bookmarkEnd w:id="1514"/>
      <w:r w:rsidR="00E40740">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10"/>
        <w:gridCol w:w="1291"/>
        <w:gridCol w:w="2311"/>
        <w:gridCol w:w="672"/>
        <w:gridCol w:w="1818"/>
        <w:gridCol w:w="947"/>
        <w:gridCol w:w="771"/>
      </w:tblGrid>
      <w:tr w:rsidR="009F33CD" w14:paraId="373562E1" w14:textId="77777777">
        <w:trPr>
          <w:cantSplit/>
          <w:trHeight w:val="45"/>
        </w:trPr>
        <w:tc>
          <w:tcPr>
            <w:tcW w:w="1034" w:type="pct"/>
            <w:gridSpan w:val="2"/>
            <w:tcBorders>
              <w:top w:val="single" w:sz="4" w:space="0" w:color="auto"/>
              <w:bottom w:val="single" w:sz="4" w:space="0" w:color="auto"/>
            </w:tcBorders>
          </w:tcPr>
          <w:p w14:paraId="24B85F1A" w14:textId="77777777" w:rsidR="009F33CD" w:rsidRDefault="00E40740">
            <w:pPr>
              <w:rPr>
                <w:rFonts w:cs="Times New Roman"/>
                <w:b/>
              </w:rPr>
            </w:pPr>
            <w:r>
              <w:rPr>
                <w:rFonts w:cs="Times New Roman"/>
                <w:b/>
              </w:rPr>
              <w:t>Model</w:t>
            </w:r>
          </w:p>
        </w:tc>
        <w:tc>
          <w:tcPr>
            <w:tcW w:w="1406" w:type="pct"/>
            <w:tcBorders>
              <w:top w:val="single" w:sz="4" w:space="0" w:color="auto"/>
              <w:bottom w:val="single" w:sz="4" w:space="0" w:color="auto"/>
            </w:tcBorders>
          </w:tcPr>
          <w:p w14:paraId="50253D0A" w14:textId="77777777" w:rsidR="009F33CD" w:rsidRDefault="00E40740">
            <w:pPr>
              <w:rPr>
                <w:rFonts w:cs="Times New Roman"/>
                <w:b/>
              </w:rPr>
            </w:pPr>
            <w:r>
              <w:rPr>
                <w:rFonts w:cs="Times New Roman"/>
                <w:b/>
              </w:rPr>
              <w:t>Sum of Squares</w:t>
            </w:r>
          </w:p>
        </w:tc>
        <w:tc>
          <w:tcPr>
            <w:tcW w:w="409" w:type="pct"/>
            <w:tcBorders>
              <w:top w:val="single" w:sz="4" w:space="0" w:color="auto"/>
              <w:bottom w:val="single" w:sz="4" w:space="0" w:color="auto"/>
            </w:tcBorders>
          </w:tcPr>
          <w:p w14:paraId="3FA3853F" w14:textId="77777777" w:rsidR="009F33CD" w:rsidRDefault="00E40740">
            <w:pPr>
              <w:rPr>
                <w:rFonts w:cs="Times New Roman"/>
                <w:b/>
              </w:rPr>
            </w:pPr>
            <w:r>
              <w:rPr>
                <w:rFonts w:cs="Times New Roman"/>
                <w:b/>
              </w:rPr>
              <w:t>Df</w:t>
            </w:r>
          </w:p>
        </w:tc>
        <w:tc>
          <w:tcPr>
            <w:tcW w:w="1106" w:type="pct"/>
            <w:tcBorders>
              <w:top w:val="single" w:sz="4" w:space="0" w:color="auto"/>
              <w:bottom w:val="single" w:sz="4" w:space="0" w:color="auto"/>
            </w:tcBorders>
          </w:tcPr>
          <w:p w14:paraId="7F3B88D7" w14:textId="77777777" w:rsidR="009F33CD" w:rsidRDefault="00E40740">
            <w:pPr>
              <w:rPr>
                <w:rFonts w:cs="Times New Roman"/>
                <w:b/>
              </w:rPr>
            </w:pPr>
            <w:r>
              <w:rPr>
                <w:rFonts w:cs="Times New Roman"/>
                <w:b/>
              </w:rPr>
              <w:t>Mean Square</w:t>
            </w:r>
          </w:p>
        </w:tc>
        <w:tc>
          <w:tcPr>
            <w:tcW w:w="576" w:type="pct"/>
            <w:tcBorders>
              <w:top w:val="single" w:sz="4" w:space="0" w:color="auto"/>
              <w:bottom w:val="single" w:sz="4" w:space="0" w:color="auto"/>
            </w:tcBorders>
          </w:tcPr>
          <w:p w14:paraId="29FDA0D5" w14:textId="77777777" w:rsidR="009F33CD" w:rsidRDefault="00E40740">
            <w:pPr>
              <w:rPr>
                <w:rFonts w:cs="Times New Roman"/>
                <w:b/>
              </w:rPr>
            </w:pPr>
            <w:r>
              <w:rPr>
                <w:rFonts w:cs="Times New Roman"/>
                <w:b/>
              </w:rPr>
              <w:t>F</w:t>
            </w:r>
          </w:p>
        </w:tc>
        <w:tc>
          <w:tcPr>
            <w:tcW w:w="470" w:type="pct"/>
            <w:tcBorders>
              <w:top w:val="single" w:sz="4" w:space="0" w:color="auto"/>
              <w:bottom w:val="single" w:sz="4" w:space="0" w:color="auto"/>
            </w:tcBorders>
          </w:tcPr>
          <w:p w14:paraId="020FE79F" w14:textId="77777777" w:rsidR="009F33CD" w:rsidRDefault="00E40740">
            <w:pPr>
              <w:rPr>
                <w:rFonts w:cs="Times New Roman"/>
                <w:b/>
              </w:rPr>
            </w:pPr>
            <w:r>
              <w:rPr>
                <w:rFonts w:cs="Times New Roman"/>
                <w:b/>
              </w:rPr>
              <w:t>Sig.</w:t>
            </w:r>
          </w:p>
        </w:tc>
      </w:tr>
      <w:tr w:rsidR="009F33CD" w14:paraId="70BE7FA6" w14:textId="77777777">
        <w:trPr>
          <w:cantSplit/>
          <w:trHeight w:val="20"/>
        </w:trPr>
        <w:tc>
          <w:tcPr>
            <w:tcW w:w="249" w:type="pct"/>
            <w:vMerge w:val="restart"/>
            <w:tcBorders>
              <w:top w:val="single" w:sz="4" w:space="0" w:color="auto"/>
            </w:tcBorders>
          </w:tcPr>
          <w:p w14:paraId="161F1A59" w14:textId="77777777" w:rsidR="009F33CD" w:rsidRDefault="00E40740">
            <w:pPr>
              <w:rPr>
                <w:rFonts w:cs="Times New Roman"/>
              </w:rPr>
            </w:pPr>
            <w:r>
              <w:rPr>
                <w:rFonts w:cs="Times New Roman"/>
              </w:rPr>
              <w:t>1</w:t>
            </w:r>
          </w:p>
        </w:tc>
        <w:tc>
          <w:tcPr>
            <w:tcW w:w="785" w:type="pct"/>
            <w:tcBorders>
              <w:top w:val="single" w:sz="4" w:space="0" w:color="auto"/>
            </w:tcBorders>
          </w:tcPr>
          <w:p w14:paraId="42429330" w14:textId="77777777" w:rsidR="009F33CD" w:rsidRDefault="00E40740">
            <w:pPr>
              <w:rPr>
                <w:rFonts w:cs="Times New Roman"/>
              </w:rPr>
            </w:pPr>
            <w:r>
              <w:rPr>
                <w:rFonts w:cs="Times New Roman"/>
              </w:rPr>
              <w:t>Regression</w:t>
            </w:r>
          </w:p>
        </w:tc>
        <w:tc>
          <w:tcPr>
            <w:tcW w:w="1406" w:type="pct"/>
            <w:tcBorders>
              <w:top w:val="single" w:sz="4" w:space="0" w:color="auto"/>
            </w:tcBorders>
          </w:tcPr>
          <w:p w14:paraId="0F155D86" w14:textId="77777777" w:rsidR="009F33CD" w:rsidRDefault="00E40740">
            <w:pPr>
              <w:rPr>
                <w:rFonts w:cs="Times New Roman"/>
              </w:rPr>
            </w:pPr>
            <w:r>
              <w:rPr>
                <w:rFonts w:cs="Times New Roman"/>
              </w:rPr>
              <w:t>65.091</w:t>
            </w:r>
          </w:p>
        </w:tc>
        <w:tc>
          <w:tcPr>
            <w:tcW w:w="409" w:type="pct"/>
            <w:tcBorders>
              <w:top w:val="single" w:sz="4" w:space="0" w:color="auto"/>
            </w:tcBorders>
          </w:tcPr>
          <w:p w14:paraId="41B1A34A" w14:textId="77777777" w:rsidR="009F33CD" w:rsidRDefault="00E40740">
            <w:pPr>
              <w:rPr>
                <w:rFonts w:cs="Times New Roman"/>
              </w:rPr>
            </w:pPr>
            <w:r>
              <w:rPr>
                <w:rFonts w:cs="Times New Roman"/>
              </w:rPr>
              <w:t>4</w:t>
            </w:r>
          </w:p>
        </w:tc>
        <w:tc>
          <w:tcPr>
            <w:tcW w:w="1106" w:type="pct"/>
            <w:tcBorders>
              <w:top w:val="single" w:sz="4" w:space="0" w:color="auto"/>
            </w:tcBorders>
          </w:tcPr>
          <w:p w14:paraId="56D21DE8" w14:textId="77777777" w:rsidR="009F33CD" w:rsidRDefault="00E40740">
            <w:pPr>
              <w:rPr>
                <w:rFonts w:cs="Times New Roman"/>
              </w:rPr>
            </w:pPr>
            <w:r>
              <w:rPr>
                <w:rFonts w:cs="Times New Roman"/>
              </w:rPr>
              <w:t>16.273</w:t>
            </w:r>
          </w:p>
        </w:tc>
        <w:tc>
          <w:tcPr>
            <w:tcW w:w="576" w:type="pct"/>
            <w:tcBorders>
              <w:top w:val="single" w:sz="4" w:space="0" w:color="auto"/>
            </w:tcBorders>
          </w:tcPr>
          <w:p w14:paraId="55D226D2" w14:textId="77777777" w:rsidR="009F33CD" w:rsidRDefault="00E40740">
            <w:pPr>
              <w:rPr>
                <w:rFonts w:cs="Times New Roman"/>
              </w:rPr>
            </w:pPr>
            <w:r>
              <w:rPr>
                <w:rFonts w:cs="Times New Roman"/>
              </w:rPr>
              <w:t>51.025</w:t>
            </w:r>
          </w:p>
        </w:tc>
        <w:tc>
          <w:tcPr>
            <w:tcW w:w="470" w:type="pct"/>
            <w:tcBorders>
              <w:top w:val="single" w:sz="4" w:space="0" w:color="auto"/>
            </w:tcBorders>
          </w:tcPr>
          <w:p w14:paraId="7A282273" w14:textId="77777777" w:rsidR="009F33CD" w:rsidRDefault="00E40740">
            <w:pPr>
              <w:rPr>
                <w:rFonts w:cs="Times New Roman"/>
              </w:rPr>
            </w:pPr>
            <w:r>
              <w:rPr>
                <w:rFonts w:cs="Times New Roman"/>
              </w:rPr>
              <w:t>.000b</w:t>
            </w:r>
          </w:p>
        </w:tc>
      </w:tr>
      <w:tr w:rsidR="009F33CD" w14:paraId="17B6CC9C" w14:textId="77777777">
        <w:trPr>
          <w:cantSplit/>
          <w:trHeight w:val="66"/>
        </w:trPr>
        <w:tc>
          <w:tcPr>
            <w:tcW w:w="249" w:type="pct"/>
            <w:vMerge/>
          </w:tcPr>
          <w:p w14:paraId="5733F678" w14:textId="77777777" w:rsidR="009F33CD" w:rsidRDefault="009F33CD">
            <w:pPr>
              <w:rPr>
                <w:rFonts w:cs="Times New Roman"/>
              </w:rPr>
            </w:pPr>
          </w:p>
        </w:tc>
        <w:tc>
          <w:tcPr>
            <w:tcW w:w="785" w:type="pct"/>
          </w:tcPr>
          <w:p w14:paraId="7F833A79" w14:textId="77777777" w:rsidR="009F33CD" w:rsidRDefault="00E40740">
            <w:pPr>
              <w:rPr>
                <w:rFonts w:cs="Times New Roman"/>
              </w:rPr>
            </w:pPr>
            <w:r>
              <w:rPr>
                <w:rFonts w:cs="Times New Roman"/>
              </w:rPr>
              <w:t>Residual</w:t>
            </w:r>
          </w:p>
        </w:tc>
        <w:tc>
          <w:tcPr>
            <w:tcW w:w="1406" w:type="pct"/>
          </w:tcPr>
          <w:p w14:paraId="68672ED6" w14:textId="77777777" w:rsidR="009F33CD" w:rsidRDefault="00E40740">
            <w:pPr>
              <w:rPr>
                <w:rFonts w:cs="Times New Roman"/>
              </w:rPr>
            </w:pPr>
            <w:r>
              <w:rPr>
                <w:rFonts w:cs="Times New Roman"/>
              </w:rPr>
              <w:t>36.038</w:t>
            </w:r>
          </w:p>
        </w:tc>
        <w:tc>
          <w:tcPr>
            <w:tcW w:w="409" w:type="pct"/>
          </w:tcPr>
          <w:p w14:paraId="597CC3BF" w14:textId="77777777" w:rsidR="009F33CD" w:rsidRDefault="00E40740">
            <w:pPr>
              <w:rPr>
                <w:rFonts w:cs="Times New Roman"/>
              </w:rPr>
            </w:pPr>
            <w:r>
              <w:rPr>
                <w:rFonts w:cs="Times New Roman"/>
              </w:rPr>
              <w:t>113</w:t>
            </w:r>
          </w:p>
        </w:tc>
        <w:tc>
          <w:tcPr>
            <w:tcW w:w="1106" w:type="pct"/>
          </w:tcPr>
          <w:p w14:paraId="226E67D5" w14:textId="77777777" w:rsidR="009F33CD" w:rsidRDefault="00E40740">
            <w:pPr>
              <w:rPr>
                <w:rFonts w:cs="Times New Roman"/>
              </w:rPr>
            </w:pPr>
            <w:r>
              <w:rPr>
                <w:rFonts w:cs="Times New Roman"/>
              </w:rPr>
              <w:t>.319</w:t>
            </w:r>
          </w:p>
        </w:tc>
        <w:tc>
          <w:tcPr>
            <w:tcW w:w="576" w:type="pct"/>
            <w:vAlign w:val="center"/>
          </w:tcPr>
          <w:p w14:paraId="00920A02" w14:textId="77777777" w:rsidR="009F33CD" w:rsidRDefault="009F33CD">
            <w:pPr>
              <w:rPr>
                <w:rFonts w:cs="Times New Roman"/>
              </w:rPr>
            </w:pPr>
          </w:p>
        </w:tc>
        <w:tc>
          <w:tcPr>
            <w:tcW w:w="470" w:type="pct"/>
            <w:vAlign w:val="center"/>
          </w:tcPr>
          <w:p w14:paraId="7D96A7F8" w14:textId="77777777" w:rsidR="009F33CD" w:rsidRDefault="009F33CD">
            <w:pPr>
              <w:rPr>
                <w:rFonts w:cs="Times New Roman"/>
              </w:rPr>
            </w:pPr>
          </w:p>
        </w:tc>
      </w:tr>
      <w:tr w:rsidR="009F33CD" w14:paraId="4E1705A5" w14:textId="77777777">
        <w:trPr>
          <w:cantSplit/>
          <w:trHeight w:val="55"/>
        </w:trPr>
        <w:tc>
          <w:tcPr>
            <w:tcW w:w="249" w:type="pct"/>
            <w:vMerge/>
          </w:tcPr>
          <w:p w14:paraId="5AD430E5" w14:textId="77777777" w:rsidR="009F33CD" w:rsidRDefault="009F33CD">
            <w:pPr>
              <w:rPr>
                <w:rFonts w:cs="Times New Roman"/>
              </w:rPr>
            </w:pPr>
          </w:p>
        </w:tc>
        <w:tc>
          <w:tcPr>
            <w:tcW w:w="785" w:type="pct"/>
          </w:tcPr>
          <w:p w14:paraId="1964B230" w14:textId="77777777" w:rsidR="009F33CD" w:rsidRDefault="00E40740">
            <w:pPr>
              <w:rPr>
                <w:rFonts w:cs="Times New Roman"/>
                <w:b/>
              </w:rPr>
            </w:pPr>
            <w:r>
              <w:rPr>
                <w:rFonts w:cs="Times New Roman"/>
                <w:b/>
              </w:rPr>
              <w:t>Total</w:t>
            </w:r>
          </w:p>
        </w:tc>
        <w:tc>
          <w:tcPr>
            <w:tcW w:w="1406" w:type="pct"/>
          </w:tcPr>
          <w:p w14:paraId="47148B9E" w14:textId="77777777" w:rsidR="009F33CD" w:rsidRDefault="00E40740">
            <w:pPr>
              <w:rPr>
                <w:rFonts w:cs="Times New Roman"/>
                <w:b/>
              </w:rPr>
            </w:pPr>
            <w:r>
              <w:rPr>
                <w:rFonts w:cs="Times New Roman"/>
                <w:b/>
              </w:rPr>
              <w:t>101.129</w:t>
            </w:r>
          </w:p>
        </w:tc>
        <w:tc>
          <w:tcPr>
            <w:tcW w:w="409" w:type="pct"/>
          </w:tcPr>
          <w:p w14:paraId="7A3CFE5E" w14:textId="77777777" w:rsidR="009F33CD" w:rsidRDefault="00E40740">
            <w:pPr>
              <w:rPr>
                <w:rFonts w:cs="Times New Roman"/>
                <w:b/>
              </w:rPr>
            </w:pPr>
            <w:r>
              <w:rPr>
                <w:rFonts w:cs="Times New Roman"/>
                <w:b/>
              </w:rPr>
              <w:t>117</w:t>
            </w:r>
          </w:p>
        </w:tc>
        <w:tc>
          <w:tcPr>
            <w:tcW w:w="1106" w:type="pct"/>
            <w:vAlign w:val="center"/>
          </w:tcPr>
          <w:p w14:paraId="10F7516A" w14:textId="77777777" w:rsidR="009F33CD" w:rsidRDefault="009F33CD">
            <w:pPr>
              <w:rPr>
                <w:rFonts w:cs="Times New Roman"/>
                <w:b/>
              </w:rPr>
            </w:pPr>
          </w:p>
        </w:tc>
        <w:tc>
          <w:tcPr>
            <w:tcW w:w="576" w:type="pct"/>
            <w:vAlign w:val="center"/>
          </w:tcPr>
          <w:p w14:paraId="7AFB0D52" w14:textId="77777777" w:rsidR="009F33CD" w:rsidRDefault="009F33CD">
            <w:pPr>
              <w:rPr>
                <w:rFonts w:cs="Times New Roman"/>
              </w:rPr>
            </w:pPr>
          </w:p>
        </w:tc>
        <w:tc>
          <w:tcPr>
            <w:tcW w:w="470" w:type="pct"/>
            <w:vAlign w:val="center"/>
          </w:tcPr>
          <w:p w14:paraId="0C3AFD60" w14:textId="77777777" w:rsidR="009F33CD" w:rsidRDefault="009F33CD">
            <w:pPr>
              <w:rPr>
                <w:rFonts w:cs="Times New Roman"/>
              </w:rPr>
            </w:pPr>
          </w:p>
        </w:tc>
      </w:tr>
    </w:tbl>
    <w:p w14:paraId="64406680" w14:textId="77777777" w:rsidR="009F33CD" w:rsidRDefault="00A63BEB">
      <w:pPr>
        <w:rPr>
          <w:rFonts w:cs="Times New Roman"/>
        </w:rPr>
      </w:pPr>
      <w:r>
        <w:rPr>
          <w:rFonts w:cs="Times New Roman"/>
        </w:rPr>
        <w:t>Table 4.42</w:t>
      </w:r>
      <w:r w:rsidR="00E40740">
        <w:rPr>
          <w:rFonts w:cs="Times New Roman"/>
        </w:rPr>
        <w:t xml:space="preserve"> presents an analysis of variance (ANOVA) results. The findings indicate that the model was statistically significant, P-value of 0.000 was significant at a 95% confidence level. The result is further supported by a large F statistic of 51.025 which implies that GHRM practices are a good predictor of performance of devolved healthcare services. In other words, green employee resourcing, green training, green occupational safety and health, and green performance evaluation combined have a significant effect on the performance of devolved healthcare services in Kenya.  </w:t>
      </w:r>
    </w:p>
    <w:p w14:paraId="15A93B5B" w14:textId="77777777" w:rsidR="009F33CD" w:rsidRDefault="00E40740">
      <w:pPr>
        <w:pStyle w:val="Heading2"/>
      </w:pPr>
      <w:bookmarkStart w:id="1515" w:name="_Toc224237754"/>
      <w:bookmarkStart w:id="1516" w:name="_Toc147950254"/>
      <w:bookmarkStart w:id="1517" w:name="_Hlk139568517"/>
      <w:r>
        <w:t>4.11 Statistical Findings for Management Style</w:t>
      </w:r>
      <w:bookmarkEnd w:id="1515"/>
      <w:r>
        <w:t xml:space="preserve"> </w:t>
      </w:r>
      <w:bookmarkEnd w:id="1516"/>
    </w:p>
    <w:bookmarkEnd w:id="1517"/>
    <w:p w14:paraId="1856D965" w14:textId="77777777" w:rsidR="009F33CD" w:rsidRDefault="00E40740">
      <w:pPr>
        <w:rPr>
          <w:rFonts w:cs="Times New Roman"/>
          <w:szCs w:val="24"/>
        </w:rPr>
      </w:pPr>
      <w:r>
        <w:rPr>
          <w:rFonts w:eastAsia="TimesNewRomanPSMT"/>
        </w:rPr>
        <w:t xml:space="preserve">Management style is important as it could influence the level at which green HRM practices and policies could be implemented and sustained in healthcare services. </w:t>
      </w:r>
      <w:r>
        <w:rPr>
          <w:rFonts w:cs="Times New Roman"/>
          <w:szCs w:val="24"/>
        </w:rPr>
        <w:t>The objective of the study was to assess the moderating effect of management style on the relationship between GHRM practices and performance of devolved healthcare services in Kenya</w:t>
      </w:r>
      <w:r>
        <w:rPr>
          <w:rFonts w:cs="Times New Roman"/>
          <w:bCs/>
          <w:szCs w:val="24"/>
        </w:rPr>
        <w:t xml:space="preserve">. Before determining the moderating effect of this variable, the study conducted the descriptive statistical analysis and the findings are </w:t>
      </w:r>
      <w:r>
        <w:t xml:space="preserve">presented in the following section. </w:t>
      </w:r>
    </w:p>
    <w:p w14:paraId="56DEA82B" w14:textId="77777777" w:rsidR="009F33CD" w:rsidRDefault="00E40740">
      <w:pPr>
        <w:pStyle w:val="Heading3"/>
      </w:pPr>
      <w:bookmarkStart w:id="1518" w:name="_Toc165626431"/>
      <w:bookmarkStart w:id="1519" w:name="_Toc185614139"/>
      <w:bookmarkStart w:id="1520" w:name="_Toc187080911"/>
      <w:bookmarkStart w:id="1521" w:name="_Toc178944341"/>
      <w:bookmarkStart w:id="1522" w:name="_Toc178945093"/>
      <w:bookmarkStart w:id="1523" w:name="_Toc188442628"/>
      <w:bookmarkStart w:id="1524" w:name="_Toc178942683"/>
      <w:bookmarkStart w:id="1525" w:name="_Toc188130655"/>
      <w:bookmarkStart w:id="1526" w:name="_Toc188444002"/>
      <w:bookmarkStart w:id="1527" w:name="_Toc224160692"/>
      <w:bookmarkStart w:id="1528" w:name="_Toc224237755"/>
      <w:r>
        <w:lastRenderedPageBreak/>
        <w:t>4.11.1 Descriptive Statistical Findings for Management Style</w:t>
      </w:r>
      <w:bookmarkEnd w:id="1518"/>
      <w:bookmarkEnd w:id="1519"/>
      <w:bookmarkEnd w:id="1520"/>
      <w:bookmarkEnd w:id="1521"/>
      <w:bookmarkEnd w:id="1522"/>
      <w:bookmarkEnd w:id="1523"/>
      <w:bookmarkEnd w:id="1524"/>
      <w:bookmarkEnd w:id="1525"/>
      <w:bookmarkEnd w:id="1526"/>
      <w:bookmarkEnd w:id="1527"/>
      <w:bookmarkEnd w:id="1528"/>
    </w:p>
    <w:p w14:paraId="36E66778" w14:textId="77777777" w:rsidR="009F33CD" w:rsidRDefault="00E40740">
      <w:pPr>
        <w:spacing w:before="240"/>
      </w:pPr>
      <w:r>
        <w:rPr>
          <w:rFonts w:eastAsia="TimesNewRomanPSMT"/>
        </w:rPr>
        <w:t>Management style in devolved healthcare services is an important component that indirectly affects and moderates the relationship between green HR practices and performance. A management style that is involved in environmental management and gives supportive supervision for green activities usually leads to improved performance.  To assess the influence of management style and performance of devolved healthcare services, t</w:t>
      </w:r>
      <w:r>
        <w:t xml:space="preserve">he respondents were requested to indicate their honest opinion </w:t>
      </w:r>
      <w:r>
        <w:rPr>
          <w:rFonts w:cs="Times New Roman"/>
          <w:bCs/>
          <w:szCs w:val="24"/>
        </w:rPr>
        <w:t xml:space="preserve">on the following statements based on the </w:t>
      </w:r>
      <w:r>
        <w:t xml:space="preserve">scale of: 1- Strongly Disagree (SD); 2- Disagree (D); 3- Undecided (UD); 4- Agree (A); and 5- Strongly Agree (SA). </w:t>
      </w:r>
      <w:r>
        <w:rPr>
          <w:rFonts w:cs="Times New Roman"/>
          <w:bCs/>
          <w:szCs w:val="24"/>
        </w:rPr>
        <w:t>The mean (M) and standard deviation (Sd) were also presented.</w:t>
      </w:r>
      <w:r>
        <w:t xml:space="preserve"> The results were anal</w:t>
      </w:r>
      <w:r w:rsidR="00A63BEB">
        <w:t>yzed and presented in Table 4.43</w:t>
      </w:r>
      <w:r>
        <w:t>.</w:t>
      </w:r>
      <w:bookmarkStart w:id="1529" w:name="_Toc178944342"/>
      <w:bookmarkStart w:id="1530" w:name="_Toc187080912"/>
      <w:bookmarkStart w:id="1531" w:name="_Toc185614140"/>
      <w:bookmarkStart w:id="1532" w:name="_Toc139987499"/>
      <w:bookmarkStart w:id="1533" w:name="_Toc147946916"/>
      <w:bookmarkStart w:id="1534" w:name="_Toc139986472"/>
      <w:bookmarkStart w:id="1535" w:name="_Toc147950255"/>
      <w:bookmarkStart w:id="1536" w:name="_Toc165626432"/>
      <w:bookmarkStart w:id="1537" w:name="_Toc178945094"/>
      <w:bookmarkStart w:id="1538" w:name="_Toc178942684"/>
      <w:bookmarkStart w:id="1539" w:name="_Toc139981671"/>
    </w:p>
    <w:p w14:paraId="401C2502" w14:textId="77777777" w:rsidR="009F33CD" w:rsidRDefault="00A63BEB">
      <w:pPr>
        <w:pStyle w:val="Heading6"/>
      </w:pPr>
      <w:bookmarkStart w:id="1540" w:name="_Toc224237472"/>
      <w:r>
        <w:t>Table 4.43</w:t>
      </w:r>
      <w:r w:rsidR="000748E0">
        <w:t>:</w:t>
      </w:r>
      <w:r w:rsidR="00E40740">
        <w:t xml:space="preserve"> Descriptive Statistical Findings for Management Style</w:t>
      </w:r>
      <w:bookmarkEnd w:id="1540"/>
    </w:p>
    <w:tbl>
      <w:tblPr>
        <w:tblW w:w="5000" w:type="pct"/>
        <w:tblBorders>
          <w:bottom w:val="single" w:sz="4" w:space="0" w:color="auto"/>
        </w:tblBorders>
        <w:tblLook w:val="04A0" w:firstRow="1" w:lastRow="0" w:firstColumn="1" w:lastColumn="0" w:noHBand="0" w:noVBand="1"/>
      </w:tblPr>
      <w:tblGrid>
        <w:gridCol w:w="3313"/>
        <w:gridCol w:w="675"/>
        <w:gridCol w:w="675"/>
        <w:gridCol w:w="785"/>
        <w:gridCol w:w="785"/>
        <w:gridCol w:w="785"/>
        <w:gridCol w:w="601"/>
        <w:gridCol w:w="601"/>
      </w:tblGrid>
      <w:tr w:rsidR="009F33CD" w:rsidRPr="00C67BC0" w14:paraId="3B38C6C5" w14:textId="77777777" w:rsidTr="00F75083">
        <w:trPr>
          <w:trHeight w:val="45"/>
          <w:tblHeader/>
        </w:trPr>
        <w:tc>
          <w:tcPr>
            <w:tcW w:w="2377" w:type="pct"/>
            <w:tcBorders>
              <w:top w:val="single" w:sz="4" w:space="0" w:color="auto"/>
              <w:bottom w:val="single" w:sz="4" w:space="0" w:color="auto"/>
            </w:tcBorders>
          </w:tcPr>
          <w:bookmarkEnd w:id="1529"/>
          <w:bookmarkEnd w:id="1530"/>
          <w:bookmarkEnd w:id="1531"/>
          <w:bookmarkEnd w:id="1532"/>
          <w:bookmarkEnd w:id="1533"/>
          <w:bookmarkEnd w:id="1534"/>
          <w:bookmarkEnd w:id="1535"/>
          <w:bookmarkEnd w:id="1536"/>
          <w:bookmarkEnd w:id="1537"/>
          <w:bookmarkEnd w:id="1538"/>
          <w:bookmarkEnd w:id="1539"/>
          <w:p w14:paraId="12C4A355" w14:textId="77777777" w:rsidR="009F33CD" w:rsidRPr="00C67BC0" w:rsidRDefault="00E40740" w:rsidP="00DD4CE4">
            <w:pPr>
              <w:spacing w:line="276" w:lineRule="auto"/>
              <w:jc w:val="left"/>
              <w:rPr>
                <w:rFonts w:eastAsia="TimesNewRomanPSMT" w:cs="Times New Roman"/>
                <w:b/>
                <w:sz w:val="22"/>
                <w:szCs w:val="22"/>
              </w:rPr>
            </w:pPr>
            <w:r w:rsidRPr="00C67BC0">
              <w:rPr>
                <w:rFonts w:eastAsia="Times New Roman" w:cs="Times New Roman"/>
                <w:b/>
                <w:sz w:val="22"/>
                <w:szCs w:val="22"/>
              </w:rPr>
              <w:t>Management Style Statements</w:t>
            </w:r>
          </w:p>
        </w:tc>
        <w:tc>
          <w:tcPr>
            <w:tcW w:w="387" w:type="pct"/>
            <w:tcBorders>
              <w:top w:val="single" w:sz="4" w:space="0" w:color="auto"/>
              <w:bottom w:val="single" w:sz="4" w:space="0" w:color="auto"/>
            </w:tcBorders>
          </w:tcPr>
          <w:p w14:paraId="1CBAB30C"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1</w:t>
            </w:r>
          </w:p>
        </w:tc>
        <w:tc>
          <w:tcPr>
            <w:tcW w:w="355" w:type="pct"/>
            <w:tcBorders>
              <w:top w:val="single" w:sz="4" w:space="0" w:color="auto"/>
              <w:bottom w:val="single" w:sz="4" w:space="0" w:color="auto"/>
            </w:tcBorders>
          </w:tcPr>
          <w:p w14:paraId="41738B8E"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2</w:t>
            </w:r>
          </w:p>
        </w:tc>
        <w:tc>
          <w:tcPr>
            <w:tcW w:w="415" w:type="pct"/>
            <w:tcBorders>
              <w:top w:val="single" w:sz="4" w:space="0" w:color="auto"/>
              <w:bottom w:val="single" w:sz="4" w:space="0" w:color="auto"/>
            </w:tcBorders>
          </w:tcPr>
          <w:p w14:paraId="08BDA945"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3</w:t>
            </w:r>
          </w:p>
        </w:tc>
        <w:tc>
          <w:tcPr>
            <w:tcW w:w="415" w:type="pct"/>
            <w:tcBorders>
              <w:top w:val="single" w:sz="4" w:space="0" w:color="auto"/>
              <w:bottom w:val="single" w:sz="4" w:space="0" w:color="auto"/>
            </w:tcBorders>
          </w:tcPr>
          <w:p w14:paraId="6F137802"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4</w:t>
            </w:r>
          </w:p>
        </w:tc>
        <w:tc>
          <w:tcPr>
            <w:tcW w:w="415" w:type="pct"/>
            <w:tcBorders>
              <w:top w:val="single" w:sz="4" w:space="0" w:color="auto"/>
              <w:bottom w:val="single" w:sz="4" w:space="0" w:color="auto"/>
            </w:tcBorders>
          </w:tcPr>
          <w:p w14:paraId="58EFCA8E"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5</w:t>
            </w:r>
          </w:p>
        </w:tc>
        <w:tc>
          <w:tcPr>
            <w:tcW w:w="316" w:type="pct"/>
            <w:tcBorders>
              <w:top w:val="single" w:sz="4" w:space="0" w:color="auto"/>
              <w:bottom w:val="single" w:sz="4" w:space="0" w:color="auto"/>
            </w:tcBorders>
          </w:tcPr>
          <w:p w14:paraId="023A7DBC"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M</w:t>
            </w:r>
          </w:p>
        </w:tc>
        <w:tc>
          <w:tcPr>
            <w:tcW w:w="319" w:type="pct"/>
            <w:tcBorders>
              <w:top w:val="single" w:sz="4" w:space="0" w:color="auto"/>
              <w:bottom w:val="single" w:sz="4" w:space="0" w:color="auto"/>
            </w:tcBorders>
          </w:tcPr>
          <w:p w14:paraId="18F6481A" w14:textId="77777777" w:rsidR="009F33CD" w:rsidRPr="00C67BC0" w:rsidRDefault="00E40740" w:rsidP="00DD4CE4">
            <w:pPr>
              <w:spacing w:line="276" w:lineRule="auto"/>
              <w:rPr>
                <w:rFonts w:eastAsia="TimesNewRomanPSMT" w:cs="Times New Roman"/>
                <w:b/>
                <w:sz w:val="22"/>
                <w:szCs w:val="22"/>
              </w:rPr>
            </w:pPr>
            <w:r w:rsidRPr="00C67BC0">
              <w:rPr>
                <w:rFonts w:eastAsia="TimesNewRomanPSMT" w:cs="Times New Roman"/>
                <w:b/>
                <w:sz w:val="22"/>
                <w:szCs w:val="22"/>
              </w:rPr>
              <w:t>Sd</w:t>
            </w:r>
          </w:p>
        </w:tc>
      </w:tr>
      <w:tr w:rsidR="009F33CD" w:rsidRPr="00C67BC0" w14:paraId="6877432B" w14:textId="77777777">
        <w:trPr>
          <w:trHeight w:val="288"/>
        </w:trPr>
        <w:tc>
          <w:tcPr>
            <w:tcW w:w="2377" w:type="pct"/>
            <w:tcBorders>
              <w:top w:val="single" w:sz="4" w:space="0" w:color="auto"/>
            </w:tcBorders>
          </w:tcPr>
          <w:p w14:paraId="0C2E3C53" w14:textId="77777777" w:rsidR="009F33CD" w:rsidRPr="00C67BC0" w:rsidRDefault="00E40740" w:rsidP="00DD4CE4">
            <w:pPr>
              <w:spacing w:line="276" w:lineRule="auto"/>
              <w:jc w:val="left"/>
              <w:rPr>
                <w:rFonts w:eastAsia="TimesNewRomanPSMT" w:cs="Times New Roman"/>
                <w:sz w:val="22"/>
                <w:szCs w:val="22"/>
              </w:rPr>
            </w:pPr>
            <w:bookmarkStart w:id="1541" w:name="_Hlk139569303"/>
            <w:r w:rsidRPr="00C67BC0">
              <w:rPr>
                <w:rFonts w:eastAsia="Times New Roman" w:cs="Times New Roman"/>
                <w:bCs/>
                <w:sz w:val="22"/>
                <w:szCs w:val="22"/>
              </w:rPr>
              <w:t>My workload is adequate to enhance performance.</w:t>
            </w:r>
            <w:bookmarkEnd w:id="1541"/>
          </w:p>
        </w:tc>
        <w:tc>
          <w:tcPr>
            <w:tcW w:w="387" w:type="pct"/>
            <w:tcBorders>
              <w:top w:val="single" w:sz="4" w:space="0" w:color="auto"/>
            </w:tcBorders>
          </w:tcPr>
          <w:p w14:paraId="64CCFDF0"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2.5%</w:t>
            </w:r>
          </w:p>
        </w:tc>
        <w:tc>
          <w:tcPr>
            <w:tcW w:w="355" w:type="pct"/>
            <w:tcBorders>
              <w:top w:val="single" w:sz="4" w:space="0" w:color="auto"/>
            </w:tcBorders>
          </w:tcPr>
          <w:p w14:paraId="2736CC7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w:t>
            </w:r>
          </w:p>
        </w:tc>
        <w:tc>
          <w:tcPr>
            <w:tcW w:w="415" w:type="pct"/>
            <w:tcBorders>
              <w:top w:val="single" w:sz="4" w:space="0" w:color="auto"/>
            </w:tcBorders>
          </w:tcPr>
          <w:p w14:paraId="7C4E906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7.6%</w:t>
            </w:r>
          </w:p>
        </w:tc>
        <w:tc>
          <w:tcPr>
            <w:tcW w:w="415" w:type="pct"/>
            <w:tcBorders>
              <w:top w:val="single" w:sz="4" w:space="0" w:color="auto"/>
            </w:tcBorders>
          </w:tcPr>
          <w:p w14:paraId="6D06887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55.9%</w:t>
            </w:r>
          </w:p>
        </w:tc>
        <w:tc>
          <w:tcPr>
            <w:tcW w:w="415" w:type="pct"/>
            <w:tcBorders>
              <w:top w:val="single" w:sz="4" w:space="0" w:color="auto"/>
            </w:tcBorders>
          </w:tcPr>
          <w:p w14:paraId="2EAE67B2"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33.1%</w:t>
            </w:r>
          </w:p>
        </w:tc>
        <w:tc>
          <w:tcPr>
            <w:tcW w:w="316" w:type="pct"/>
            <w:tcBorders>
              <w:top w:val="single" w:sz="4" w:space="0" w:color="auto"/>
            </w:tcBorders>
          </w:tcPr>
          <w:p w14:paraId="73CCD42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4.16</w:t>
            </w:r>
          </w:p>
        </w:tc>
        <w:tc>
          <w:tcPr>
            <w:tcW w:w="319" w:type="pct"/>
            <w:tcBorders>
              <w:top w:val="single" w:sz="4" w:space="0" w:color="auto"/>
            </w:tcBorders>
          </w:tcPr>
          <w:p w14:paraId="13F2E63C"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0.81</w:t>
            </w:r>
          </w:p>
        </w:tc>
      </w:tr>
      <w:tr w:rsidR="009F33CD" w:rsidRPr="00C67BC0" w14:paraId="09115295" w14:textId="77777777">
        <w:trPr>
          <w:trHeight w:val="731"/>
        </w:trPr>
        <w:tc>
          <w:tcPr>
            <w:tcW w:w="2377" w:type="pct"/>
          </w:tcPr>
          <w:p w14:paraId="4258AB60" w14:textId="77777777" w:rsidR="009F33CD" w:rsidRPr="00C67BC0" w:rsidRDefault="00E40740" w:rsidP="00DD4CE4">
            <w:pPr>
              <w:spacing w:line="276" w:lineRule="auto"/>
              <w:jc w:val="left"/>
              <w:rPr>
                <w:rFonts w:eastAsia="TimesNewRomanPSMT" w:cs="Times New Roman"/>
                <w:sz w:val="22"/>
                <w:szCs w:val="22"/>
              </w:rPr>
            </w:pPr>
            <w:r w:rsidRPr="00C67BC0">
              <w:rPr>
                <w:rFonts w:eastAsia="Times New Roman" w:cs="Times New Roman"/>
                <w:bCs/>
                <w:sz w:val="22"/>
                <w:szCs w:val="22"/>
              </w:rPr>
              <w:t>The hospital management relies on set rules, policies and procedures to enhance performance of devolved healthcare services.</w:t>
            </w:r>
          </w:p>
        </w:tc>
        <w:tc>
          <w:tcPr>
            <w:tcW w:w="387" w:type="pct"/>
          </w:tcPr>
          <w:p w14:paraId="5EB36B2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2.5%</w:t>
            </w:r>
          </w:p>
        </w:tc>
        <w:tc>
          <w:tcPr>
            <w:tcW w:w="355" w:type="pct"/>
          </w:tcPr>
          <w:p w14:paraId="24227283"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3.5%</w:t>
            </w:r>
          </w:p>
        </w:tc>
        <w:tc>
          <w:tcPr>
            <w:tcW w:w="415" w:type="pct"/>
          </w:tcPr>
          <w:p w14:paraId="588FE00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13.7%</w:t>
            </w:r>
          </w:p>
        </w:tc>
        <w:tc>
          <w:tcPr>
            <w:tcW w:w="415" w:type="pct"/>
          </w:tcPr>
          <w:p w14:paraId="229287F2"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46.6%</w:t>
            </w:r>
          </w:p>
        </w:tc>
        <w:tc>
          <w:tcPr>
            <w:tcW w:w="415" w:type="pct"/>
          </w:tcPr>
          <w:p w14:paraId="6A761E1C"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35.6%</w:t>
            </w:r>
          </w:p>
        </w:tc>
        <w:tc>
          <w:tcPr>
            <w:tcW w:w="316" w:type="pct"/>
          </w:tcPr>
          <w:p w14:paraId="506E182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4.10</w:t>
            </w:r>
          </w:p>
        </w:tc>
        <w:tc>
          <w:tcPr>
            <w:tcW w:w="319" w:type="pct"/>
          </w:tcPr>
          <w:p w14:paraId="2AA14CF0"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0.90</w:t>
            </w:r>
          </w:p>
        </w:tc>
      </w:tr>
      <w:tr w:rsidR="009F33CD" w:rsidRPr="00C67BC0" w14:paraId="05D4C547" w14:textId="77777777">
        <w:trPr>
          <w:trHeight w:val="317"/>
        </w:trPr>
        <w:tc>
          <w:tcPr>
            <w:tcW w:w="2377" w:type="pct"/>
          </w:tcPr>
          <w:p w14:paraId="7899C4DD" w14:textId="77777777" w:rsidR="009F33CD" w:rsidRPr="00C67BC0" w:rsidRDefault="00E40740" w:rsidP="00DD4CE4">
            <w:pPr>
              <w:spacing w:line="276" w:lineRule="auto"/>
              <w:jc w:val="left"/>
              <w:rPr>
                <w:rFonts w:eastAsia="TimesNewRomanPSMT" w:cs="Times New Roman"/>
                <w:sz w:val="22"/>
                <w:szCs w:val="22"/>
              </w:rPr>
            </w:pPr>
            <w:bookmarkStart w:id="1542" w:name="_Hlk139570082"/>
            <w:r w:rsidRPr="00C67BC0">
              <w:rPr>
                <w:rFonts w:eastAsia="Times New Roman" w:cs="Times New Roman"/>
                <w:bCs/>
                <w:sz w:val="22"/>
                <w:szCs w:val="22"/>
              </w:rPr>
              <w:t>Management supports green initiatives because it enhances performance of healthcare services.</w:t>
            </w:r>
          </w:p>
        </w:tc>
        <w:tc>
          <w:tcPr>
            <w:tcW w:w="387" w:type="pct"/>
          </w:tcPr>
          <w:p w14:paraId="3E224EF7"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3.4%</w:t>
            </w:r>
          </w:p>
        </w:tc>
        <w:tc>
          <w:tcPr>
            <w:tcW w:w="355" w:type="pct"/>
          </w:tcPr>
          <w:p w14:paraId="453C3D2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1.7%</w:t>
            </w:r>
          </w:p>
        </w:tc>
        <w:tc>
          <w:tcPr>
            <w:tcW w:w="415" w:type="pct"/>
          </w:tcPr>
          <w:p w14:paraId="3303292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16.1%</w:t>
            </w:r>
          </w:p>
        </w:tc>
        <w:tc>
          <w:tcPr>
            <w:tcW w:w="415" w:type="pct"/>
          </w:tcPr>
          <w:p w14:paraId="1B4EC68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41.5%</w:t>
            </w:r>
          </w:p>
        </w:tc>
        <w:tc>
          <w:tcPr>
            <w:tcW w:w="415" w:type="pct"/>
          </w:tcPr>
          <w:p w14:paraId="3822676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37.3%</w:t>
            </w:r>
          </w:p>
        </w:tc>
        <w:tc>
          <w:tcPr>
            <w:tcW w:w="316" w:type="pct"/>
          </w:tcPr>
          <w:p w14:paraId="1AE5D62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4.08</w:t>
            </w:r>
          </w:p>
        </w:tc>
        <w:tc>
          <w:tcPr>
            <w:tcW w:w="319" w:type="pct"/>
          </w:tcPr>
          <w:p w14:paraId="7E545F3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0.95</w:t>
            </w:r>
          </w:p>
        </w:tc>
      </w:tr>
      <w:bookmarkEnd w:id="1542"/>
      <w:tr w:rsidR="009F33CD" w:rsidRPr="00C67BC0" w14:paraId="71BA4D15" w14:textId="77777777" w:rsidTr="002E7E4A">
        <w:trPr>
          <w:trHeight w:val="764"/>
        </w:trPr>
        <w:tc>
          <w:tcPr>
            <w:tcW w:w="2377" w:type="pct"/>
            <w:tcBorders>
              <w:bottom w:val="nil"/>
            </w:tcBorders>
          </w:tcPr>
          <w:p w14:paraId="4EA0EC9D" w14:textId="77777777" w:rsidR="009F33CD" w:rsidRPr="00C67BC0" w:rsidRDefault="00E40740" w:rsidP="00DD4CE4">
            <w:pPr>
              <w:spacing w:line="276" w:lineRule="auto"/>
              <w:jc w:val="left"/>
              <w:rPr>
                <w:rFonts w:eastAsia="Calibri" w:cs="Times New Roman"/>
                <w:color w:val="000000"/>
                <w:sz w:val="22"/>
                <w:szCs w:val="22"/>
              </w:rPr>
            </w:pPr>
            <w:r w:rsidRPr="00C67BC0">
              <w:rPr>
                <w:rFonts w:eastAsia="Times New Roman" w:cs="Times New Roman"/>
                <w:bCs/>
                <w:sz w:val="22"/>
                <w:szCs w:val="22"/>
              </w:rPr>
              <w:t>Management applies participative management style that enables employees to participate in green decision making.</w:t>
            </w:r>
          </w:p>
        </w:tc>
        <w:tc>
          <w:tcPr>
            <w:tcW w:w="387" w:type="pct"/>
            <w:tcBorders>
              <w:bottom w:val="nil"/>
            </w:tcBorders>
          </w:tcPr>
          <w:p w14:paraId="0EA2293E"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w:t>
            </w:r>
          </w:p>
        </w:tc>
        <w:tc>
          <w:tcPr>
            <w:tcW w:w="355" w:type="pct"/>
            <w:tcBorders>
              <w:bottom w:val="nil"/>
            </w:tcBorders>
          </w:tcPr>
          <w:p w14:paraId="7E14D9B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2.6%</w:t>
            </w:r>
          </w:p>
        </w:tc>
        <w:tc>
          <w:tcPr>
            <w:tcW w:w="415" w:type="pct"/>
            <w:tcBorders>
              <w:bottom w:val="nil"/>
            </w:tcBorders>
          </w:tcPr>
          <w:p w14:paraId="00F0D8B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11%</w:t>
            </w:r>
          </w:p>
        </w:tc>
        <w:tc>
          <w:tcPr>
            <w:tcW w:w="415" w:type="pct"/>
            <w:tcBorders>
              <w:bottom w:val="nil"/>
            </w:tcBorders>
          </w:tcPr>
          <w:p w14:paraId="32B67D95"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50%</w:t>
            </w:r>
          </w:p>
        </w:tc>
        <w:tc>
          <w:tcPr>
            <w:tcW w:w="415" w:type="pct"/>
            <w:tcBorders>
              <w:bottom w:val="nil"/>
            </w:tcBorders>
          </w:tcPr>
          <w:p w14:paraId="1DFC913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35.6%</w:t>
            </w:r>
          </w:p>
        </w:tc>
        <w:tc>
          <w:tcPr>
            <w:tcW w:w="316" w:type="pct"/>
            <w:tcBorders>
              <w:bottom w:val="nil"/>
            </w:tcBorders>
          </w:tcPr>
          <w:p w14:paraId="7D5B2F3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4.16</w:t>
            </w:r>
          </w:p>
        </w:tc>
        <w:tc>
          <w:tcPr>
            <w:tcW w:w="319" w:type="pct"/>
            <w:tcBorders>
              <w:bottom w:val="nil"/>
            </w:tcBorders>
          </w:tcPr>
          <w:p w14:paraId="2E2F902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0.82</w:t>
            </w:r>
          </w:p>
        </w:tc>
      </w:tr>
      <w:tr w:rsidR="009F33CD" w:rsidRPr="00C67BC0" w14:paraId="794D3DE7" w14:textId="77777777" w:rsidTr="002E7E4A">
        <w:trPr>
          <w:trHeight w:val="791"/>
        </w:trPr>
        <w:tc>
          <w:tcPr>
            <w:tcW w:w="2377" w:type="pct"/>
            <w:tcBorders>
              <w:top w:val="nil"/>
              <w:bottom w:val="nil"/>
            </w:tcBorders>
          </w:tcPr>
          <w:p w14:paraId="132C16D1" w14:textId="77777777" w:rsidR="009F33CD" w:rsidRPr="00C67BC0" w:rsidRDefault="00E40740" w:rsidP="00DD4CE4">
            <w:pPr>
              <w:spacing w:line="276" w:lineRule="auto"/>
              <w:jc w:val="left"/>
              <w:rPr>
                <w:rFonts w:eastAsia="Calibri" w:cs="Times New Roman"/>
                <w:color w:val="000000"/>
                <w:sz w:val="22"/>
                <w:szCs w:val="22"/>
              </w:rPr>
            </w:pPr>
            <w:r w:rsidRPr="00C67BC0">
              <w:rPr>
                <w:rFonts w:eastAsia="Times New Roman" w:cs="Times New Roman"/>
                <w:bCs/>
                <w:sz w:val="22"/>
                <w:szCs w:val="22"/>
              </w:rPr>
              <w:t>Bureaucratic management is embraced to improve environmental protection and worker-performance.</w:t>
            </w:r>
          </w:p>
        </w:tc>
        <w:tc>
          <w:tcPr>
            <w:tcW w:w="387" w:type="pct"/>
            <w:tcBorders>
              <w:top w:val="nil"/>
              <w:bottom w:val="nil"/>
            </w:tcBorders>
          </w:tcPr>
          <w:p w14:paraId="1D7410E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w:t>
            </w:r>
          </w:p>
        </w:tc>
        <w:tc>
          <w:tcPr>
            <w:tcW w:w="355" w:type="pct"/>
            <w:tcBorders>
              <w:top w:val="nil"/>
              <w:bottom w:val="nil"/>
            </w:tcBorders>
          </w:tcPr>
          <w:p w14:paraId="08B8C0D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2.5%</w:t>
            </w:r>
          </w:p>
        </w:tc>
        <w:tc>
          <w:tcPr>
            <w:tcW w:w="415" w:type="pct"/>
            <w:tcBorders>
              <w:top w:val="nil"/>
              <w:bottom w:val="nil"/>
            </w:tcBorders>
          </w:tcPr>
          <w:p w14:paraId="32C9B81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15.3%</w:t>
            </w:r>
          </w:p>
        </w:tc>
        <w:tc>
          <w:tcPr>
            <w:tcW w:w="415" w:type="pct"/>
            <w:tcBorders>
              <w:top w:val="nil"/>
              <w:bottom w:val="nil"/>
            </w:tcBorders>
          </w:tcPr>
          <w:p w14:paraId="7FA7291B"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42.4%</w:t>
            </w:r>
          </w:p>
        </w:tc>
        <w:tc>
          <w:tcPr>
            <w:tcW w:w="415" w:type="pct"/>
            <w:tcBorders>
              <w:top w:val="nil"/>
              <w:bottom w:val="nil"/>
            </w:tcBorders>
          </w:tcPr>
          <w:p w14:paraId="4AE0F535"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39.8%</w:t>
            </w:r>
          </w:p>
        </w:tc>
        <w:tc>
          <w:tcPr>
            <w:tcW w:w="316" w:type="pct"/>
            <w:tcBorders>
              <w:top w:val="nil"/>
              <w:bottom w:val="nil"/>
            </w:tcBorders>
          </w:tcPr>
          <w:p w14:paraId="332BCA9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4.19</w:t>
            </w:r>
          </w:p>
        </w:tc>
        <w:tc>
          <w:tcPr>
            <w:tcW w:w="319" w:type="pct"/>
            <w:tcBorders>
              <w:top w:val="nil"/>
              <w:bottom w:val="nil"/>
            </w:tcBorders>
          </w:tcPr>
          <w:p w14:paraId="320808FA"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0.79</w:t>
            </w:r>
          </w:p>
        </w:tc>
      </w:tr>
      <w:tr w:rsidR="009F33CD" w:rsidRPr="00C67BC0" w14:paraId="1F94407A" w14:textId="77777777" w:rsidTr="00F75083">
        <w:trPr>
          <w:trHeight w:val="802"/>
        </w:trPr>
        <w:tc>
          <w:tcPr>
            <w:tcW w:w="2377" w:type="pct"/>
            <w:tcBorders>
              <w:top w:val="nil"/>
            </w:tcBorders>
          </w:tcPr>
          <w:p w14:paraId="234CB404" w14:textId="77777777" w:rsidR="009F33CD" w:rsidRPr="00C67BC0" w:rsidRDefault="00E40740" w:rsidP="00DD4CE4">
            <w:pPr>
              <w:spacing w:line="276" w:lineRule="auto"/>
              <w:jc w:val="left"/>
              <w:rPr>
                <w:rFonts w:eastAsia="Calibri" w:cs="Times New Roman"/>
                <w:sz w:val="22"/>
                <w:szCs w:val="22"/>
              </w:rPr>
            </w:pPr>
            <w:r w:rsidRPr="00C67BC0">
              <w:rPr>
                <w:rFonts w:eastAsia="Times New Roman" w:cs="Times New Roman"/>
                <w:bCs/>
                <w:sz w:val="22"/>
                <w:szCs w:val="22"/>
              </w:rPr>
              <w:t xml:space="preserve">There is adequate mechanism for supervision for implementation of performance management cycle. </w:t>
            </w:r>
          </w:p>
        </w:tc>
        <w:tc>
          <w:tcPr>
            <w:tcW w:w="387" w:type="pct"/>
            <w:tcBorders>
              <w:top w:val="nil"/>
            </w:tcBorders>
          </w:tcPr>
          <w:p w14:paraId="50A2C2E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1.7%</w:t>
            </w:r>
          </w:p>
        </w:tc>
        <w:tc>
          <w:tcPr>
            <w:tcW w:w="355" w:type="pct"/>
            <w:tcBorders>
              <w:top w:val="nil"/>
            </w:tcBorders>
          </w:tcPr>
          <w:p w14:paraId="0F1C4D19"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3.4%</w:t>
            </w:r>
          </w:p>
        </w:tc>
        <w:tc>
          <w:tcPr>
            <w:tcW w:w="415" w:type="pct"/>
            <w:tcBorders>
              <w:top w:val="nil"/>
            </w:tcBorders>
          </w:tcPr>
          <w:p w14:paraId="4BC67380"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9.2%</w:t>
            </w:r>
          </w:p>
        </w:tc>
        <w:tc>
          <w:tcPr>
            <w:tcW w:w="415" w:type="pct"/>
            <w:tcBorders>
              <w:top w:val="nil"/>
            </w:tcBorders>
          </w:tcPr>
          <w:p w14:paraId="1749D0EA"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42.4%</w:t>
            </w:r>
          </w:p>
        </w:tc>
        <w:tc>
          <w:tcPr>
            <w:tcW w:w="415" w:type="pct"/>
            <w:tcBorders>
              <w:top w:val="nil"/>
            </w:tcBorders>
          </w:tcPr>
          <w:p w14:paraId="05E06B91"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41.4%</w:t>
            </w:r>
          </w:p>
        </w:tc>
        <w:tc>
          <w:tcPr>
            <w:tcW w:w="316" w:type="pct"/>
            <w:tcBorders>
              <w:top w:val="nil"/>
            </w:tcBorders>
          </w:tcPr>
          <w:p w14:paraId="0D8B42E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4.20</w:t>
            </w:r>
          </w:p>
        </w:tc>
        <w:tc>
          <w:tcPr>
            <w:tcW w:w="319" w:type="pct"/>
            <w:tcBorders>
              <w:top w:val="nil"/>
            </w:tcBorders>
          </w:tcPr>
          <w:p w14:paraId="3291D48F"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0.88</w:t>
            </w:r>
          </w:p>
        </w:tc>
      </w:tr>
      <w:tr w:rsidR="009F33CD" w:rsidRPr="00C67BC0" w14:paraId="1661BA78" w14:textId="77777777">
        <w:trPr>
          <w:trHeight w:val="403"/>
        </w:trPr>
        <w:tc>
          <w:tcPr>
            <w:tcW w:w="2377" w:type="pct"/>
          </w:tcPr>
          <w:p w14:paraId="157A4996" w14:textId="77777777" w:rsidR="009F33CD" w:rsidRPr="00C67BC0" w:rsidRDefault="00E40740" w:rsidP="00DD4CE4">
            <w:pPr>
              <w:spacing w:line="276" w:lineRule="auto"/>
              <w:jc w:val="left"/>
              <w:rPr>
                <w:rFonts w:eastAsia="TimesNewRomanPSMT" w:cs="Times New Roman"/>
                <w:sz w:val="22"/>
                <w:szCs w:val="22"/>
              </w:rPr>
            </w:pPr>
            <w:r w:rsidRPr="00C67BC0">
              <w:rPr>
                <w:rFonts w:eastAsia="Times New Roman" w:cs="Times New Roman"/>
                <w:bCs/>
                <w:sz w:val="22"/>
                <w:szCs w:val="22"/>
              </w:rPr>
              <w:t xml:space="preserve">Management style can negatively affect performance in a devolved healthcare service. </w:t>
            </w:r>
          </w:p>
        </w:tc>
        <w:tc>
          <w:tcPr>
            <w:tcW w:w="387" w:type="pct"/>
          </w:tcPr>
          <w:p w14:paraId="0F65BAFD"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2.5%</w:t>
            </w:r>
          </w:p>
        </w:tc>
        <w:tc>
          <w:tcPr>
            <w:tcW w:w="355" w:type="pct"/>
          </w:tcPr>
          <w:p w14:paraId="4CC337ED"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1.7%</w:t>
            </w:r>
          </w:p>
        </w:tc>
        <w:tc>
          <w:tcPr>
            <w:tcW w:w="415" w:type="pct"/>
          </w:tcPr>
          <w:p w14:paraId="78456BE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9.3%</w:t>
            </w:r>
          </w:p>
        </w:tc>
        <w:tc>
          <w:tcPr>
            <w:tcW w:w="415" w:type="pct"/>
          </w:tcPr>
          <w:p w14:paraId="1A490024"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50.8%</w:t>
            </w:r>
          </w:p>
        </w:tc>
        <w:tc>
          <w:tcPr>
            <w:tcW w:w="415" w:type="pct"/>
          </w:tcPr>
          <w:p w14:paraId="7D9737B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35.6%</w:t>
            </w:r>
          </w:p>
        </w:tc>
        <w:tc>
          <w:tcPr>
            <w:tcW w:w="316" w:type="pct"/>
          </w:tcPr>
          <w:p w14:paraId="2D419B76"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4.15</w:t>
            </w:r>
          </w:p>
        </w:tc>
        <w:tc>
          <w:tcPr>
            <w:tcW w:w="319" w:type="pct"/>
          </w:tcPr>
          <w:p w14:paraId="48F5BD08" w14:textId="77777777" w:rsidR="009F33CD" w:rsidRPr="00C67BC0" w:rsidRDefault="00E40740" w:rsidP="00DD4CE4">
            <w:pPr>
              <w:spacing w:line="276" w:lineRule="auto"/>
              <w:rPr>
                <w:rFonts w:eastAsia="TimesNewRomanPSMT" w:cs="Times New Roman"/>
                <w:sz w:val="22"/>
                <w:szCs w:val="22"/>
              </w:rPr>
            </w:pPr>
            <w:r w:rsidRPr="00C67BC0">
              <w:rPr>
                <w:rFonts w:eastAsia="TimesNewRomanPSMT" w:cs="Times New Roman"/>
                <w:sz w:val="22"/>
                <w:szCs w:val="22"/>
              </w:rPr>
              <w:t>0.85</w:t>
            </w:r>
          </w:p>
        </w:tc>
      </w:tr>
    </w:tbl>
    <w:p w14:paraId="3E3B49E9" w14:textId="77777777" w:rsidR="00352D98" w:rsidRDefault="00352D98">
      <w:pPr>
        <w:autoSpaceDE/>
        <w:autoSpaceDN/>
        <w:adjustRightInd/>
        <w:spacing w:before="0" w:beforeAutospacing="0" w:after="0" w:afterAutospacing="0" w:line="240" w:lineRule="auto"/>
        <w:jc w:val="left"/>
        <w:rPr>
          <w:rFonts w:cs="Times New Roman"/>
          <w:bCs/>
          <w:szCs w:val="24"/>
        </w:rPr>
      </w:pPr>
      <w:r>
        <w:rPr>
          <w:rFonts w:cs="Times New Roman"/>
          <w:bCs/>
          <w:szCs w:val="24"/>
        </w:rPr>
        <w:br w:type="page"/>
      </w:r>
    </w:p>
    <w:p w14:paraId="038F51F4" w14:textId="77777777" w:rsidR="009F33CD" w:rsidRDefault="00A63BEB">
      <w:pPr>
        <w:spacing w:before="240"/>
        <w:rPr>
          <w:rFonts w:cs="Times New Roman"/>
          <w:bCs/>
          <w:szCs w:val="24"/>
        </w:rPr>
      </w:pPr>
      <w:r>
        <w:rPr>
          <w:rFonts w:cs="Times New Roman"/>
          <w:bCs/>
          <w:szCs w:val="24"/>
        </w:rPr>
        <w:lastRenderedPageBreak/>
        <w:t>The findings in Table 4.43</w:t>
      </w:r>
      <w:r w:rsidR="00E40740">
        <w:rPr>
          <w:rFonts w:cs="Times New Roman"/>
          <w:bCs/>
          <w:szCs w:val="24"/>
        </w:rPr>
        <w:t xml:space="preserve"> reveal that 89.0% (M = 4.16, Sd = 0.81) of respondents agreed that </w:t>
      </w:r>
      <w:r w:rsidR="00E40740">
        <w:rPr>
          <w:rFonts w:eastAsia="Times New Roman" w:cs="Times New Roman"/>
          <w:bCs/>
          <w:szCs w:val="24"/>
        </w:rPr>
        <w:t>their workload was adequate in enhancing performance</w:t>
      </w:r>
      <w:r w:rsidR="00E40740">
        <w:rPr>
          <w:rFonts w:cs="Times New Roman"/>
          <w:bCs/>
          <w:szCs w:val="24"/>
        </w:rPr>
        <w:t>.</w:t>
      </w:r>
      <w:r w:rsidR="00E40740">
        <w:t xml:space="preserve"> This indicates that </w:t>
      </w:r>
      <w:r w:rsidR="00E40740">
        <w:rPr>
          <w:rFonts w:cs="Times New Roman"/>
          <w:bCs/>
          <w:szCs w:val="24"/>
        </w:rPr>
        <w:t>most respondents consistently perceived their workload as adequate in achieving high levels of productivity and employee satisfaction. Further, employees who feel that their workload is adequate experience reduced stress and burnout, and consequently exhibit higher levels of motivation, engagement, and commitment to better healthcare service delivery. This study finding is supported by Nnebue (2014) who found that inadequacy of equipment and essential drugs combined with high workload and lack of professional retraining are frequently reported factors responsible for low motivation and poor performance of health workers providing services to pregnant women. Other respondents 7.6% remained undecided, and the remaining 3.3% disagreed with the statement. This small segment of the respondents who remained undecided or disagreed implied that they were unsure of the statement.</w:t>
      </w:r>
    </w:p>
    <w:p w14:paraId="2C47BD1B" w14:textId="77777777" w:rsidR="009F33CD" w:rsidRDefault="00E40740">
      <w:pPr>
        <w:spacing w:before="240"/>
        <w:rPr>
          <w:rFonts w:cs="Times New Roman"/>
          <w:bCs/>
          <w:szCs w:val="24"/>
        </w:rPr>
      </w:pPr>
      <w:r>
        <w:rPr>
          <w:rFonts w:cs="Times New Roman"/>
          <w:bCs/>
          <w:szCs w:val="24"/>
        </w:rPr>
        <w:t>On the statement t</w:t>
      </w:r>
      <w:r>
        <w:rPr>
          <w:rFonts w:eastAsia="Times New Roman" w:cs="Times New Roman"/>
          <w:bCs/>
          <w:szCs w:val="24"/>
        </w:rPr>
        <w:t xml:space="preserve">hat hospital management relies on set rules, policies, and procedures to enhance the performance of devolved healthcare services, the </w:t>
      </w:r>
      <w:r>
        <w:rPr>
          <w:rFonts w:cs="Times New Roman"/>
          <w:bCs/>
          <w:szCs w:val="24"/>
        </w:rPr>
        <w:t xml:space="preserve">majority of the respondents, 82.2% (M = 4.10, Sd = 0.90), agreed with the statement. This result indicates that employees perceive reliance on laid down rules, policies, and procedures as a systematic approach to managing and improving healthcare performance. This can be particularly important in a healthcare setting where standardization and adherence to protocols are vital for patient safety and quality of care. Further, it highlights the need for proper guidelines to support effective healthcare service delivery and organizational performance. This result is consistent with Khan </w:t>
      </w:r>
      <w:r>
        <w:rPr>
          <w:rFonts w:cs="Times New Roman"/>
          <w:bCs/>
          <w:i/>
          <w:iCs/>
          <w:szCs w:val="24"/>
        </w:rPr>
        <w:t>et al</w:t>
      </w:r>
      <w:r>
        <w:rPr>
          <w:rFonts w:cs="Times New Roman"/>
          <w:bCs/>
          <w:szCs w:val="24"/>
        </w:rPr>
        <w:t xml:space="preserve"> (2015) who called this bureaucratic m</w:t>
      </w:r>
      <w:r>
        <w:rPr>
          <w:rFonts w:cs="Times New Roman"/>
          <w:szCs w:val="24"/>
        </w:rPr>
        <w:t>anagement style whereby work is done in a pre-determined manner while following laid down policies, procedures, rules, and standards.</w:t>
      </w:r>
      <w:r>
        <w:rPr>
          <w:rFonts w:cs="Times New Roman"/>
          <w:bCs/>
          <w:szCs w:val="24"/>
        </w:rPr>
        <w:t xml:space="preserve"> The study finding concurs with Ren </w:t>
      </w:r>
      <w:r>
        <w:rPr>
          <w:rFonts w:cs="Times New Roman"/>
          <w:bCs/>
          <w:i/>
          <w:iCs/>
          <w:szCs w:val="24"/>
        </w:rPr>
        <w:t>et al.</w:t>
      </w:r>
      <w:r>
        <w:rPr>
          <w:rFonts w:cs="Times New Roman"/>
          <w:bCs/>
          <w:szCs w:val="24"/>
        </w:rPr>
        <w:t xml:space="preserve"> (2018) who stated that an effective approach to organization sustainability requires employee compliance with formal rules and acceptance to voluntarily engage in green initiatives such as lowering consumption of energy and paper and use of stairs in place of elevators. Other respondents, 13.7% were undecided, and the remaining 6.0% disagreed with the statement implying that they were sceptical. </w:t>
      </w:r>
    </w:p>
    <w:p w14:paraId="572E88E1" w14:textId="77777777" w:rsidR="00292C48" w:rsidRDefault="00292C48">
      <w:pPr>
        <w:autoSpaceDE/>
        <w:autoSpaceDN/>
        <w:adjustRightInd/>
        <w:spacing w:before="0" w:beforeAutospacing="0" w:after="0" w:afterAutospacing="0" w:line="240" w:lineRule="auto"/>
        <w:jc w:val="left"/>
        <w:rPr>
          <w:rFonts w:cs="Times New Roman"/>
          <w:bCs/>
          <w:szCs w:val="24"/>
        </w:rPr>
      </w:pPr>
      <w:r>
        <w:rPr>
          <w:rFonts w:cs="Times New Roman"/>
          <w:bCs/>
          <w:szCs w:val="24"/>
        </w:rPr>
        <w:br w:type="page"/>
      </w:r>
    </w:p>
    <w:p w14:paraId="2F45F1F0" w14:textId="77777777" w:rsidR="009F33CD" w:rsidRDefault="00E40740">
      <w:pPr>
        <w:spacing w:before="240" w:after="240"/>
        <w:rPr>
          <w:rFonts w:cs="Times New Roman"/>
          <w:bCs/>
          <w:szCs w:val="24"/>
        </w:rPr>
      </w:pPr>
      <w:r>
        <w:rPr>
          <w:rFonts w:cs="Times New Roman"/>
          <w:bCs/>
          <w:szCs w:val="24"/>
        </w:rPr>
        <w:lastRenderedPageBreak/>
        <w:t xml:space="preserve">The majority of the respondents, 78.8% (M = 4.08, Sd = 0.95), agreed that </w:t>
      </w:r>
      <w:r>
        <w:rPr>
          <w:rFonts w:eastAsia="Times New Roman" w:cs="Times New Roman"/>
          <w:bCs/>
          <w:szCs w:val="24"/>
        </w:rPr>
        <w:t>management supports green initiatives because they enhance the performance of healthcare services</w:t>
      </w:r>
      <w:r>
        <w:rPr>
          <w:rFonts w:cs="Times New Roman"/>
          <w:bCs/>
          <w:szCs w:val="24"/>
        </w:rPr>
        <w:t>. This suggests that when management demonstrates a desire for green initiatives such as flower gardens, grass fields, and clean rooms with a circulation of fresh air, employees tend to follow the behaviour of managers. This result underscores the importance of management support for green initiatives in enhancing employee satisfaction and commitment to the performance of devolved healthcare services.</w:t>
      </w:r>
      <w:r>
        <w:rPr>
          <w:rFonts w:eastAsia="TimesNewRomanPSMT" w:cs="Times New Roman"/>
          <w:bCs/>
          <w:szCs w:val="24"/>
        </w:rPr>
        <w:t xml:space="preserve"> This finding agrees with Opatha and Arulrajah (2014) who stated that GHRM </w:t>
      </w:r>
      <w:r>
        <w:rPr>
          <w:rFonts w:cs="Times New Roman"/>
          <w:bCs/>
          <w:szCs w:val="24"/>
        </w:rPr>
        <w:t xml:space="preserve">could protect the natural environment, maintain the natural environment, reduce environmental pollution, and create gardens and places. Of the other respondents, 16.1% were undecided, while the remaining 5.1% of the respondents disagreed with the statement. This small segment of respondents who disagreed or remained undecided implies that they are not aware of any management support towards green initiatives. </w:t>
      </w:r>
    </w:p>
    <w:p w14:paraId="295F41A1" w14:textId="77777777" w:rsidR="009F33CD" w:rsidRDefault="00E40740">
      <w:pPr>
        <w:spacing w:before="240" w:after="240"/>
        <w:rPr>
          <w:rFonts w:cs="Times New Roman"/>
          <w:szCs w:val="24"/>
        </w:rPr>
      </w:pPr>
      <w:r>
        <w:rPr>
          <w:rFonts w:cs="Times New Roman"/>
          <w:bCs/>
          <w:szCs w:val="24"/>
        </w:rPr>
        <w:t>Most respondents, 85.6% (M = 4.16, Sd = 0.82) agreed that the hospital applies a participative management style that enables employees to participate in green decision-making. This finding suggests that employee participation and involvement in the decision-making process especially on issues related to their work enhance employee satisfaction and engagement which boosts performance.</w:t>
      </w:r>
      <w:r>
        <w:rPr>
          <w:rFonts w:cs="Times New Roman"/>
          <w:szCs w:val="24"/>
        </w:rPr>
        <w:t xml:space="preserve"> This finding is consistent with Amanchukwu and Ololube (2015) who stated that the participative management style is when the manager involves the employees in the decision-making process and this creates motivation and satisfaction.</w:t>
      </w:r>
      <w:r>
        <w:rPr>
          <w:rFonts w:cs="Times New Roman"/>
          <w:bCs/>
          <w:szCs w:val="24"/>
        </w:rPr>
        <w:t xml:space="preserve"> Of other respondents, 11% were undecided, and the remaining 3.4% disagreed with the statement. The undecided respondents and those who disagreed imply that they have never attended any management meeting or are not properly involved.</w:t>
      </w:r>
    </w:p>
    <w:p w14:paraId="4665953B" w14:textId="77777777" w:rsidR="009F33CD" w:rsidRDefault="00E40740">
      <w:pPr>
        <w:spacing w:after="240"/>
        <w:rPr>
          <w:rFonts w:cs="Times New Roman"/>
          <w:bCs/>
          <w:szCs w:val="24"/>
        </w:rPr>
      </w:pPr>
      <w:r>
        <w:rPr>
          <w:rFonts w:cs="Times New Roman"/>
          <w:bCs/>
          <w:szCs w:val="24"/>
        </w:rPr>
        <w:t xml:space="preserve">Most of the respondents, 82.2% (M = 4.19, Sd = 0.79), agreed with the statement that bureaucratic management is embraced to improve employee performance and environmental protection. This finding indicates that bureaucratic management is embraced among healthcare employees because it enhances quality standards, reduces conflict, and enhances employee performance. This strong agreement suggests that by setting clear expectations and standards, management ensures that employees are more focused, motivated, and productive. Additionally, bureaucratic management may </w:t>
      </w:r>
      <w:r>
        <w:rPr>
          <w:rFonts w:cs="Times New Roman"/>
          <w:bCs/>
          <w:szCs w:val="24"/>
        </w:rPr>
        <w:lastRenderedPageBreak/>
        <w:t xml:space="preserve">support initiatives geared towards environmental protection especially if authority is well distributed in the organization. This means that by enforcing environmental sustainability policies and procedures, healthcare service organizations ensure compliance with sector regulations and legal requirements. This result is consistent with a study Opatha and Nawaratne (2015) who stated that some companies have recognized the importance of bureaucratic management as a tool that can help employees to regulate themselves on matters of environmental protection initiatives and activities of the organization. Further, </w:t>
      </w:r>
      <w:r>
        <w:rPr>
          <w:rFonts w:cs="Times New Roman"/>
          <w:bCs/>
          <w:color w:val="000000"/>
          <w:szCs w:val="24"/>
        </w:rPr>
        <w:t xml:space="preserve">Renwick </w:t>
      </w:r>
      <w:r>
        <w:rPr>
          <w:rFonts w:cs="Times New Roman"/>
          <w:bCs/>
          <w:i/>
          <w:color w:val="000000"/>
          <w:szCs w:val="24"/>
        </w:rPr>
        <w:t>et al.,</w:t>
      </w:r>
      <w:r>
        <w:rPr>
          <w:rFonts w:cs="Times New Roman"/>
          <w:bCs/>
          <w:color w:val="000000"/>
          <w:szCs w:val="24"/>
        </w:rPr>
        <w:t xml:space="preserve"> (2013) opine that setting penalties for noncompliance on targets on environmental management, discipline and/or dismissal for environmental management breaches, and developing negative reinforcements in environmental management are worthwhile practices to consider in green discipline management.</w:t>
      </w:r>
      <w:r>
        <w:rPr>
          <w:rFonts w:cs="Times New Roman"/>
          <w:bCs/>
          <w:szCs w:val="24"/>
        </w:rPr>
        <w:t xml:space="preserve"> Of the other respondents, 15.3% remained undecided, and the remaining 2.5% disagreed with the statement on bureaucratic management.</w:t>
      </w:r>
    </w:p>
    <w:p w14:paraId="421AC6CF" w14:textId="77777777" w:rsidR="009F33CD" w:rsidRDefault="00E40740">
      <w:pPr>
        <w:autoSpaceDE/>
        <w:autoSpaceDN/>
        <w:adjustRightInd/>
        <w:spacing w:after="200"/>
        <w:rPr>
          <w:rFonts w:cs="Times New Roman"/>
          <w:bCs/>
          <w:szCs w:val="24"/>
        </w:rPr>
      </w:pPr>
      <w:r>
        <w:rPr>
          <w:rFonts w:cs="Times New Roman"/>
          <w:bCs/>
          <w:szCs w:val="24"/>
        </w:rPr>
        <w:t xml:space="preserve">On the statement as to whether there is an adequate supervision mechanism in place for the successful execution of the performance management cycle in the hospital setup, the majority of the respondents, 83.8% (M = 4.20, Sd = 0.88), agreed to the statement. This finding suggests that most employees positively perceive that supervision mechanisms are effective and important in executing the performance management cycle within the hospital. Adequate supervision ensures consistency in healthcare delivery because employees receive the necessary guidance and support to achieve their performance goals. This finding implies that </w:t>
      </w:r>
      <w:bookmarkStart w:id="1543" w:name="_Hlk186572215"/>
      <w:r>
        <w:rPr>
          <w:rFonts w:cs="Times New Roman"/>
          <w:bCs/>
          <w:szCs w:val="24"/>
        </w:rPr>
        <w:t xml:space="preserve">proper supervision mechanisms </w:t>
      </w:r>
      <w:bookmarkEnd w:id="1543"/>
      <w:r>
        <w:rPr>
          <w:rFonts w:cs="Times New Roman"/>
          <w:bCs/>
          <w:szCs w:val="24"/>
        </w:rPr>
        <w:t xml:space="preserve">can lead to more efficient use of resources, faster service delivery, and improved patient care. Proper supervision mechanisms play a key role in employee training because </w:t>
      </w:r>
      <w:r w:rsidR="00E3106E">
        <w:rPr>
          <w:rFonts w:cs="Times New Roman"/>
          <w:bCs/>
          <w:szCs w:val="24"/>
        </w:rPr>
        <w:t>managers</w:t>
      </w:r>
      <w:r>
        <w:rPr>
          <w:rFonts w:cs="Times New Roman"/>
          <w:bCs/>
          <w:szCs w:val="24"/>
        </w:rPr>
        <w:t xml:space="preserve"> can identify employee training needs and set strategies to develop the skills for improved performance and job satisfaction. Of the remaining respondents, 9.2% were undecided, while 5.1% disagreed with the statement. </w:t>
      </w:r>
    </w:p>
    <w:p w14:paraId="1849CCE4" w14:textId="77777777" w:rsidR="009F33CD" w:rsidRDefault="00E40740">
      <w:pPr>
        <w:autoSpaceDE/>
        <w:autoSpaceDN/>
        <w:adjustRightInd/>
        <w:spacing w:after="200"/>
        <w:rPr>
          <w:rFonts w:cs="Times New Roman"/>
          <w:bCs/>
          <w:szCs w:val="24"/>
        </w:rPr>
      </w:pPr>
      <w:r>
        <w:rPr>
          <w:rFonts w:cs="Times New Roman"/>
          <w:bCs/>
          <w:szCs w:val="24"/>
        </w:rPr>
        <w:t xml:space="preserve">Finally, the majority of the respondents, 86.4% (M = 4.15, Sd = 0.85), agreed that the effect of management style on performance within a devolved healthcare service could be counterproductive. This finding suggests that there is a need to reevaluate the effectiveness of current management practices and make necessary adjustments to avoid counterproductive effects on performance. It may be important for managers to </w:t>
      </w:r>
      <w:r>
        <w:rPr>
          <w:rFonts w:cs="Times New Roman"/>
          <w:bCs/>
          <w:szCs w:val="24"/>
        </w:rPr>
        <w:lastRenderedPageBreak/>
        <w:t xml:space="preserve">adopt a more tailored management style that is sensitive to the needs and dynamics of each department or section. A Supportive and effective management style can improve job satisfaction, reduce stress, and enhance healthcare performance. Of other respondents, 9.3% were undecided, and 4.2% disagreed with the statement. This finding from a small segment of the respondents (who disagreed and remained undecided) indicates that they were </w:t>
      </w:r>
      <w:r w:rsidR="001C3D4C">
        <w:rPr>
          <w:rFonts w:cs="Times New Roman"/>
          <w:bCs/>
          <w:szCs w:val="24"/>
        </w:rPr>
        <w:t>sceptical</w:t>
      </w:r>
      <w:r>
        <w:rPr>
          <w:rFonts w:cs="Times New Roman"/>
          <w:bCs/>
          <w:szCs w:val="24"/>
        </w:rPr>
        <w:t xml:space="preserve"> or had not interacted much with the management employees.  </w:t>
      </w:r>
      <w:r>
        <w:rPr>
          <w:rFonts w:cs="Times New Roman"/>
          <w:bCs/>
          <w:color w:val="000000"/>
          <w:szCs w:val="24"/>
        </w:rPr>
        <w:t xml:space="preserve"> </w:t>
      </w:r>
    </w:p>
    <w:p w14:paraId="62460A90" w14:textId="77777777" w:rsidR="009F33CD" w:rsidRDefault="00E40740">
      <w:pPr>
        <w:spacing w:after="240"/>
        <w:rPr>
          <w:rFonts w:eastAsia="SimSun" w:cs="Times New Roman"/>
          <w:bCs/>
        </w:rPr>
      </w:pPr>
      <w:r>
        <w:rPr>
          <w:rFonts w:eastAsia="SimSun" w:cs="Times New Roman"/>
          <w:bCs/>
        </w:rPr>
        <w:t>Further, the respondents were requested to suggest possible ways in which management style can be improved in the hospital to enhance the performance of devolved healthcare services. A total of 34 employees stated their responses which were arranged in themes, analyzed using Content analy</w:t>
      </w:r>
      <w:r w:rsidR="00A63BEB">
        <w:rPr>
          <w:rFonts w:eastAsia="SimSun" w:cs="Times New Roman"/>
          <w:bCs/>
        </w:rPr>
        <w:t>sis, and displayed in Table 4.44</w:t>
      </w:r>
      <w:r>
        <w:rPr>
          <w:rFonts w:eastAsia="SimSun" w:cs="Times New Roman"/>
          <w:bCs/>
        </w:rPr>
        <w:t>. Only the three most mentioned suggestions were rated.</w:t>
      </w:r>
    </w:p>
    <w:p w14:paraId="341017F2" w14:textId="77777777" w:rsidR="009F33CD" w:rsidRDefault="00A63BEB">
      <w:pPr>
        <w:pStyle w:val="Heading6"/>
      </w:pPr>
      <w:bookmarkStart w:id="1544" w:name="_Toc187080913"/>
      <w:bookmarkStart w:id="1545" w:name="_Toc178942685"/>
      <w:bookmarkStart w:id="1546" w:name="_Toc185614141"/>
      <w:bookmarkStart w:id="1547" w:name="_Toc178944343"/>
      <w:bookmarkStart w:id="1548" w:name="_Toc147946917"/>
      <w:bookmarkStart w:id="1549" w:name="_Toc178945095"/>
      <w:bookmarkStart w:id="1550" w:name="_Toc165626433"/>
      <w:bookmarkStart w:id="1551" w:name="_Toc147950256"/>
      <w:bookmarkStart w:id="1552" w:name="_Toc224237473"/>
      <w:r>
        <w:t>Table 4.44</w:t>
      </w:r>
      <w:r w:rsidR="00E40740">
        <w:t>: Suggestions for Improvement of Management Style (Moderating Variable)</w:t>
      </w:r>
      <w:bookmarkEnd w:id="1544"/>
      <w:bookmarkEnd w:id="1545"/>
      <w:bookmarkEnd w:id="1546"/>
      <w:bookmarkEnd w:id="1547"/>
      <w:bookmarkEnd w:id="1548"/>
      <w:bookmarkEnd w:id="1549"/>
      <w:bookmarkEnd w:id="1550"/>
      <w:bookmarkEnd w:id="1551"/>
      <w:bookmarkEnd w:id="1552"/>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5849"/>
        <w:gridCol w:w="1238"/>
        <w:gridCol w:w="1115"/>
        <w:gridCol w:w="18"/>
      </w:tblGrid>
      <w:tr w:rsidR="009F33CD" w14:paraId="09A8ADEB" w14:textId="77777777">
        <w:trPr>
          <w:cantSplit/>
          <w:trHeight w:val="142"/>
        </w:trPr>
        <w:tc>
          <w:tcPr>
            <w:tcW w:w="3562" w:type="pct"/>
            <w:tcBorders>
              <w:top w:val="single" w:sz="4" w:space="0" w:color="auto"/>
              <w:bottom w:val="single" w:sz="4" w:space="0" w:color="auto"/>
            </w:tcBorders>
            <w:shd w:val="clear" w:color="auto" w:fill="FFFFFF"/>
          </w:tcPr>
          <w:p w14:paraId="68736C63" w14:textId="77777777" w:rsidR="009F33CD" w:rsidRDefault="00E40740">
            <w:pPr>
              <w:spacing w:before="0" w:beforeAutospacing="0" w:after="0" w:afterAutospacing="0" w:line="240" w:lineRule="auto"/>
              <w:rPr>
                <w:rFonts w:eastAsia="SimSun" w:cs="Times New Roman"/>
                <w:b/>
                <w:bCs/>
              </w:rPr>
            </w:pPr>
            <w:r>
              <w:rPr>
                <w:rFonts w:eastAsia="SimSun" w:cs="Times New Roman"/>
                <w:b/>
                <w:bCs/>
              </w:rPr>
              <w:t>Responses</w:t>
            </w:r>
          </w:p>
        </w:tc>
        <w:tc>
          <w:tcPr>
            <w:tcW w:w="757" w:type="pct"/>
            <w:tcBorders>
              <w:top w:val="single" w:sz="4" w:space="0" w:color="auto"/>
              <w:bottom w:val="single" w:sz="4" w:space="0" w:color="auto"/>
            </w:tcBorders>
            <w:shd w:val="clear" w:color="auto" w:fill="FFFFFF"/>
          </w:tcPr>
          <w:p w14:paraId="2F120B20" w14:textId="77777777" w:rsidR="009F33CD" w:rsidRDefault="00E40740">
            <w:pPr>
              <w:spacing w:before="0" w:beforeAutospacing="0" w:after="0" w:afterAutospacing="0" w:line="240" w:lineRule="auto"/>
              <w:rPr>
                <w:rFonts w:eastAsia="SimSun" w:cs="Times New Roman"/>
                <w:b/>
                <w:bCs/>
              </w:rPr>
            </w:pPr>
            <w:r>
              <w:rPr>
                <w:rFonts w:eastAsia="SimSun" w:cs="Times New Roman"/>
                <w:b/>
                <w:bCs/>
              </w:rPr>
              <w:t>Frequency</w:t>
            </w:r>
          </w:p>
        </w:tc>
        <w:tc>
          <w:tcPr>
            <w:tcW w:w="682" w:type="pct"/>
            <w:gridSpan w:val="2"/>
            <w:tcBorders>
              <w:top w:val="single" w:sz="4" w:space="0" w:color="auto"/>
              <w:bottom w:val="single" w:sz="4" w:space="0" w:color="auto"/>
            </w:tcBorders>
            <w:shd w:val="clear" w:color="auto" w:fill="FFFFFF"/>
          </w:tcPr>
          <w:p w14:paraId="62419973" w14:textId="77777777" w:rsidR="009F33CD" w:rsidRDefault="00E40740">
            <w:pPr>
              <w:spacing w:before="0" w:beforeAutospacing="0" w:after="0" w:afterAutospacing="0" w:line="240" w:lineRule="auto"/>
              <w:rPr>
                <w:rFonts w:eastAsia="SimSun" w:cs="Times New Roman"/>
                <w:b/>
                <w:bCs/>
              </w:rPr>
            </w:pPr>
            <w:r>
              <w:rPr>
                <w:rFonts w:eastAsia="SimSun" w:cs="Times New Roman"/>
                <w:b/>
                <w:bCs/>
              </w:rPr>
              <w:t>Percentage</w:t>
            </w:r>
          </w:p>
        </w:tc>
      </w:tr>
      <w:tr w:rsidR="009F33CD" w14:paraId="76122FEC" w14:textId="77777777">
        <w:trPr>
          <w:gridAfter w:val="1"/>
          <w:wAfter w:w="10" w:type="pct"/>
          <w:cantSplit/>
          <w:trHeight w:val="273"/>
        </w:trPr>
        <w:tc>
          <w:tcPr>
            <w:tcW w:w="3562" w:type="pct"/>
            <w:tcBorders>
              <w:top w:val="single" w:sz="4" w:space="0" w:color="auto"/>
            </w:tcBorders>
            <w:shd w:val="clear" w:color="auto" w:fill="FFFFFF"/>
            <w:vAlign w:val="center"/>
          </w:tcPr>
          <w:p w14:paraId="2724BB62" w14:textId="77777777" w:rsidR="009F33CD" w:rsidRDefault="00E40740">
            <w:pPr>
              <w:spacing w:before="0" w:beforeAutospacing="0" w:after="0" w:afterAutospacing="0" w:line="240" w:lineRule="auto"/>
              <w:rPr>
                <w:rFonts w:eastAsia="SimSun" w:cs="Times New Roman"/>
                <w:bCs/>
              </w:rPr>
            </w:pPr>
            <w:r>
              <w:rPr>
                <w:rFonts w:eastAsia="SimSun" w:cs="Times New Roman"/>
                <w:bCs/>
              </w:rPr>
              <w:t>There is need for more employee involvement and participation in decision making about green initiatives and activities.</w:t>
            </w:r>
          </w:p>
        </w:tc>
        <w:tc>
          <w:tcPr>
            <w:tcW w:w="757" w:type="pct"/>
            <w:tcBorders>
              <w:top w:val="single" w:sz="4" w:space="0" w:color="auto"/>
            </w:tcBorders>
            <w:shd w:val="clear" w:color="auto" w:fill="FFFFFF"/>
            <w:vAlign w:val="center"/>
          </w:tcPr>
          <w:p w14:paraId="47355C1E"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20</w:t>
            </w:r>
          </w:p>
        </w:tc>
        <w:tc>
          <w:tcPr>
            <w:tcW w:w="671" w:type="pct"/>
            <w:tcBorders>
              <w:top w:val="single" w:sz="4" w:space="0" w:color="auto"/>
            </w:tcBorders>
            <w:shd w:val="clear" w:color="auto" w:fill="FFFFFF"/>
            <w:vAlign w:val="center"/>
          </w:tcPr>
          <w:p w14:paraId="651BC99B"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58.8</w:t>
            </w:r>
          </w:p>
        </w:tc>
      </w:tr>
      <w:tr w:rsidR="009F33CD" w14:paraId="5085B4AD" w14:textId="77777777">
        <w:trPr>
          <w:gridAfter w:val="1"/>
          <w:wAfter w:w="10" w:type="pct"/>
          <w:cantSplit/>
          <w:trHeight w:val="287"/>
        </w:trPr>
        <w:tc>
          <w:tcPr>
            <w:tcW w:w="3562" w:type="pct"/>
            <w:shd w:val="clear" w:color="auto" w:fill="FFFFFF"/>
            <w:vAlign w:val="center"/>
          </w:tcPr>
          <w:p w14:paraId="32C5712A" w14:textId="77777777" w:rsidR="009F33CD" w:rsidRDefault="00E40740">
            <w:pPr>
              <w:spacing w:before="0" w:beforeAutospacing="0" w:after="0" w:afterAutospacing="0" w:line="240" w:lineRule="auto"/>
              <w:rPr>
                <w:rFonts w:eastAsia="SimSun" w:cs="Times New Roman"/>
                <w:bCs/>
              </w:rPr>
            </w:pPr>
            <w:r>
              <w:rPr>
                <w:rFonts w:eastAsia="SimSun" w:cs="Times New Roman"/>
                <w:bCs/>
              </w:rPr>
              <w:t xml:space="preserve">Management should integrate messages of green initiatives into standard operating procedures and embrace online communication such as email and WhatsApp. </w:t>
            </w:r>
          </w:p>
        </w:tc>
        <w:tc>
          <w:tcPr>
            <w:tcW w:w="757" w:type="pct"/>
            <w:shd w:val="clear" w:color="auto" w:fill="FFFFFF"/>
            <w:vAlign w:val="center"/>
          </w:tcPr>
          <w:p w14:paraId="5B93189F"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11</w:t>
            </w:r>
          </w:p>
        </w:tc>
        <w:tc>
          <w:tcPr>
            <w:tcW w:w="671" w:type="pct"/>
            <w:shd w:val="clear" w:color="auto" w:fill="FFFFFF"/>
            <w:vAlign w:val="center"/>
          </w:tcPr>
          <w:p w14:paraId="352466BA"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32.4</w:t>
            </w:r>
          </w:p>
        </w:tc>
      </w:tr>
      <w:tr w:rsidR="009F33CD" w14:paraId="31550853" w14:textId="77777777" w:rsidTr="00F75083">
        <w:trPr>
          <w:gridAfter w:val="1"/>
          <w:wAfter w:w="10" w:type="pct"/>
          <w:cantSplit/>
          <w:trHeight w:val="273"/>
        </w:trPr>
        <w:tc>
          <w:tcPr>
            <w:tcW w:w="3562" w:type="pct"/>
            <w:tcBorders>
              <w:bottom w:val="nil"/>
            </w:tcBorders>
            <w:shd w:val="clear" w:color="auto" w:fill="FFFFFF"/>
            <w:vAlign w:val="center"/>
          </w:tcPr>
          <w:p w14:paraId="34713926" w14:textId="77777777" w:rsidR="009F33CD" w:rsidRDefault="00E40740">
            <w:pPr>
              <w:spacing w:before="0" w:beforeAutospacing="0" w:after="0" w:afterAutospacing="0" w:line="240" w:lineRule="auto"/>
              <w:rPr>
                <w:rFonts w:eastAsia="SimSun" w:cs="Times New Roman"/>
                <w:bCs/>
              </w:rPr>
            </w:pPr>
            <w:r>
              <w:rPr>
                <w:rFonts w:eastAsia="SimSun" w:cs="Times New Roman"/>
                <w:bCs/>
              </w:rPr>
              <w:t>Management should increase supervisory support in terms of supply of adequate medical and non-medical commodities</w:t>
            </w:r>
          </w:p>
        </w:tc>
        <w:tc>
          <w:tcPr>
            <w:tcW w:w="757" w:type="pct"/>
            <w:tcBorders>
              <w:bottom w:val="nil"/>
            </w:tcBorders>
            <w:shd w:val="clear" w:color="auto" w:fill="FFFFFF"/>
            <w:vAlign w:val="center"/>
          </w:tcPr>
          <w:p w14:paraId="76AA3AA5"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3</w:t>
            </w:r>
          </w:p>
        </w:tc>
        <w:tc>
          <w:tcPr>
            <w:tcW w:w="671" w:type="pct"/>
            <w:tcBorders>
              <w:bottom w:val="nil"/>
            </w:tcBorders>
            <w:shd w:val="clear" w:color="auto" w:fill="FFFFFF"/>
            <w:vAlign w:val="center"/>
          </w:tcPr>
          <w:p w14:paraId="7B98D5F5" w14:textId="77777777" w:rsidR="009F33CD" w:rsidRDefault="00E40740">
            <w:pPr>
              <w:spacing w:before="0" w:beforeAutospacing="0" w:after="0" w:afterAutospacing="0" w:line="240" w:lineRule="auto"/>
              <w:jc w:val="center"/>
              <w:rPr>
                <w:rFonts w:eastAsia="SimSun" w:cs="Times New Roman"/>
                <w:bCs/>
              </w:rPr>
            </w:pPr>
            <w:r>
              <w:rPr>
                <w:rFonts w:eastAsia="SimSun" w:cs="Times New Roman"/>
                <w:bCs/>
              </w:rPr>
              <w:t>8.8</w:t>
            </w:r>
          </w:p>
        </w:tc>
      </w:tr>
      <w:tr w:rsidR="009F33CD" w14:paraId="42C45AF1" w14:textId="77777777" w:rsidTr="00F75083">
        <w:trPr>
          <w:gridAfter w:val="1"/>
          <w:wAfter w:w="10" w:type="pct"/>
          <w:cantSplit/>
          <w:trHeight w:val="205"/>
        </w:trPr>
        <w:tc>
          <w:tcPr>
            <w:tcW w:w="3562" w:type="pct"/>
            <w:tcBorders>
              <w:top w:val="nil"/>
              <w:bottom w:val="single" w:sz="4" w:space="0" w:color="auto"/>
            </w:tcBorders>
            <w:shd w:val="clear" w:color="auto" w:fill="FFFFFF"/>
            <w:vAlign w:val="center"/>
          </w:tcPr>
          <w:p w14:paraId="262D166B" w14:textId="77777777" w:rsidR="009F33CD" w:rsidRDefault="00E40740">
            <w:pPr>
              <w:spacing w:before="0" w:beforeAutospacing="0" w:after="0" w:afterAutospacing="0" w:line="240" w:lineRule="auto"/>
              <w:rPr>
                <w:rFonts w:eastAsia="SimSun" w:cs="Times New Roman"/>
                <w:b/>
                <w:bCs/>
              </w:rPr>
            </w:pPr>
            <w:r>
              <w:rPr>
                <w:rFonts w:eastAsia="SimSun" w:cs="Times New Roman"/>
                <w:b/>
                <w:bCs/>
              </w:rPr>
              <w:t>Total</w:t>
            </w:r>
          </w:p>
        </w:tc>
        <w:tc>
          <w:tcPr>
            <w:tcW w:w="757" w:type="pct"/>
            <w:tcBorders>
              <w:top w:val="nil"/>
              <w:bottom w:val="single" w:sz="4" w:space="0" w:color="auto"/>
            </w:tcBorders>
            <w:shd w:val="clear" w:color="auto" w:fill="FFFFFF"/>
            <w:vAlign w:val="center"/>
          </w:tcPr>
          <w:p w14:paraId="2AC1DE8A" w14:textId="77777777" w:rsidR="009F33CD" w:rsidRDefault="00E40740">
            <w:pPr>
              <w:spacing w:before="0" w:beforeAutospacing="0" w:after="0" w:afterAutospacing="0" w:line="240" w:lineRule="auto"/>
              <w:jc w:val="center"/>
              <w:rPr>
                <w:rFonts w:eastAsia="SimSun" w:cs="Times New Roman"/>
                <w:b/>
                <w:bCs/>
              </w:rPr>
            </w:pPr>
            <w:r>
              <w:rPr>
                <w:rFonts w:eastAsia="SimSun" w:cs="Times New Roman"/>
                <w:b/>
                <w:bCs/>
              </w:rPr>
              <w:t>34</w:t>
            </w:r>
          </w:p>
        </w:tc>
        <w:tc>
          <w:tcPr>
            <w:tcW w:w="671" w:type="pct"/>
            <w:tcBorders>
              <w:top w:val="nil"/>
              <w:bottom w:val="single" w:sz="4" w:space="0" w:color="auto"/>
            </w:tcBorders>
            <w:shd w:val="clear" w:color="auto" w:fill="FFFFFF"/>
            <w:vAlign w:val="center"/>
          </w:tcPr>
          <w:p w14:paraId="6A831B8A" w14:textId="77777777" w:rsidR="009F33CD" w:rsidRDefault="00E40740">
            <w:pPr>
              <w:spacing w:before="0" w:beforeAutospacing="0" w:after="0" w:afterAutospacing="0" w:line="240" w:lineRule="auto"/>
              <w:jc w:val="center"/>
              <w:rPr>
                <w:rFonts w:eastAsia="SimSun" w:cs="Times New Roman"/>
                <w:b/>
                <w:bCs/>
              </w:rPr>
            </w:pPr>
            <w:r>
              <w:rPr>
                <w:rFonts w:eastAsia="SimSun" w:cs="Times New Roman"/>
                <w:b/>
                <w:bCs/>
              </w:rPr>
              <w:t>100.0</w:t>
            </w:r>
          </w:p>
        </w:tc>
      </w:tr>
    </w:tbl>
    <w:p w14:paraId="01E1B947" w14:textId="77777777" w:rsidR="009F33CD" w:rsidRDefault="00A63BEB">
      <w:pPr>
        <w:spacing w:after="240"/>
        <w:rPr>
          <w:rFonts w:eastAsia="SimSun" w:cs="Times New Roman"/>
          <w:bCs/>
        </w:rPr>
      </w:pPr>
      <w:r>
        <w:rPr>
          <w:rFonts w:eastAsia="SimSun" w:cs="Times New Roman"/>
          <w:bCs/>
        </w:rPr>
        <w:t>The results in Table 4.44</w:t>
      </w:r>
      <w:r w:rsidR="00E40740">
        <w:rPr>
          <w:rFonts w:eastAsia="SimSun" w:cs="Times New Roman"/>
          <w:bCs/>
        </w:rPr>
        <w:t xml:space="preserve"> show that the majority of respondents, 58.8% proposed the need for employee involvement and participation in decision-making. This outcome reveals that engaging employees in decision-making can enhance organizational performance because employees who are involved in the process are more likely to take ownership of the outcomes and work collaboratively towards achieving common goals. Additionally, employee involvement encourages innovation and creative problem-solving. Diverse perspectives can lead to the development of new ideas and solutions that may not have been considered by management alone. Thirty-two percent of the respondents suggested that the management of Level Five Hospitals should carry </w:t>
      </w:r>
      <w:r w:rsidR="00E40740">
        <w:rPr>
          <w:rFonts w:eastAsia="SimSun" w:cs="Times New Roman"/>
          <w:bCs/>
        </w:rPr>
        <w:lastRenderedPageBreak/>
        <w:t xml:space="preserve">out regular staff satisfaction surveys. This indicates that when employees see that their feedback is valued and acted upon, it can significantly boost morale and job satisfaction. This can lead to higher productivity and better overall performance. Other 8.8% of respondents suggested the need for more supervisory support in terms of an adequate supply of medical and non-medical commodities. </w:t>
      </w:r>
    </w:p>
    <w:p w14:paraId="4B8D9795" w14:textId="77777777" w:rsidR="009F33CD" w:rsidRDefault="00E40740">
      <w:pPr>
        <w:spacing w:after="240"/>
        <w:rPr>
          <w:rFonts w:cs="Times New Roman"/>
          <w:szCs w:val="24"/>
        </w:rPr>
      </w:pPr>
      <w:r>
        <w:rPr>
          <w:rFonts w:eastAsia="SimSun" w:cs="Times New Roman"/>
          <w:bCs/>
        </w:rPr>
        <w:t>Three Key respondents from each of the four hospitals under study were interviewed regarding the effect of management style on the performance of devolved healthcare services and their responses are indicated here below.</w:t>
      </w:r>
      <w:r>
        <w:rPr>
          <w:rFonts w:cs="Times New Roman"/>
          <w:szCs w:val="24"/>
        </w:rPr>
        <w:t xml:space="preserve"> In answering the question regarding h</w:t>
      </w:r>
      <w:r>
        <w:rPr>
          <w:rFonts w:eastAsia="SimSun" w:cs="Times New Roman"/>
          <w:bCs/>
        </w:rPr>
        <w:t>ow management style affects the performance of devolved healthcare services, five respondents said that both the hospital management team and the county Department of Health provide supervisory support with an emphasis on the sustainable use of resources. Other seven respondents argued that Hospital management teams usually hold virtual and sometimes physical meetings once every week to discuss issues affecting the performance of employees and daily operations.</w:t>
      </w:r>
      <w:r>
        <w:rPr>
          <w:rFonts w:cs="Times New Roman"/>
          <w:bCs/>
          <w:szCs w:val="24"/>
        </w:rPr>
        <w:t xml:space="preserve"> These findings are consistent with Momena </w:t>
      </w:r>
      <w:r>
        <w:rPr>
          <w:rFonts w:cs="Times New Roman"/>
          <w:bCs/>
          <w:i/>
          <w:szCs w:val="24"/>
        </w:rPr>
        <w:t>et al</w:t>
      </w:r>
      <w:r>
        <w:rPr>
          <w:rFonts w:cs="Times New Roman"/>
          <w:bCs/>
          <w:szCs w:val="24"/>
        </w:rPr>
        <w:t xml:space="preserve"> (2013) who opine that leadership as an HR practice should be supportive and participative, and should take initiative to motivate the employees.</w:t>
      </w:r>
      <w:r>
        <w:rPr>
          <w:rFonts w:eastAsia="SimSun" w:cs="Times New Roman"/>
          <w:bCs/>
        </w:rPr>
        <w:t xml:space="preserve">  Further, all the 12 respondents said that management conducts management rounds (management by walking around) to ensure compliance with standard operating procedures, including observance of the green values of the hospital.</w:t>
      </w:r>
      <w:r>
        <w:rPr>
          <w:rFonts w:cs="Times New Roman"/>
          <w:bCs/>
          <w:szCs w:val="24"/>
        </w:rPr>
        <w:t xml:space="preserve"> </w:t>
      </w:r>
    </w:p>
    <w:p w14:paraId="11FD1137" w14:textId="77777777" w:rsidR="009F33CD" w:rsidRDefault="00E40740">
      <w:pPr>
        <w:spacing w:after="240"/>
        <w:rPr>
          <w:rFonts w:cs="Times New Roman"/>
          <w:szCs w:val="24"/>
        </w:rPr>
      </w:pPr>
      <w:r>
        <w:rPr>
          <w:rFonts w:cs="Times New Roman"/>
          <w:bCs/>
          <w:szCs w:val="24"/>
        </w:rPr>
        <w:t xml:space="preserve">The respondents were requested to explain </w:t>
      </w:r>
      <w:r>
        <w:rPr>
          <w:rFonts w:eastAsia="SimSun" w:cs="Times New Roman"/>
          <w:bCs/>
        </w:rPr>
        <w:t xml:space="preserve">briefly how the hospital integrates environmental issues with HR practices, and in response all 12 said that this is done through the computerization of hospital services; Provision of eco-friendly personal protective equipment; training of employees on healthcare waste management and disposal; appointment of infection-prevention and control committee; emphasis on a clean and safe environment; and provision of training related to safety and health of employees and other people at the workplace. This finding is supported by </w:t>
      </w:r>
      <w:r>
        <w:rPr>
          <w:rFonts w:eastAsia="TimesNewRoman" w:cs="Times New Roman"/>
          <w:bCs/>
          <w:szCs w:val="24"/>
        </w:rPr>
        <w:t xml:space="preserve">Daily </w:t>
      </w:r>
      <w:r>
        <w:rPr>
          <w:rFonts w:eastAsia="TimesNewRoman" w:cs="Times New Roman"/>
          <w:bCs/>
          <w:i/>
          <w:szCs w:val="24"/>
        </w:rPr>
        <w:t>et al.,</w:t>
      </w:r>
      <w:r>
        <w:rPr>
          <w:rFonts w:eastAsia="TimesNewRoman" w:cs="Times New Roman"/>
          <w:bCs/>
          <w:szCs w:val="24"/>
        </w:rPr>
        <w:t xml:space="preserve"> (2012) who found that organizations achieve their objective of greening when they adopt customized green training program that includes management of waste and recycling and enhancement of environmental knowledge. </w:t>
      </w:r>
      <w:r>
        <w:rPr>
          <w:rFonts w:eastAsia="SimSun" w:cs="Times New Roman"/>
          <w:bCs/>
        </w:rPr>
        <w:t xml:space="preserve">Employee awareness and involvement activities are encouraged, for example, putting off lights when not in use; </w:t>
      </w:r>
      <w:r>
        <w:rPr>
          <w:rFonts w:eastAsia="SimSun" w:cs="Times New Roman"/>
          <w:bCs/>
        </w:rPr>
        <w:lastRenderedPageBreak/>
        <w:t xml:space="preserve">minimizing the use of water; displaying warning signs not to step on grass or cut flowers and trees; and the hospital is no smoking zone message. </w:t>
      </w:r>
      <w:r>
        <w:rPr>
          <w:rFonts w:cs="Times New Roman"/>
          <w:szCs w:val="24"/>
        </w:rPr>
        <w:t xml:space="preserve"> Consistent with this finding, Mehta and Chugan (2015) noted that HR professionals enable companies to make green business and attain effective performance in ways like encouraging employees to switch off lights when not in use, turn off the computer monitors when not being used, and keeping only minimal lights during non-working hours for safety.</w:t>
      </w:r>
    </w:p>
    <w:p w14:paraId="348A2C8B" w14:textId="77777777" w:rsidR="009F33CD" w:rsidRDefault="00E40740">
      <w:pPr>
        <w:spacing w:after="240"/>
        <w:rPr>
          <w:rFonts w:eastAsia="SimSun" w:cs="Times New Roman"/>
          <w:bCs/>
        </w:rPr>
      </w:pPr>
      <w:r>
        <w:rPr>
          <w:rFonts w:cs="Times New Roman"/>
          <w:szCs w:val="24"/>
        </w:rPr>
        <w:t xml:space="preserve"> </w:t>
      </w:r>
      <w:r>
        <w:rPr>
          <w:rFonts w:eastAsia="SimSun" w:cs="Times New Roman"/>
          <w:bCs/>
        </w:rPr>
        <w:t xml:space="preserve">Three respondents from one hospital argued that their hospital managers and employees participated in the annual World Environment Day. During World Environment Day, managers and employees participate in different activities including tree planting, picking litter, and general clean-up activities around the hospital. This practice helps emphasize the need for a cleaner and safer environment free from epidemics that affect employees and clients of the hospital. Outbreak of an Epidemic affects the health of employees and hence failure to deliver essential healthcare services. This finding agrees with </w:t>
      </w:r>
      <w:bookmarkStart w:id="1553" w:name="_Hlk175224218"/>
      <w:r>
        <w:rPr>
          <w:rFonts w:eastAsia="SimSun" w:cs="Times New Roman"/>
          <w:bCs/>
        </w:rPr>
        <w:t xml:space="preserve">the United Nations Environment Program (2022) </w:t>
      </w:r>
      <w:bookmarkEnd w:id="1553"/>
      <w:r>
        <w:rPr>
          <w:rFonts w:eastAsia="SimSun" w:cs="Times New Roman"/>
          <w:bCs/>
        </w:rPr>
        <w:t xml:space="preserve">which was established in 1972 as a platform for raising awareness and action for protection of the environment. </w:t>
      </w:r>
    </w:p>
    <w:p w14:paraId="33DBA7DD" w14:textId="77777777" w:rsidR="009F33CD" w:rsidRDefault="00E40740">
      <w:pPr>
        <w:pStyle w:val="Heading2"/>
      </w:pPr>
      <w:bookmarkStart w:id="1554" w:name="_Toc224237756"/>
      <w:r>
        <w:t>4.12 Multiple Regression Analysis Findings with the Moderating Variable- Management Style</w:t>
      </w:r>
      <w:bookmarkEnd w:id="1554"/>
    </w:p>
    <w:p w14:paraId="0CC39B2F" w14:textId="77777777" w:rsidR="009F33CD" w:rsidRDefault="00E40740">
      <w:pPr>
        <w:spacing w:after="240"/>
        <w:rPr>
          <w:rFonts w:cs="Times New Roman"/>
          <w:lang w:val="af-ZA"/>
        </w:rPr>
      </w:pPr>
      <w:r>
        <w:rPr>
          <w:rFonts w:cs="Times New Roman"/>
        </w:rPr>
        <w:t>Multiple regression analysis was carried out to investigate the overall effect of GHRM practices on the performance of devolved healthcare services when the moderating variable (management style) is introduced into the model. According to Field (201</w:t>
      </w:r>
      <w:r w:rsidR="00437E7A">
        <w:rPr>
          <w:rFonts w:cs="Times New Roman"/>
        </w:rPr>
        <w:t>8</w:t>
      </w:r>
      <w:r>
        <w:rPr>
          <w:rFonts w:cs="Times New Roman"/>
        </w:rPr>
        <w:t xml:space="preserve">), moderating effect is </w:t>
      </w:r>
      <w:r>
        <w:rPr>
          <w:rFonts w:cs="Times New Roman"/>
          <w:lang w:val="en-US"/>
        </w:rPr>
        <w:t>modeled</w:t>
      </w:r>
      <w:r>
        <w:rPr>
          <w:rFonts w:cs="Times New Roman"/>
        </w:rPr>
        <w:t xml:space="preserve"> by creating interaction term (X*Z) by multiplying each independent variable (X) with the moderating variable (Z). A</w:t>
      </w:r>
      <w:r>
        <w:rPr>
          <w:rFonts w:cs="Times New Roman"/>
          <w:lang w:val="af-ZA"/>
        </w:rPr>
        <w:t xml:space="preserve"> hierarchical regression analysis was conducted in three steps; firstly, by regressing the performance of devolved healthcare services (Yi) on GHRM practices (X) and the results were presented early as multiple regression models; step two including the moderating variable- management style (Z) in the model as another predictor variable, and thirdly by adding the </w:t>
      </w:r>
      <w:r>
        <w:rPr>
          <w:rFonts w:cs="Times New Roman"/>
          <w:lang w:val="en-US"/>
        </w:rPr>
        <w:t>interaction</w:t>
      </w:r>
      <w:r>
        <w:rPr>
          <w:rFonts w:cs="Times New Roman"/>
          <w:lang w:val="af-ZA"/>
        </w:rPr>
        <w:t xml:space="preserve"> term to the regression model.</w:t>
      </w:r>
      <w:r>
        <w:t xml:space="preserve"> The study t</w:t>
      </w:r>
      <w:r>
        <w:rPr>
          <w:rFonts w:cs="Times New Roman"/>
        </w:rPr>
        <w:t>ested the model with and without the interaction term to check the change in R and R</w:t>
      </w:r>
      <w:r>
        <w:rPr>
          <w:rFonts w:cs="Times New Roman"/>
          <w:vertAlign w:val="superscript"/>
        </w:rPr>
        <w:t>2</w:t>
      </w:r>
      <w:r>
        <w:rPr>
          <w:rFonts w:cs="Times New Roman"/>
        </w:rPr>
        <w:t xml:space="preserve">. The interaction term is significant, when it indicates that management style moderates or affects the </w:t>
      </w:r>
      <w:r>
        <w:rPr>
          <w:rFonts w:cs="Times New Roman"/>
        </w:rPr>
        <w:lastRenderedPageBreak/>
        <w:t>strength or direction of the relationship between GHRM and performance of devolved healthcare services.</w:t>
      </w:r>
      <w:r>
        <w:rPr>
          <w:rFonts w:cs="Times New Roman"/>
          <w:lang w:val="af-ZA"/>
        </w:rPr>
        <w:t xml:space="preserve"> </w:t>
      </w:r>
      <w:r w:rsidRPr="00032D3E">
        <w:rPr>
          <w:rFonts w:cs="Times New Roman"/>
          <w:lang w:val="af-ZA"/>
        </w:rPr>
        <w:t>The model thus;</w:t>
      </w:r>
    </w:p>
    <w:p w14:paraId="47252201" w14:textId="77777777" w:rsidR="009F33CD" w:rsidRDefault="00E40740">
      <w:pPr>
        <w:jc w:val="right"/>
        <w:rPr>
          <w:rFonts w:cs="Times New Roman"/>
          <w:bCs/>
          <w:szCs w:val="24"/>
        </w:rPr>
      </w:pPr>
      <w:r w:rsidRPr="00032D3E">
        <w:rPr>
          <w:rFonts w:cs="Times New Roman"/>
          <w:bCs/>
          <w:szCs w:val="24"/>
          <w:lang w:val="af-ZA"/>
        </w:rPr>
        <w:t xml:space="preserve">Yi = </w:t>
      </w:r>
      <w:r>
        <w:rPr>
          <w:rFonts w:cs="Times New Roman"/>
          <w:bCs/>
          <w:szCs w:val="24"/>
        </w:rPr>
        <w:t>β</w:t>
      </w:r>
      <w:r w:rsidRPr="00032D3E">
        <w:rPr>
          <w:rFonts w:cs="Times New Roman"/>
          <w:bCs/>
          <w:szCs w:val="24"/>
          <w:vertAlign w:val="subscript"/>
          <w:lang w:val="af-ZA"/>
        </w:rPr>
        <w:t>0</w:t>
      </w:r>
      <w:r w:rsidRPr="00032D3E">
        <w:rPr>
          <w:rFonts w:cs="Times New Roman"/>
          <w:bCs/>
          <w:szCs w:val="24"/>
          <w:lang w:val="af-ZA"/>
        </w:rPr>
        <w:t>+</w:t>
      </w:r>
      <w:r>
        <w:rPr>
          <w:rFonts w:cs="Times New Roman"/>
          <w:bCs/>
          <w:szCs w:val="24"/>
        </w:rPr>
        <w:t>β</w:t>
      </w:r>
      <w:r w:rsidRPr="00032D3E">
        <w:rPr>
          <w:rFonts w:cs="Times New Roman"/>
          <w:bCs/>
          <w:szCs w:val="24"/>
          <w:vertAlign w:val="subscript"/>
          <w:lang w:val="af-ZA"/>
        </w:rPr>
        <w:t>1</w:t>
      </w:r>
      <w:r w:rsidRPr="00032D3E">
        <w:rPr>
          <w:rFonts w:cs="Times New Roman"/>
          <w:bCs/>
          <w:szCs w:val="24"/>
          <w:lang w:val="af-ZA"/>
        </w:rPr>
        <w:t>X</w:t>
      </w:r>
      <w:r w:rsidRPr="00032D3E">
        <w:rPr>
          <w:rFonts w:cs="Times New Roman"/>
          <w:bCs/>
          <w:szCs w:val="24"/>
          <w:vertAlign w:val="subscript"/>
          <w:lang w:val="af-ZA"/>
        </w:rPr>
        <w:t>1</w:t>
      </w:r>
      <w:r w:rsidRPr="00032D3E">
        <w:rPr>
          <w:rFonts w:cs="Times New Roman"/>
          <w:bCs/>
          <w:szCs w:val="24"/>
          <w:lang w:val="af-ZA"/>
        </w:rPr>
        <w:t>+</w:t>
      </w:r>
      <w:r>
        <w:rPr>
          <w:rFonts w:cs="Times New Roman"/>
          <w:bCs/>
          <w:szCs w:val="24"/>
        </w:rPr>
        <w:t>β</w:t>
      </w:r>
      <w:r w:rsidRPr="00032D3E">
        <w:rPr>
          <w:rFonts w:cs="Times New Roman"/>
          <w:bCs/>
          <w:szCs w:val="24"/>
          <w:vertAlign w:val="subscript"/>
          <w:lang w:val="af-ZA"/>
        </w:rPr>
        <w:t>2</w:t>
      </w:r>
      <w:r w:rsidRPr="00032D3E">
        <w:rPr>
          <w:rFonts w:cs="Times New Roman"/>
          <w:bCs/>
          <w:szCs w:val="24"/>
          <w:lang w:val="af-ZA"/>
        </w:rPr>
        <w:t>X</w:t>
      </w:r>
      <w:r w:rsidRPr="00032D3E">
        <w:rPr>
          <w:rFonts w:cs="Times New Roman"/>
          <w:bCs/>
          <w:szCs w:val="24"/>
          <w:vertAlign w:val="subscript"/>
          <w:lang w:val="af-ZA"/>
        </w:rPr>
        <w:t>2</w:t>
      </w:r>
      <w:r w:rsidRPr="00032D3E">
        <w:rPr>
          <w:rFonts w:cs="Times New Roman"/>
          <w:bCs/>
          <w:szCs w:val="24"/>
          <w:lang w:val="af-ZA"/>
        </w:rPr>
        <w:t>+</w:t>
      </w:r>
      <w:r>
        <w:rPr>
          <w:rFonts w:cs="Times New Roman"/>
          <w:bCs/>
          <w:szCs w:val="24"/>
        </w:rPr>
        <w:t>β</w:t>
      </w:r>
      <w:r w:rsidRPr="00032D3E">
        <w:rPr>
          <w:rFonts w:cs="Times New Roman"/>
          <w:bCs/>
          <w:szCs w:val="24"/>
          <w:vertAlign w:val="subscript"/>
          <w:lang w:val="af-ZA"/>
        </w:rPr>
        <w:t>3</w:t>
      </w:r>
      <w:r w:rsidRPr="00032D3E">
        <w:rPr>
          <w:rFonts w:cs="Times New Roman"/>
          <w:bCs/>
          <w:szCs w:val="24"/>
          <w:lang w:val="af-ZA"/>
        </w:rPr>
        <w:t>X</w:t>
      </w:r>
      <w:r w:rsidRPr="00032D3E">
        <w:rPr>
          <w:rFonts w:cs="Times New Roman"/>
          <w:bCs/>
          <w:szCs w:val="24"/>
          <w:vertAlign w:val="subscript"/>
          <w:lang w:val="af-ZA"/>
        </w:rPr>
        <w:t>3</w:t>
      </w:r>
      <w:r w:rsidRPr="00032D3E">
        <w:rPr>
          <w:rFonts w:cs="Times New Roman"/>
          <w:bCs/>
          <w:szCs w:val="24"/>
          <w:lang w:val="af-ZA"/>
        </w:rPr>
        <w:t>+</w:t>
      </w:r>
      <w:r>
        <w:rPr>
          <w:rFonts w:cs="Times New Roman"/>
          <w:bCs/>
          <w:szCs w:val="24"/>
        </w:rPr>
        <w:t>β</w:t>
      </w:r>
      <w:r w:rsidRPr="00032D3E">
        <w:rPr>
          <w:rFonts w:cs="Times New Roman"/>
          <w:bCs/>
          <w:szCs w:val="24"/>
          <w:vertAlign w:val="subscript"/>
          <w:lang w:val="af-ZA"/>
        </w:rPr>
        <w:t>4</w:t>
      </w:r>
      <w:r w:rsidRPr="00032D3E">
        <w:rPr>
          <w:rFonts w:cs="Times New Roman"/>
          <w:bCs/>
          <w:szCs w:val="24"/>
          <w:lang w:val="af-ZA"/>
        </w:rPr>
        <w:t>X</w:t>
      </w:r>
      <w:r w:rsidRPr="00032D3E">
        <w:rPr>
          <w:rFonts w:cs="Times New Roman"/>
          <w:bCs/>
          <w:szCs w:val="24"/>
          <w:vertAlign w:val="subscript"/>
          <w:lang w:val="af-ZA"/>
        </w:rPr>
        <w:t>4</w:t>
      </w:r>
      <w:r w:rsidRPr="00032D3E">
        <w:rPr>
          <w:rFonts w:cs="Times New Roman"/>
          <w:bCs/>
          <w:szCs w:val="24"/>
          <w:lang w:val="af-ZA"/>
        </w:rPr>
        <w:t>+</w:t>
      </w:r>
      <w:r>
        <w:rPr>
          <w:rFonts w:cs="Times New Roman"/>
          <w:bCs/>
          <w:szCs w:val="24"/>
        </w:rPr>
        <w:t>β</w:t>
      </w:r>
      <w:r w:rsidRPr="00032D3E">
        <w:rPr>
          <w:rFonts w:cs="Times New Roman"/>
          <w:bCs/>
          <w:szCs w:val="24"/>
          <w:vertAlign w:val="subscript"/>
          <w:lang w:val="af-ZA"/>
        </w:rPr>
        <w:t>5</w:t>
      </w:r>
      <w:r w:rsidRPr="00032D3E">
        <w:rPr>
          <w:rFonts w:cs="Times New Roman"/>
          <w:bCs/>
          <w:szCs w:val="24"/>
          <w:lang w:val="af-ZA"/>
        </w:rPr>
        <w:t xml:space="preserve">Z+ </w:t>
      </w:r>
      <w:r>
        <w:rPr>
          <w:rFonts w:cs="Times New Roman"/>
          <w:bCs/>
          <w:szCs w:val="24"/>
        </w:rPr>
        <w:t>β</w:t>
      </w:r>
      <w:r w:rsidRPr="00032D3E">
        <w:rPr>
          <w:rFonts w:cs="Times New Roman"/>
          <w:bCs/>
          <w:szCs w:val="24"/>
          <w:vertAlign w:val="subscript"/>
          <w:lang w:val="af-ZA"/>
        </w:rPr>
        <w:t>6</w:t>
      </w:r>
      <w:r w:rsidRPr="00032D3E">
        <w:rPr>
          <w:rFonts w:cs="Times New Roman"/>
          <w:bCs/>
          <w:szCs w:val="24"/>
          <w:lang w:val="af-ZA"/>
        </w:rPr>
        <w:t>X</w:t>
      </w:r>
      <w:r w:rsidRPr="00032D3E">
        <w:rPr>
          <w:rFonts w:cs="Times New Roman"/>
          <w:bCs/>
          <w:szCs w:val="24"/>
          <w:vertAlign w:val="subscript"/>
          <w:lang w:val="af-ZA"/>
        </w:rPr>
        <w:t xml:space="preserve">1 </w:t>
      </w:r>
      <w:r w:rsidRPr="00032D3E">
        <w:rPr>
          <w:rFonts w:cs="Times New Roman"/>
          <w:bCs/>
          <w:szCs w:val="24"/>
          <w:lang w:val="af-ZA"/>
        </w:rPr>
        <w:t>Z+</w:t>
      </w:r>
      <w:r>
        <w:rPr>
          <w:rFonts w:cs="Times New Roman"/>
          <w:bCs/>
          <w:szCs w:val="24"/>
        </w:rPr>
        <w:t>β</w:t>
      </w:r>
      <w:r w:rsidRPr="00032D3E">
        <w:rPr>
          <w:rFonts w:cs="Times New Roman"/>
          <w:bCs/>
          <w:szCs w:val="24"/>
          <w:vertAlign w:val="subscript"/>
          <w:lang w:val="af-ZA"/>
        </w:rPr>
        <w:t>7</w:t>
      </w:r>
      <w:r w:rsidRPr="00032D3E">
        <w:rPr>
          <w:rFonts w:cs="Times New Roman"/>
          <w:bCs/>
          <w:szCs w:val="24"/>
          <w:lang w:val="af-ZA"/>
        </w:rPr>
        <w:t>X</w:t>
      </w:r>
      <w:r w:rsidRPr="00032D3E">
        <w:rPr>
          <w:rFonts w:cs="Times New Roman"/>
          <w:bCs/>
          <w:szCs w:val="24"/>
          <w:vertAlign w:val="subscript"/>
          <w:lang w:val="af-ZA"/>
        </w:rPr>
        <w:t>2</w:t>
      </w:r>
      <w:r w:rsidRPr="00032D3E">
        <w:rPr>
          <w:rFonts w:cs="Times New Roman"/>
          <w:bCs/>
          <w:szCs w:val="24"/>
          <w:lang w:val="af-ZA"/>
        </w:rPr>
        <w:t>Z+</w:t>
      </w:r>
      <w:r>
        <w:rPr>
          <w:rFonts w:cs="Times New Roman"/>
          <w:bCs/>
          <w:szCs w:val="24"/>
        </w:rPr>
        <w:t>β</w:t>
      </w:r>
      <w:r w:rsidRPr="00032D3E">
        <w:rPr>
          <w:rFonts w:cs="Times New Roman"/>
          <w:bCs/>
          <w:szCs w:val="24"/>
          <w:vertAlign w:val="subscript"/>
          <w:lang w:val="af-ZA"/>
        </w:rPr>
        <w:t>8</w:t>
      </w:r>
      <w:r w:rsidRPr="00032D3E">
        <w:rPr>
          <w:rFonts w:cs="Times New Roman"/>
          <w:bCs/>
          <w:szCs w:val="24"/>
          <w:lang w:val="af-ZA"/>
        </w:rPr>
        <w:t>X</w:t>
      </w:r>
      <w:r w:rsidRPr="00032D3E">
        <w:rPr>
          <w:rFonts w:cs="Times New Roman"/>
          <w:bCs/>
          <w:szCs w:val="24"/>
          <w:vertAlign w:val="subscript"/>
          <w:lang w:val="af-ZA"/>
        </w:rPr>
        <w:t>3</w:t>
      </w:r>
      <w:r w:rsidRPr="00032D3E">
        <w:rPr>
          <w:rFonts w:cs="Times New Roman"/>
          <w:bCs/>
          <w:szCs w:val="24"/>
          <w:lang w:val="af-ZA"/>
        </w:rPr>
        <w:t>Z+</w:t>
      </w:r>
      <w:r>
        <w:rPr>
          <w:rFonts w:cs="Times New Roman"/>
          <w:bCs/>
          <w:szCs w:val="24"/>
        </w:rPr>
        <w:t>β</w:t>
      </w:r>
      <w:r w:rsidRPr="00032D3E">
        <w:rPr>
          <w:rFonts w:cs="Times New Roman"/>
          <w:bCs/>
          <w:szCs w:val="24"/>
          <w:vertAlign w:val="subscript"/>
          <w:lang w:val="af-ZA"/>
        </w:rPr>
        <w:t>9</w:t>
      </w:r>
      <w:r w:rsidRPr="00032D3E">
        <w:rPr>
          <w:rFonts w:cs="Times New Roman"/>
          <w:bCs/>
          <w:szCs w:val="24"/>
          <w:lang w:val="af-ZA"/>
        </w:rPr>
        <w:t>X</w:t>
      </w:r>
      <w:r w:rsidRPr="00032D3E">
        <w:rPr>
          <w:rFonts w:cs="Times New Roman"/>
          <w:bCs/>
          <w:szCs w:val="24"/>
          <w:vertAlign w:val="subscript"/>
          <w:lang w:val="af-ZA"/>
        </w:rPr>
        <w:t>4</w:t>
      </w:r>
      <w:r w:rsidRPr="00032D3E">
        <w:rPr>
          <w:rFonts w:cs="Times New Roman"/>
          <w:bCs/>
          <w:szCs w:val="24"/>
          <w:lang w:val="af-ZA"/>
        </w:rPr>
        <w:t>Z+e</w:t>
      </w:r>
      <w:r w:rsidRPr="00032D3E">
        <w:rPr>
          <w:rFonts w:cs="Times New Roman"/>
          <w:bCs/>
          <w:sz w:val="40"/>
          <w:szCs w:val="40"/>
          <w:vertAlign w:val="subscript"/>
          <w:lang w:val="af-ZA"/>
        </w:rPr>
        <w:t xml:space="preserve">…… </w:t>
      </w:r>
      <w:r>
        <w:rPr>
          <w:rFonts w:cs="Times New Roman"/>
          <w:bCs/>
          <w:sz w:val="40"/>
          <w:szCs w:val="40"/>
          <w:vertAlign w:val="subscript"/>
        </w:rPr>
        <w:t>(eq.7)</w:t>
      </w:r>
    </w:p>
    <w:p w14:paraId="76966896" w14:textId="77777777" w:rsidR="009F33CD" w:rsidRDefault="00E40740">
      <w:pPr>
        <w:spacing w:before="0" w:beforeAutospacing="0" w:after="0" w:afterAutospacing="0"/>
        <w:rPr>
          <w:rFonts w:cs="Times New Roman"/>
          <w:bCs/>
        </w:rPr>
      </w:pPr>
      <w:r>
        <w:rPr>
          <w:rFonts w:cs="Times New Roman"/>
          <w:bCs/>
        </w:rPr>
        <w:t>Where: Yi is the dependent variable;</w:t>
      </w:r>
      <w:r>
        <w:rPr>
          <w:rFonts w:cs="Times New Roman"/>
          <w:bCs/>
          <w:szCs w:val="24"/>
        </w:rPr>
        <w:t xml:space="preserve"> </w:t>
      </w:r>
      <w:r>
        <w:rPr>
          <w:rFonts w:cs="Times New Roman"/>
          <w:bCs/>
        </w:rPr>
        <w:t>X</w:t>
      </w:r>
      <w:r>
        <w:rPr>
          <w:rFonts w:cs="Times New Roman"/>
          <w:bCs/>
          <w:vertAlign w:val="subscript"/>
        </w:rPr>
        <w:t>1</w:t>
      </w:r>
      <w:r>
        <w:rPr>
          <w:rFonts w:cs="Times New Roman"/>
          <w:bCs/>
        </w:rPr>
        <w:t>, X</w:t>
      </w:r>
      <w:r>
        <w:rPr>
          <w:rFonts w:cs="Times New Roman"/>
          <w:bCs/>
          <w:vertAlign w:val="subscript"/>
        </w:rPr>
        <w:t>2</w:t>
      </w:r>
      <w:r>
        <w:rPr>
          <w:rFonts w:cs="Times New Roman"/>
          <w:bCs/>
        </w:rPr>
        <w:t>, X</w:t>
      </w:r>
      <w:r>
        <w:rPr>
          <w:rFonts w:cs="Times New Roman"/>
          <w:bCs/>
          <w:vertAlign w:val="subscript"/>
        </w:rPr>
        <w:t>3</w:t>
      </w:r>
      <w:r>
        <w:rPr>
          <w:rFonts w:cs="Times New Roman"/>
          <w:bCs/>
        </w:rPr>
        <w:t>, and X</w:t>
      </w:r>
      <w:r>
        <w:rPr>
          <w:rFonts w:cs="Times New Roman"/>
          <w:bCs/>
          <w:vertAlign w:val="subscript"/>
        </w:rPr>
        <w:t>4</w:t>
      </w:r>
      <w:r>
        <w:rPr>
          <w:rFonts w:cs="Times New Roman"/>
          <w:bCs/>
        </w:rPr>
        <w:t xml:space="preserve"> are the independent variables; Z is the moderating variable; β0 is the intercept; β1, β2, β3, β4, β5, β6, β7, β8, β9 are the coefficients; e is the error term.</w:t>
      </w:r>
    </w:p>
    <w:p w14:paraId="033735BC" w14:textId="77777777" w:rsidR="00F75083" w:rsidRDefault="00E40740" w:rsidP="00F75083">
      <w:pPr>
        <w:rPr>
          <w:bCs/>
        </w:rPr>
      </w:pPr>
      <w:r>
        <w:rPr>
          <w:bCs/>
        </w:rPr>
        <w:t xml:space="preserve">The statistical significance of management style (moderating variable) on the relationship </w:t>
      </w:r>
      <w:r>
        <w:t xml:space="preserve">between GHRM practices (independent variables) and the performance of devolved healthcare services in Kenya (dependent variable) </w:t>
      </w:r>
      <w:r>
        <w:rPr>
          <w:bCs/>
        </w:rPr>
        <w:t>was analyzed and presented in Table 4.</w:t>
      </w:r>
      <w:bookmarkEnd w:id="1513"/>
      <w:r w:rsidR="00A63BEB">
        <w:rPr>
          <w:bCs/>
        </w:rPr>
        <w:t>45</w:t>
      </w:r>
      <w:r>
        <w:rPr>
          <w:bCs/>
        </w:rPr>
        <w:t xml:space="preserve">. </w:t>
      </w:r>
    </w:p>
    <w:p w14:paraId="78152EDB" w14:textId="77777777" w:rsidR="009F33CD" w:rsidRDefault="00A63BEB">
      <w:pPr>
        <w:pStyle w:val="Heading6"/>
      </w:pPr>
      <w:bookmarkStart w:id="1555" w:name="_Toc165626440"/>
      <w:bookmarkStart w:id="1556" w:name="_Toc178942692"/>
      <w:bookmarkStart w:id="1557" w:name="_Toc187080917"/>
      <w:bookmarkStart w:id="1558" w:name="_Toc178945102"/>
      <w:bookmarkStart w:id="1559" w:name="_Toc185614145"/>
      <w:bookmarkStart w:id="1560" w:name="_Toc224237474"/>
      <w:r>
        <w:t>Table 4.45</w:t>
      </w:r>
      <w:r w:rsidR="00E40740">
        <w:t>: Model Summary with Moderating Variable</w:t>
      </w:r>
      <w:bookmarkEnd w:id="1555"/>
      <w:bookmarkEnd w:id="1556"/>
      <w:bookmarkEnd w:id="1557"/>
      <w:bookmarkEnd w:id="1558"/>
      <w:bookmarkEnd w:id="1559"/>
      <w:r w:rsidR="00E40740">
        <w:t>- Management Style</w:t>
      </w:r>
      <w:bookmarkEnd w:id="1560"/>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686"/>
        <w:gridCol w:w="673"/>
        <w:gridCol w:w="880"/>
        <w:gridCol w:w="934"/>
        <w:gridCol w:w="1105"/>
        <w:gridCol w:w="1010"/>
        <w:gridCol w:w="1029"/>
        <w:gridCol w:w="508"/>
        <w:gridCol w:w="594"/>
        <w:gridCol w:w="801"/>
      </w:tblGrid>
      <w:tr w:rsidR="009F33CD" w14:paraId="7A9ADE43" w14:textId="77777777" w:rsidTr="00A63BEB">
        <w:trPr>
          <w:cantSplit/>
          <w:trHeight w:val="275"/>
        </w:trPr>
        <w:tc>
          <w:tcPr>
            <w:tcW w:w="420" w:type="pct"/>
            <w:vMerge w:val="restart"/>
            <w:tcBorders>
              <w:top w:val="single" w:sz="4" w:space="0" w:color="auto"/>
              <w:bottom w:val="single" w:sz="4" w:space="0" w:color="auto"/>
            </w:tcBorders>
          </w:tcPr>
          <w:p w14:paraId="5FB3854A" w14:textId="77777777" w:rsidR="009F33CD" w:rsidRDefault="00E40740" w:rsidP="00A63BEB">
            <w:pPr>
              <w:spacing w:after="240" w:line="240" w:lineRule="auto"/>
              <w:jc w:val="center"/>
              <w:rPr>
                <w:rFonts w:cs="Times New Roman"/>
                <w:b/>
                <w:bCs/>
              </w:rPr>
            </w:pPr>
            <w:r>
              <w:rPr>
                <w:rFonts w:cs="Times New Roman"/>
                <w:b/>
                <w:bCs/>
              </w:rPr>
              <w:t>Model</w:t>
            </w:r>
          </w:p>
        </w:tc>
        <w:tc>
          <w:tcPr>
            <w:tcW w:w="411" w:type="pct"/>
            <w:vMerge w:val="restart"/>
            <w:tcBorders>
              <w:top w:val="single" w:sz="4" w:space="0" w:color="auto"/>
              <w:bottom w:val="single" w:sz="4" w:space="0" w:color="auto"/>
            </w:tcBorders>
          </w:tcPr>
          <w:p w14:paraId="050D50DC" w14:textId="77777777" w:rsidR="009F33CD" w:rsidRDefault="00E40740" w:rsidP="00A63BEB">
            <w:pPr>
              <w:spacing w:after="240" w:line="240" w:lineRule="auto"/>
              <w:jc w:val="center"/>
              <w:rPr>
                <w:rFonts w:cs="Times New Roman"/>
                <w:b/>
                <w:bCs/>
              </w:rPr>
            </w:pPr>
            <w:r>
              <w:rPr>
                <w:rFonts w:cs="Times New Roman"/>
                <w:b/>
                <w:bCs/>
              </w:rPr>
              <w:t>R</w:t>
            </w:r>
          </w:p>
        </w:tc>
        <w:tc>
          <w:tcPr>
            <w:tcW w:w="537" w:type="pct"/>
            <w:vMerge w:val="restart"/>
            <w:tcBorders>
              <w:top w:val="single" w:sz="4" w:space="0" w:color="auto"/>
              <w:bottom w:val="single" w:sz="4" w:space="0" w:color="auto"/>
            </w:tcBorders>
          </w:tcPr>
          <w:p w14:paraId="6AE3CDC1" w14:textId="77777777" w:rsidR="009F33CD" w:rsidRDefault="00E40740" w:rsidP="00A63BEB">
            <w:pPr>
              <w:spacing w:after="240" w:line="240" w:lineRule="auto"/>
              <w:jc w:val="center"/>
              <w:rPr>
                <w:rFonts w:cs="Times New Roman"/>
                <w:b/>
                <w:bCs/>
              </w:rPr>
            </w:pPr>
            <w:r>
              <w:rPr>
                <w:rFonts w:cs="Times New Roman"/>
                <w:b/>
                <w:bCs/>
              </w:rPr>
              <w:t>R Square</w:t>
            </w:r>
          </w:p>
        </w:tc>
        <w:tc>
          <w:tcPr>
            <w:tcW w:w="551" w:type="pct"/>
            <w:vMerge w:val="restart"/>
            <w:tcBorders>
              <w:top w:val="single" w:sz="4" w:space="0" w:color="auto"/>
              <w:bottom w:val="single" w:sz="4" w:space="0" w:color="auto"/>
            </w:tcBorders>
          </w:tcPr>
          <w:p w14:paraId="40594A0B" w14:textId="77777777" w:rsidR="009F33CD" w:rsidRDefault="00E40740" w:rsidP="00A63BEB">
            <w:pPr>
              <w:spacing w:after="240" w:line="240" w:lineRule="auto"/>
              <w:jc w:val="center"/>
              <w:rPr>
                <w:rFonts w:cs="Times New Roman"/>
                <w:b/>
                <w:bCs/>
              </w:rPr>
            </w:pPr>
            <w:r>
              <w:rPr>
                <w:rFonts w:cs="Times New Roman"/>
                <w:b/>
                <w:bCs/>
              </w:rPr>
              <w:t>Adjusted R Square</w:t>
            </w:r>
          </w:p>
        </w:tc>
        <w:tc>
          <w:tcPr>
            <w:tcW w:w="674" w:type="pct"/>
            <w:vMerge w:val="restart"/>
            <w:tcBorders>
              <w:top w:val="single" w:sz="4" w:space="0" w:color="auto"/>
              <w:bottom w:val="single" w:sz="4" w:space="0" w:color="auto"/>
            </w:tcBorders>
            <w:vAlign w:val="bottom"/>
          </w:tcPr>
          <w:p w14:paraId="3C7A553F" w14:textId="77777777" w:rsidR="009F33CD" w:rsidRDefault="00E40740">
            <w:pPr>
              <w:spacing w:after="240" w:line="240" w:lineRule="auto"/>
              <w:jc w:val="center"/>
              <w:rPr>
                <w:rFonts w:cs="Times New Roman"/>
                <w:b/>
                <w:bCs/>
              </w:rPr>
            </w:pPr>
            <w:r>
              <w:rPr>
                <w:rFonts w:cs="Times New Roman"/>
                <w:b/>
                <w:bCs/>
              </w:rPr>
              <w:t>Std. Error of the Estimate</w:t>
            </w:r>
          </w:p>
        </w:tc>
        <w:tc>
          <w:tcPr>
            <w:tcW w:w="2407" w:type="pct"/>
            <w:gridSpan w:val="5"/>
            <w:tcBorders>
              <w:top w:val="single" w:sz="4" w:space="0" w:color="auto"/>
              <w:bottom w:val="single" w:sz="4" w:space="0" w:color="auto"/>
            </w:tcBorders>
            <w:vAlign w:val="bottom"/>
          </w:tcPr>
          <w:p w14:paraId="3C253624" w14:textId="77777777" w:rsidR="009F33CD" w:rsidRDefault="00E40740">
            <w:pPr>
              <w:spacing w:after="240" w:line="240" w:lineRule="auto"/>
              <w:jc w:val="center"/>
              <w:rPr>
                <w:rFonts w:cs="Times New Roman"/>
                <w:b/>
                <w:bCs/>
              </w:rPr>
            </w:pPr>
            <w:r>
              <w:rPr>
                <w:rFonts w:cs="Times New Roman"/>
                <w:b/>
                <w:bCs/>
              </w:rPr>
              <w:t>Change Statistics</w:t>
            </w:r>
          </w:p>
        </w:tc>
      </w:tr>
      <w:tr w:rsidR="009F33CD" w14:paraId="41F1E847" w14:textId="77777777" w:rsidTr="00F75083">
        <w:trPr>
          <w:cantSplit/>
          <w:trHeight w:val="369"/>
        </w:trPr>
        <w:tc>
          <w:tcPr>
            <w:tcW w:w="420" w:type="pct"/>
            <w:vMerge/>
            <w:tcBorders>
              <w:top w:val="single" w:sz="4" w:space="0" w:color="auto"/>
              <w:bottom w:val="single" w:sz="4" w:space="0" w:color="auto"/>
            </w:tcBorders>
            <w:vAlign w:val="bottom"/>
          </w:tcPr>
          <w:p w14:paraId="224DB2B8" w14:textId="77777777" w:rsidR="009F33CD" w:rsidRDefault="009F33CD">
            <w:pPr>
              <w:spacing w:after="240" w:line="240" w:lineRule="auto"/>
              <w:rPr>
                <w:rFonts w:cs="Times New Roman"/>
                <w:b/>
                <w:bCs/>
              </w:rPr>
            </w:pPr>
          </w:p>
        </w:tc>
        <w:tc>
          <w:tcPr>
            <w:tcW w:w="411" w:type="pct"/>
            <w:vMerge/>
            <w:tcBorders>
              <w:top w:val="single" w:sz="4" w:space="0" w:color="auto"/>
              <w:bottom w:val="single" w:sz="4" w:space="0" w:color="auto"/>
            </w:tcBorders>
            <w:vAlign w:val="bottom"/>
          </w:tcPr>
          <w:p w14:paraId="19CDF26C" w14:textId="77777777" w:rsidR="009F33CD" w:rsidRDefault="009F33CD">
            <w:pPr>
              <w:spacing w:after="240" w:line="240" w:lineRule="auto"/>
              <w:jc w:val="center"/>
              <w:rPr>
                <w:rFonts w:cs="Times New Roman"/>
                <w:b/>
                <w:bCs/>
              </w:rPr>
            </w:pPr>
          </w:p>
        </w:tc>
        <w:tc>
          <w:tcPr>
            <w:tcW w:w="537" w:type="pct"/>
            <w:vMerge/>
            <w:tcBorders>
              <w:top w:val="single" w:sz="4" w:space="0" w:color="auto"/>
              <w:bottom w:val="single" w:sz="4" w:space="0" w:color="auto"/>
            </w:tcBorders>
            <w:vAlign w:val="bottom"/>
          </w:tcPr>
          <w:p w14:paraId="0CD9C7D8" w14:textId="77777777" w:rsidR="009F33CD" w:rsidRDefault="009F33CD">
            <w:pPr>
              <w:spacing w:after="240" w:line="240" w:lineRule="auto"/>
              <w:jc w:val="center"/>
              <w:rPr>
                <w:rFonts w:cs="Times New Roman"/>
                <w:b/>
                <w:bCs/>
              </w:rPr>
            </w:pPr>
          </w:p>
        </w:tc>
        <w:tc>
          <w:tcPr>
            <w:tcW w:w="551" w:type="pct"/>
            <w:vMerge/>
            <w:tcBorders>
              <w:top w:val="single" w:sz="4" w:space="0" w:color="auto"/>
              <w:bottom w:val="single" w:sz="4" w:space="0" w:color="auto"/>
            </w:tcBorders>
            <w:vAlign w:val="bottom"/>
          </w:tcPr>
          <w:p w14:paraId="19D45C33" w14:textId="77777777" w:rsidR="009F33CD" w:rsidRDefault="009F33CD">
            <w:pPr>
              <w:spacing w:after="240" w:line="240" w:lineRule="auto"/>
              <w:jc w:val="center"/>
              <w:rPr>
                <w:rFonts w:cs="Times New Roman"/>
                <w:b/>
                <w:bCs/>
              </w:rPr>
            </w:pPr>
          </w:p>
        </w:tc>
        <w:tc>
          <w:tcPr>
            <w:tcW w:w="674" w:type="pct"/>
            <w:vMerge/>
            <w:tcBorders>
              <w:top w:val="single" w:sz="4" w:space="0" w:color="auto"/>
              <w:bottom w:val="single" w:sz="4" w:space="0" w:color="auto"/>
            </w:tcBorders>
            <w:vAlign w:val="bottom"/>
          </w:tcPr>
          <w:p w14:paraId="02E1C2E2" w14:textId="77777777" w:rsidR="009F33CD" w:rsidRDefault="009F33CD">
            <w:pPr>
              <w:spacing w:after="240" w:line="240" w:lineRule="auto"/>
              <w:jc w:val="center"/>
              <w:rPr>
                <w:rFonts w:cs="Times New Roman"/>
                <w:b/>
                <w:bCs/>
              </w:rPr>
            </w:pPr>
          </w:p>
        </w:tc>
        <w:tc>
          <w:tcPr>
            <w:tcW w:w="616" w:type="pct"/>
            <w:tcBorders>
              <w:top w:val="single" w:sz="4" w:space="0" w:color="auto"/>
              <w:bottom w:val="single" w:sz="4" w:space="0" w:color="auto"/>
            </w:tcBorders>
            <w:vAlign w:val="bottom"/>
          </w:tcPr>
          <w:p w14:paraId="29FE0DFA" w14:textId="77777777" w:rsidR="009F33CD" w:rsidRDefault="00E40740">
            <w:pPr>
              <w:spacing w:after="240" w:line="240" w:lineRule="auto"/>
              <w:jc w:val="center"/>
              <w:rPr>
                <w:rFonts w:cs="Times New Roman"/>
                <w:b/>
                <w:bCs/>
              </w:rPr>
            </w:pPr>
            <w:r>
              <w:rPr>
                <w:rFonts w:cs="Times New Roman"/>
                <w:b/>
                <w:bCs/>
              </w:rPr>
              <w:t>R Square Change</w:t>
            </w:r>
          </w:p>
        </w:tc>
        <w:tc>
          <w:tcPr>
            <w:tcW w:w="628" w:type="pct"/>
            <w:tcBorders>
              <w:top w:val="single" w:sz="4" w:space="0" w:color="auto"/>
              <w:bottom w:val="single" w:sz="4" w:space="0" w:color="auto"/>
            </w:tcBorders>
            <w:vAlign w:val="bottom"/>
          </w:tcPr>
          <w:p w14:paraId="126AFA4E" w14:textId="77777777" w:rsidR="009F33CD" w:rsidRDefault="00E40740">
            <w:pPr>
              <w:spacing w:after="240" w:line="240" w:lineRule="auto"/>
              <w:jc w:val="center"/>
              <w:rPr>
                <w:rFonts w:cs="Times New Roman"/>
                <w:b/>
                <w:bCs/>
              </w:rPr>
            </w:pPr>
            <w:r>
              <w:rPr>
                <w:rFonts w:cs="Times New Roman"/>
                <w:b/>
                <w:bCs/>
              </w:rPr>
              <w:t>F Change</w:t>
            </w:r>
          </w:p>
        </w:tc>
        <w:tc>
          <w:tcPr>
            <w:tcW w:w="311" w:type="pct"/>
            <w:tcBorders>
              <w:top w:val="single" w:sz="4" w:space="0" w:color="auto"/>
              <w:bottom w:val="single" w:sz="4" w:space="0" w:color="auto"/>
            </w:tcBorders>
            <w:vAlign w:val="bottom"/>
          </w:tcPr>
          <w:p w14:paraId="2D113B95" w14:textId="77777777" w:rsidR="009F33CD" w:rsidRDefault="00E40740">
            <w:pPr>
              <w:spacing w:after="240" w:line="240" w:lineRule="auto"/>
              <w:jc w:val="center"/>
              <w:rPr>
                <w:rFonts w:cs="Times New Roman"/>
                <w:b/>
                <w:bCs/>
              </w:rPr>
            </w:pPr>
            <w:r>
              <w:rPr>
                <w:rFonts w:cs="Times New Roman"/>
                <w:b/>
                <w:bCs/>
              </w:rPr>
              <w:t>df1</w:t>
            </w:r>
          </w:p>
        </w:tc>
        <w:tc>
          <w:tcPr>
            <w:tcW w:w="363" w:type="pct"/>
            <w:tcBorders>
              <w:top w:val="single" w:sz="4" w:space="0" w:color="auto"/>
              <w:bottom w:val="single" w:sz="4" w:space="0" w:color="auto"/>
            </w:tcBorders>
            <w:vAlign w:val="bottom"/>
          </w:tcPr>
          <w:p w14:paraId="09279448" w14:textId="77777777" w:rsidR="009F33CD" w:rsidRDefault="00E40740">
            <w:pPr>
              <w:spacing w:after="240" w:line="240" w:lineRule="auto"/>
              <w:jc w:val="center"/>
              <w:rPr>
                <w:rFonts w:cs="Times New Roman"/>
                <w:b/>
                <w:bCs/>
              </w:rPr>
            </w:pPr>
            <w:r>
              <w:rPr>
                <w:rFonts w:cs="Times New Roman"/>
                <w:b/>
                <w:bCs/>
              </w:rPr>
              <w:t>df2</w:t>
            </w:r>
          </w:p>
        </w:tc>
        <w:tc>
          <w:tcPr>
            <w:tcW w:w="489" w:type="pct"/>
            <w:tcBorders>
              <w:top w:val="single" w:sz="4" w:space="0" w:color="auto"/>
              <w:bottom w:val="single" w:sz="4" w:space="0" w:color="auto"/>
            </w:tcBorders>
            <w:vAlign w:val="bottom"/>
          </w:tcPr>
          <w:p w14:paraId="4E7036C4" w14:textId="77777777" w:rsidR="009F33CD" w:rsidRDefault="00E40740">
            <w:pPr>
              <w:spacing w:after="240" w:line="240" w:lineRule="auto"/>
              <w:jc w:val="center"/>
              <w:rPr>
                <w:rFonts w:cs="Times New Roman"/>
                <w:b/>
                <w:bCs/>
              </w:rPr>
            </w:pPr>
            <w:r>
              <w:rPr>
                <w:rFonts w:cs="Times New Roman"/>
                <w:b/>
                <w:bCs/>
              </w:rPr>
              <w:t>Sig. F Change</w:t>
            </w:r>
          </w:p>
        </w:tc>
      </w:tr>
      <w:tr w:rsidR="009F33CD" w14:paraId="4C077DB6" w14:textId="77777777">
        <w:trPr>
          <w:cantSplit/>
          <w:trHeight w:val="261"/>
        </w:trPr>
        <w:tc>
          <w:tcPr>
            <w:tcW w:w="420" w:type="pct"/>
            <w:tcBorders>
              <w:top w:val="single" w:sz="4" w:space="0" w:color="auto"/>
              <w:bottom w:val="nil"/>
            </w:tcBorders>
          </w:tcPr>
          <w:p w14:paraId="7868B4EB" w14:textId="77777777" w:rsidR="009F33CD" w:rsidRDefault="00E40740">
            <w:pPr>
              <w:spacing w:after="240" w:line="240" w:lineRule="auto"/>
              <w:rPr>
                <w:rFonts w:cs="Times New Roman"/>
              </w:rPr>
            </w:pPr>
            <w:r>
              <w:rPr>
                <w:rFonts w:cs="Times New Roman"/>
              </w:rPr>
              <w:t>1</w:t>
            </w:r>
          </w:p>
        </w:tc>
        <w:tc>
          <w:tcPr>
            <w:tcW w:w="411" w:type="pct"/>
            <w:tcBorders>
              <w:top w:val="single" w:sz="4" w:space="0" w:color="auto"/>
              <w:bottom w:val="nil"/>
            </w:tcBorders>
          </w:tcPr>
          <w:p w14:paraId="63F1A65C" w14:textId="77777777" w:rsidR="009F33CD" w:rsidRDefault="00E40740">
            <w:pPr>
              <w:spacing w:after="240" w:line="240" w:lineRule="auto"/>
              <w:jc w:val="center"/>
              <w:rPr>
                <w:rFonts w:cs="Times New Roman"/>
              </w:rPr>
            </w:pPr>
            <w:r>
              <w:rPr>
                <w:rFonts w:cs="Times New Roman"/>
              </w:rPr>
              <w:t>.802</w:t>
            </w:r>
            <w:r>
              <w:rPr>
                <w:rFonts w:cs="Times New Roman"/>
                <w:vertAlign w:val="superscript"/>
              </w:rPr>
              <w:t>a</w:t>
            </w:r>
          </w:p>
        </w:tc>
        <w:tc>
          <w:tcPr>
            <w:tcW w:w="537" w:type="pct"/>
            <w:tcBorders>
              <w:top w:val="single" w:sz="4" w:space="0" w:color="auto"/>
              <w:bottom w:val="nil"/>
            </w:tcBorders>
          </w:tcPr>
          <w:p w14:paraId="48881587" w14:textId="77777777" w:rsidR="009F33CD" w:rsidRDefault="00E40740">
            <w:pPr>
              <w:spacing w:after="240" w:line="240" w:lineRule="auto"/>
              <w:jc w:val="center"/>
              <w:rPr>
                <w:rFonts w:cs="Times New Roman"/>
              </w:rPr>
            </w:pPr>
            <w:r>
              <w:rPr>
                <w:rFonts w:cs="Times New Roman"/>
              </w:rPr>
              <w:t>.644</w:t>
            </w:r>
          </w:p>
        </w:tc>
        <w:tc>
          <w:tcPr>
            <w:tcW w:w="551" w:type="pct"/>
            <w:tcBorders>
              <w:top w:val="single" w:sz="4" w:space="0" w:color="auto"/>
              <w:bottom w:val="nil"/>
            </w:tcBorders>
          </w:tcPr>
          <w:p w14:paraId="27AEAA6B" w14:textId="77777777" w:rsidR="009F33CD" w:rsidRDefault="00E40740">
            <w:pPr>
              <w:spacing w:after="240" w:line="240" w:lineRule="auto"/>
              <w:jc w:val="center"/>
              <w:rPr>
                <w:rFonts w:cs="Times New Roman"/>
              </w:rPr>
            </w:pPr>
            <w:r>
              <w:rPr>
                <w:rFonts w:cs="Times New Roman"/>
              </w:rPr>
              <w:t>.631</w:t>
            </w:r>
          </w:p>
        </w:tc>
        <w:tc>
          <w:tcPr>
            <w:tcW w:w="674" w:type="pct"/>
            <w:tcBorders>
              <w:top w:val="single" w:sz="4" w:space="0" w:color="auto"/>
              <w:bottom w:val="nil"/>
            </w:tcBorders>
          </w:tcPr>
          <w:p w14:paraId="72CCA48F" w14:textId="77777777" w:rsidR="009F33CD" w:rsidRDefault="00E40740">
            <w:pPr>
              <w:spacing w:after="240" w:line="240" w:lineRule="auto"/>
              <w:jc w:val="center"/>
              <w:rPr>
                <w:rFonts w:cs="Times New Roman"/>
              </w:rPr>
            </w:pPr>
            <w:r>
              <w:rPr>
                <w:rFonts w:cs="Times New Roman"/>
              </w:rPr>
              <w:t>.56473</w:t>
            </w:r>
          </w:p>
        </w:tc>
        <w:tc>
          <w:tcPr>
            <w:tcW w:w="616" w:type="pct"/>
            <w:tcBorders>
              <w:top w:val="single" w:sz="4" w:space="0" w:color="auto"/>
              <w:bottom w:val="nil"/>
            </w:tcBorders>
          </w:tcPr>
          <w:p w14:paraId="2FD1EC0D" w14:textId="77777777" w:rsidR="009F33CD" w:rsidRDefault="00E40740">
            <w:pPr>
              <w:spacing w:after="240" w:line="240" w:lineRule="auto"/>
              <w:jc w:val="center"/>
              <w:rPr>
                <w:rFonts w:cs="Times New Roman"/>
              </w:rPr>
            </w:pPr>
            <w:r>
              <w:rPr>
                <w:rFonts w:cs="Times New Roman"/>
              </w:rPr>
              <w:t>.644</w:t>
            </w:r>
          </w:p>
        </w:tc>
        <w:tc>
          <w:tcPr>
            <w:tcW w:w="628" w:type="pct"/>
            <w:tcBorders>
              <w:top w:val="single" w:sz="4" w:space="0" w:color="auto"/>
              <w:bottom w:val="nil"/>
            </w:tcBorders>
          </w:tcPr>
          <w:p w14:paraId="235969FE" w14:textId="77777777" w:rsidR="009F33CD" w:rsidRDefault="00E40740">
            <w:pPr>
              <w:spacing w:after="240" w:line="240" w:lineRule="auto"/>
              <w:jc w:val="center"/>
              <w:rPr>
                <w:rFonts w:cs="Times New Roman"/>
              </w:rPr>
            </w:pPr>
            <w:r>
              <w:rPr>
                <w:rFonts w:cs="Times New Roman"/>
              </w:rPr>
              <w:t>51.025</w:t>
            </w:r>
          </w:p>
        </w:tc>
        <w:tc>
          <w:tcPr>
            <w:tcW w:w="311" w:type="pct"/>
            <w:tcBorders>
              <w:top w:val="single" w:sz="4" w:space="0" w:color="auto"/>
              <w:bottom w:val="nil"/>
            </w:tcBorders>
          </w:tcPr>
          <w:p w14:paraId="384402C0" w14:textId="77777777" w:rsidR="009F33CD" w:rsidRDefault="00E40740">
            <w:pPr>
              <w:spacing w:after="240" w:line="240" w:lineRule="auto"/>
              <w:jc w:val="center"/>
              <w:rPr>
                <w:rFonts w:cs="Times New Roman"/>
              </w:rPr>
            </w:pPr>
            <w:r>
              <w:rPr>
                <w:rFonts w:cs="Times New Roman"/>
              </w:rPr>
              <w:t>4</w:t>
            </w:r>
          </w:p>
        </w:tc>
        <w:tc>
          <w:tcPr>
            <w:tcW w:w="363" w:type="pct"/>
            <w:tcBorders>
              <w:top w:val="single" w:sz="4" w:space="0" w:color="auto"/>
              <w:bottom w:val="nil"/>
            </w:tcBorders>
          </w:tcPr>
          <w:p w14:paraId="242A528C" w14:textId="77777777" w:rsidR="009F33CD" w:rsidRDefault="00E40740">
            <w:pPr>
              <w:spacing w:after="240" w:line="240" w:lineRule="auto"/>
              <w:jc w:val="center"/>
              <w:rPr>
                <w:rFonts w:cs="Times New Roman"/>
              </w:rPr>
            </w:pPr>
            <w:r>
              <w:rPr>
                <w:rFonts w:cs="Times New Roman"/>
              </w:rPr>
              <w:t>113</w:t>
            </w:r>
          </w:p>
        </w:tc>
        <w:tc>
          <w:tcPr>
            <w:tcW w:w="489" w:type="pct"/>
            <w:tcBorders>
              <w:top w:val="single" w:sz="4" w:space="0" w:color="auto"/>
              <w:bottom w:val="nil"/>
            </w:tcBorders>
          </w:tcPr>
          <w:p w14:paraId="06AD93B0" w14:textId="77777777" w:rsidR="009F33CD" w:rsidRDefault="00E40740">
            <w:pPr>
              <w:spacing w:after="240" w:line="240" w:lineRule="auto"/>
              <w:jc w:val="center"/>
              <w:rPr>
                <w:rFonts w:cs="Times New Roman"/>
              </w:rPr>
            </w:pPr>
            <w:r>
              <w:rPr>
                <w:rFonts w:cs="Times New Roman"/>
              </w:rPr>
              <w:t>.000</w:t>
            </w:r>
          </w:p>
        </w:tc>
      </w:tr>
      <w:tr w:rsidR="009F33CD" w14:paraId="510E2685" w14:textId="77777777">
        <w:trPr>
          <w:cantSplit/>
          <w:trHeight w:val="275"/>
        </w:trPr>
        <w:tc>
          <w:tcPr>
            <w:tcW w:w="420" w:type="pct"/>
            <w:tcBorders>
              <w:top w:val="nil"/>
            </w:tcBorders>
          </w:tcPr>
          <w:p w14:paraId="566E807D" w14:textId="77777777" w:rsidR="009F33CD" w:rsidRDefault="00E40740">
            <w:pPr>
              <w:spacing w:after="240" w:line="240" w:lineRule="auto"/>
              <w:rPr>
                <w:rFonts w:cs="Times New Roman"/>
              </w:rPr>
            </w:pPr>
            <w:r>
              <w:rPr>
                <w:rFonts w:cs="Times New Roman"/>
              </w:rPr>
              <w:t>2</w:t>
            </w:r>
          </w:p>
        </w:tc>
        <w:tc>
          <w:tcPr>
            <w:tcW w:w="411" w:type="pct"/>
            <w:tcBorders>
              <w:top w:val="nil"/>
            </w:tcBorders>
          </w:tcPr>
          <w:p w14:paraId="68441F4A" w14:textId="77777777" w:rsidR="009F33CD" w:rsidRDefault="00E40740">
            <w:pPr>
              <w:spacing w:after="240" w:line="240" w:lineRule="auto"/>
              <w:jc w:val="center"/>
              <w:rPr>
                <w:rFonts w:cs="Times New Roman"/>
              </w:rPr>
            </w:pPr>
            <w:r>
              <w:rPr>
                <w:rFonts w:cs="Times New Roman"/>
              </w:rPr>
              <w:t>.826</w:t>
            </w:r>
            <w:r>
              <w:rPr>
                <w:rFonts w:cs="Times New Roman"/>
                <w:vertAlign w:val="superscript"/>
              </w:rPr>
              <w:t>b</w:t>
            </w:r>
          </w:p>
        </w:tc>
        <w:tc>
          <w:tcPr>
            <w:tcW w:w="537" w:type="pct"/>
            <w:tcBorders>
              <w:top w:val="nil"/>
            </w:tcBorders>
          </w:tcPr>
          <w:p w14:paraId="18713898" w14:textId="77777777" w:rsidR="009F33CD" w:rsidRDefault="00E40740">
            <w:pPr>
              <w:spacing w:after="240" w:line="240" w:lineRule="auto"/>
              <w:jc w:val="center"/>
              <w:rPr>
                <w:rFonts w:cs="Times New Roman"/>
              </w:rPr>
            </w:pPr>
            <w:r>
              <w:rPr>
                <w:rFonts w:cs="Times New Roman"/>
              </w:rPr>
              <w:t>.682</w:t>
            </w:r>
          </w:p>
        </w:tc>
        <w:tc>
          <w:tcPr>
            <w:tcW w:w="551" w:type="pct"/>
            <w:tcBorders>
              <w:top w:val="nil"/>
            </w:tcBorders>
          </w:tcPr>
          <w:p w14:paraId="4A94E979" w14:textId="77777777" w:rsidR="009F33CD" w:rsidRDefault="00E40740">
            <w:pPr>
              <w:spacing w:after="240" w:line="240" w:lineRule="auto"/>
              <w:jc w:val="center"/>
              <w:rPr>
                <w:rFonts w:cs="Times New Roman"/>
              </w:rPr>
            </w:pPr>
            <w:r>
              <w:rPr>
                <w:rFonts w:cs="Times New Roman"/>
              </w:rPr>
              <w:t>.656</w:t>
            </w:r>
          </w:p>
        </w:tc>
        <w:tc>
          <w:tcPr>
            <w:tcW w:w="674" w:type="pct"/>
            <w:tcBorders>
              <w:top w:val="nil"/>
            </w:tcBorders>
          </w:tcPr>
          <w:p w14:paraId="4DCDA105" w14:textId="77777777" w:rsidR="009F33CD" w:rsidRDefault="00E40740">
            <w:pPr>
              <w:spacing w:after="240" w:line="240" w:lineRule="auto"/>
              <w:jc w:val="center"/>
              <w:rPr>
                <w:rFonts w:cs="Times New Roman"/>
              </w:rPr>
            </w:pPr>
            <w:r>
              <w:rPr>
                <w:rFonts w:cs="Times New Roman"/>
              </w:rPr>
              <w:t>.54526</w:t>
            </w:r>
          </w:p>
        </w:tc>
        <w:tc>
          <w:tcPr>
            <w:tcW w:w="616" w:type="pct"/>
            <w:tcBorders>
              <w:top w:val="nil"/>
            </w:tcBorders>
          </w:tcPr>
          <w:p w14:paraId="64A72364" w14:textId="77777777" w:rsidR="009F33CD" w:rsidRDefault="00E40740">
            <w:pPr>
              <w:spacing w:after="240" w:line="240" w:lineRule="auto"/>
              <w:jc w:val="center"/>
              <w:rPr>
                <w:rFonts w:cs="Times New Roman"/>
              </w:rPr>
            </w:pPr>
            <w:r>
              <w:rPr>
                <w:rFonts w:cs="Times New Roman"/>
              </w:rPr>
              <w:t>.039</w:t>
            </w:r>
          </w:p>
        </w:tc>
        <w:tc>
          <w:tcPr>
            <w:tcW w:w="628" w:type="pct"/>
            <w:tcBorders>
              <w:top w:val="nil"/>
            </w:tcBorders>
          </w:tcPr>
          <w:p w14:paraId="7B05A6B7" w14:textId="77777777" w:rsidR="009F33CD" w:rsidRDefault="00E40740">
            <w:pPr>
              <w:spacing w:after="240" w:line="240" w:lineRule="auto"/>
              <w:jc w:val="center"/>
              <w:rPr>
                <w:rFonts w:cs="Times New Roman"/>
              </w:rPr>
            </w:pPr>
            <w:r>
              <w:rPr>
                <w:rFonts w:cs="Times New Roman"/>
              </w:rPr>
              <w:t>2.642</w:t>
            </w:r>
          </w:p>
        </w:tc>
        <w:tc>
          <w:tcPr>
            <w:tcW w:w="311" w:type="pct"/>
            <w:tcBorders>
              <w:top w:val="nil"/>
            </w:tcBorders>
          </w:tcPr>
          <w:p w14:paraId="22D9B032" w14:textId="77777777" w:rsidR="009F33CD" w:rsidRDefault="00E40740">
            <w:pPr>
              <w:spacing w:after="240" w:line="240" w:lineRule="auto"/>
              <w:jc w:val="center"/>
              <w:rPr>
                <w:rFonts w:cs="Times New Roman"/>
              </w:rPr>
            </w:pPr>
            <w:r>
              <w:rPr>
                <w:rFonts w:cs="Times New Roman"/>
              </w:rPr>
              <w:t>5</w:t>
            </w:r>
          </w:p>
        </w:tc>
        <w:tc>
          <w:tcPr>
            <w:tcW w:w="363" w:type="pct"/>
            <w:tcBorders>
              <w:top w:val="nil"/>
            </w:tcBorders>
          </w:tcPr>
          <w:p w14:paraId="14492F6E" w14:textId="77777777" w:rsidR="009F33CD" w:rsidRDefault="00E40740">
            <w:pPr>
              <w:spacing w:after="240" w:line="240" w:lineRule="auto"/>
              <w:jc w:val="center"/>
              <w:rPr>
                <w:rFonts w:cs="Times New Roman"/>
              </w:rPr>
            </w:pPr>
            <w:r>
              <w:rPr>
                <w:rFonts w:cs="Times New Roman"/>
              </w:rPr>
              <w:t>108</w:t>
            </w:r>
          </w:p>
        </w:tc>
        <w:tc>
          <w:tcPr>
            <w:tcW w:w="489" w:type="pct"/>
            <w:tcBorders>
              <w:top w:val="nil"/>
            </w:tcBorders>
          </w:tcPr>
          <w:p w14:paraId="56AD4A74" w14:textId="77777777" w:rsidR="009F33CD" w:rsidRDefault="00E40740">
            <w:pPr>
              <w:spacing w:after="240" w:line="240" w:lineRule="auto"/>
              <w:jc w:val="center"/>
              <w:rPr>
                <w:rFonts w:cs="Times New Roman"/>
              </w:rPr>
            </w:pPr>
            <w:r>
              <w:rPr>
                <w:rFonts w:cs="Times New Roman"/>
              </w:rPr>
              <w:t>.002</w:t>
            </w:r>
          </w:p>
        </w:tc>
      </w:tr>
    </w:tbl>
    <w:p w14:paraId="26E8A91D" w14:textId="77777777" w:rsidR="009F33CD" w:rsidRDefault="00E40740">
      <w:pPr>
        <w:spacing w:before="0" w:beforeAutospacing="0" w:after="240" w:line="240" w:lineRule="auto"/>
        <w:rPr>
          <w:rFonts w:cs="Times New Roman"/>
          <w:bCs/>
          <w:sz w:val="20"/>
        </w:rPr>
      </w:pPr>
      <w:r>
        <w:rPr>
          <w:rFonts w:cs="Times New Roman"/>
          <w:bCs/>
          <w:sz w:val="20"/>
        </w:rPr>
        <w:t>Yi = Performance of devolved Healthcare Services, β</w:t>
      </w:r>
      <w:r>
        <w:rPr>
          <w:rFonts w:cs="Times New Roman"/>
          <w:bCs/>
          <w:sz w:val="20"/>
          <w:vertAlign w:val="subscript"/>
        </w:rPr>
        <w:t>0</w:t>
      </w:r>
      <w:r>
        <w:rPr>
          <w:rFonts w:cs="Times New Roman"/>
          <w:bCs/>
          <w:sz w:val="20"/>
        </w:rPr>
        <w:t>= Constant, β= regression co-efficient, X</w:t>
      </w:r>
      <w:r>
        <w:rPr>
          <w:rFonts w:cs="Times New Roman"/>
          <w:bCs/>
          <w:sz w:val="20"/>
          <w:vertAlign w:val="subscript"/>
        </w:rPr>
        <w:t>1</w:t>
      </w:r>
      <w:r>
        <w:rPr>
          <w:rFonts w:cs="Times New Roman"/>
          <w:bCs/>
          <w:sz w:val="20"/>
        </w:rPr>
        <w:t>= Green Employee Resourcing, X</w:t>
      </w:r>
      <w:r>
        <w:rPr>
          <w:rFonts w:cs="Times New Roman"/>
          <w:bCs/>
          <w:sz w:val="20"/>
          <w:vertAlign w:val="subscript"/>
        </w:rPr>
        <w:t>2</w:t>
      </w:r>
      <w:r>
        <w:rPr>
          <w:rFonts w:cs="Times New Roman"/>
          <w:bCs/>
          <w:sz w:val="20"/>
        </w:rPr>
        <w:t xml:space="preserve"> = green Training, X</w:t>
      </w:r>
      <w:r>
        <w:rPr>
          <w:rFonts w:cs="Times New Roman"/>
          <w:bCs/>
          <w:sz w:val="20"/>
          <w:vertAlign w:val="subscript"/>
        </w:rPr>
        <w:t>3</w:t>
      </w:r>
      <w:r>
        <w:rPr>
          <w:rFonts w:cs="Times New Roman"/>
          <w:bCs/>
          <w:sz w:val="20"/>
        </w:rPr>
        <w:t>= Green occupational safety and health, X</w:t>
      </w:r>
      <w:r>
        <w:rPr>
          <w:rFonts w:cs="Times New Roman"/>
          <w:bCs/>
          <w:sz w:val="20"/>
          <w:vertAlign w:val="subscript"/>
        </w:rPr>
        <w:t>4</w:t>
      </w:r>
      <w:r>
        <w:rPr>
          <w:rFonts w:cs="Times New Roman"/>
          <w:bCs/>
          <w:sz w:val="20"/>
        </w:rPr>
        <w:t xml:space="preserve"> = Green performance Evaluation and e= error term of the sample </w:t>
      </w:r>
    </w:p>
    <w:p w14:paraId="46AC8D7C" w14:textId="77777777" w:rsidR="009F33CD" w:rsidRDefault="00E40740">
      <w:pPr>
        <w:autoSpaceDE/>
        <w:autoSpaceDN/>
        <w:adjustRightInd/>
        <w:rPr>
          <w:rFonts w:cs="Times New Roman"/>
        </w:rPr>
      </w:pPr>
      <w:r>
        <w:rPr>
          <w:rFonts w:cs="Times New Roman"/>
        </w:rPr>
        <w:t>The study findings pres</w:t>
      </w:r>
      <w:r w:rsidR="00A63BEB">
        <w:rPr>
          <w:rFonts w:cs="Times New Roman"/>
        </w:rPr>
        <w:t>ented in Table 4.45</w:t>
      </w:r>
      <w:r>
        <w:rPr>
          <w:rFonts w:cs="Times New Roman"/>
        </w:rPr>
        <w:t xml:space="preserve"> indicate that management style has a moderating effect on the relationship between green human resource management practices and the performance of devolved healthcare services in Kenya. </w:t>
      </w:r>
      <w:bookmarkStart w:id="1561" w:name="_Hlk197446116"/>
      <w:r>
        <w:rPr>
          <w:rFonts w:cs="Times New Roman"/>
        </w:rPr>
        <w:t xml:space="preserve">The results revealed that when a moderator (management style) is introduced, there is a significant positive and strong relationship between joint independent variables and dependent variable </w:t>
      </w:r>
      <w:bookmarkEnd w:id="1561"/>
      <w:r>
        <w:rPr>
          <w:rFonts w:cs="Times New Roman"/>
        </w:rPr>
        <w:t xml:space="preserve">visa viz r =0.826 with a moderator compared with r =0.802 without a moderator. </w:t>
      </w:r>
    </w:p>
    <w:p w14:paraId="64BCA09E" w14:textId="77777777" w:rsidR="009F33CD" w:rsidRDefault="00E40740">
      <w:pPr>
        <w:autoSpaceDE/>
        <w:autoSpaceDN/>
        <w:adjustRightInd/>
        <w:spacing w:after="200"/>
        <w:rPr>
          <w:rFonts w:cs="Times New Roman"/>
        </w:rPr>
      </w:pPr>
      <w:r>
        <w:rPr>
          <w:rFonts w:cs="Times New Roman"/>
        </w:rPr>
        <w:t>The implication of introducing the moderating variable into the model resulted in an R</w:t>
      </w:r>
      <w:r>
        <w:rPr>
          <w:rFonts w:cs="Times New Roman"/>
          <w:vertAlign w:val="superscript"/>
        </w:rPr>
        <w:t>2</w:t>
      </w:r>
      <w:r>
        <w:rPr>
          <w:rFonts w:cs="Times New Roman"/>
        </w:rPr>
        <w:t xml:space="preserve"> value of 0.682, which implies a strong significant effect. Essentially it means that 68.2% of the variation in the performance of devolved healthcare services in Kenya can be explained by the inclusion of this variable. This high percentage indicates a </w:t>
      </w:r>
      <w:r>
        <w:rPr>
          <w:rFonts w:cs="Times New Roman"/>
        </w:rPr>
        <w:lastRenderedPageBreak/>
        <w:t>strong relationship between the moderating variable and the performance outcomes, suggesting that the moderating variable plays a crucial role in enhancing the effectiveness of devolved healthcare services. It underscores the importance of considering this factor in policy-making and implementation to drive substantial improvements in healthcare delivery. Further, it shows that the optimal model increased from R²= 0.644 to R</w:t>
      </w:r>
      <w:r>
        <w:rPr>
          <w:rFonts w:cs="Times New Roman"/>
          <w:sz w:val="28"/>
        </w:rPr>
        <w:t xml:space="preserve">² </w:t>
      </w:r>
      <w:r>
        <w:rPr>
          <w:rFonts w:cs="Times New Roman"/>
        </w:rPr>
        <w:t>=0.682, displaying an increase of 3.8% because of the management style’s moderating effect. The results revealed that there is a statistically significant change in adjusted R square (0.039) when a moderator is introduced. The significant change in F change (2.642) with P=0.002&lt;0.05 implies that the moderating variable had a statistically significant influence on green human resources management practices under study and the performance of devolved healthcare services in Kenya. The H</w:t>
      </w:r>
      <w:r>
        <w:rPr>
          <w:rFonts w:cs="Times New Roman"/>
          <w:vertAlign w:val="subscript"/>
        </w:rPr>
        <w:t>05</w:t>
      </w:r>
      <w:r>
        <w:rPr>
          <w:rFonts w:cs="Times New Roman"/>
        </w:rPr>
        <w:t xml:space="preserve"> was therefore rejected and the alternative hypothesis was accepted. An alternative hypothesis was thus;</w:t>
      </w:r>
    </w:p>
    <w:p w14:paraId="336AADAF" w14:textId="77777777" w:rsidR="002E7E4A" w:rsidRDefault="00E40740">
      <w:pPr>
        <w:autoSpaceDE/>
        <w:autoSpaceDN/>
        <w:adjustRightInd/>
      </w:pPr>
      <w:r>
        <w:rPr>
          <w:b/>
        </w:rPr>
        <w:t>Thus; H</w:t>
      </w:r>
      <w:r>
        <w:rPr>
          <w:b/>
          <w:vertAlign w:val="subscript"/>
        </w:rPr>
        <w:t>05</w:t>
      </w:r>
      <w:r>
        <w:rPr>
          <w:b/>
        </w:rPr>
        <w:t>:</w:t>
      </w:r>
      <w:r>
        <w:t xml:space="preserve"> </w:t>
      </w:r>
      <w:bookmarkStart w:id="1562" w:name="_Hlk183594277"/>
      <w:r>
        <w:t>Management style has a significant moderating effect on the relationship between green human resource management practices and the performance of devolved healthcare services in Kenya.</w:t>
      </w:r>
    </w:p>
    <w:p w14:paraId="1E95D5B6" w14:textId="77777777" w:rsidR="009F33CD" w:rsidRDefault="00E40740">
      <w:pPr>
        <w:pStyle w:val="Heading6"/>
      </w:pPr>
      <w:bookmarkStart w:id="1563" w:name="_Toc178942694"/>
      <w:bookmarkStart w:id="1564" w:name="_Toc187080919"/>
      <w:bookmarkStart w:id="1565" w:name="_Toc185614147"/>
      <w:bookmarkStart w:id="1566" w:name="_Toc178945104"/>
      <w:bookmarkStart w:id="1567" w:name="_Toc224237475"/>
      <w:bookmarkEnd w:id="1562"/>
      <w:r>
        <w:t>Table 4</w:t>
      </w:r>
      <w:r w:rsidR="00A63BEB">
        <w:t>.46</w:t>
      </w:r>
      <w:r>
        <w:t>: Multiple Regression Coefficient Results (Combined Effect)</w:t>
      </w:r>
      <w:bookmarkEnd w:id="1563"/>
      <w:bookmarkEnd w:id="1564"/>
      <w:bookmarkEnd w:id="1565"/>
      <w:bookmarkEnd w:id="1566"/>
      <w:bookmarkEnd w:id="1567"/>
    </w:p>
    <w:tbl>
      <w:tblPr>
        <w:tblW w:w="846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600"/>
        <w:gridCol w:w="1307"/>
        <w:gridCol w:w="1167"/>
        <w:gridCol w:w="1248"/>
        <w:gridCol w:w="1412"/>
        <w:gridCol w:w="1412"/>
        <w:gridCol w:w="1320"/>
      </w:tblGrid>
      <w:tr w:rsidR="009F33CD" w:rsidRPr="004D1314" w14:paraId="0AF1B9F8" w14:textId="77777777" w:rsidTr="00A63BEB">
        <w:trPr>
          <w:cantSplit/>
          <w:trHeight w:val="284"/>
        </w:trPr>
        <w:tc>
          <w:tcPr>
            <w:tcW w:w="1907" w:type="dxa"/>
            <w:gridSpan w:val="2"/>
            <w:vMerge w:val="restart"/>
          </w:tcPr>
          <w:p w14:paraId="7534775D" w14:textId="77777777" w:rsidR="009F33CD" w:rsidRPr="004D1314" w:rsidRDefault="00E40740" w:rsidP="00A63BEB">
            <w:pPr>
              <w:spacing w:before="0" w:beforeAutospacing="0" w:after="0" w:afterAutospacing="0" w:line="240" w:lineRule="auto"/>
              <w:jc w:val="left"/>
              <w:rPr>
                <w:rFonts w:cs="Times New Roman"/>
                <w:b/>
                <w:szCs w:val="24"/>
              </w:rPr>
            </w:pPr>
            <w:r w:rsidRPr="004D1314">
              <w:rPr>
                <w:rFonts w:cs="Times New Roman"/>
                <w:b/>
                <w:szCs w:val="24"/>
              </w:rPr>
              <w:t>Model</w:t>
            </w:r>
          </w:p>
        </w:tc>
        <w:tc>
          <w:tcPr>
            <w:tcW w:w="2415" w:type="dxa"/>
            <w:gridSpan w:val="2"/>
            <w:tcBorders>
              <w:bottom w:val="single" w:sz="4" w:space="0" w:color="auto"/>
            </w:tcBorders>
            <w:vAlign w:val="bottom"/>
          </w:tcPr>
          <w:p w14:paraId="78D4193A" w14:textId="77777777" w:rsidR="009F33CD" w:rsidRPr="004D1314" w:rsidRDefault="00E40740" w:rsidP="00F75083">
            <w:pPr>
              <w:spacing w:before="0" w:beforeAutospacing="0" w:after="0" w:afterAutospacing="0" w:line="240" w:lineRule="auto"/>
              <w:rPr>
                <w:rFonts w:cs="Times New Roman"/>
                <w:b/>
                <w:szCs w:val="24"/>
              </w:rPr>
            </w:pPr>
            <w:r w:rsidRPr="004D1314">
              <w:rPr>
                <w:rFonts w:cs="Times New Roman"/>
                <w:b/>
                <w:szCs w:val="24"/>
              </w:rPr>
              <w:t>Unstandardized Coefficients</w:t>
            </w:r>
          </w:p>
        </w:tc>
        <w:tc>
          <w:tcPr>
            <w:tcW w:w="1412" w:type="dxa"/>
            <w:tcBorders>
              <w:bottom w:val="single" w:sz="4" w:space="0" w:color="auto"/>
            </w:tcBorders>
            <w:vAlign w:val="bottom"/>
          </w:tcPr>
          <w:p w14:paraId="7BD8BC61" w14:textId="77777777" w:rsidR="009F33CD" w:rsidRPr="004D1314" w:rsidRDefault="00E40740" w:rsidP="00F75083">
            <w:pPr>
              <w:spacing w:before="0" w:beforeAutospacing="0" w:after="0" w:afterAutospacing="0" w:line="240" w:lineRule="auto"/>
              <w:rPr>
                <w:rFonts w:cs="Times New Roman"/>
                <w:b/>
                <w:szCs w:val="24"/>
              </w:rPr>
            </w:pPr>
            <w:r w:rsidRPr="004D1314">
              <w:rPr>
                <w:rFonts w:cs="Times New Roman"/>
                <w:b/>
                <w:szCs w:val="24"/>
              </w:rPr>
              <w:t>Standardized Coefficients</w:t>
            </w:r>
          </w:p>
        </w:tc>
        <w:tc>
          <w:tcPr>
            <w:tcW w:w="1412" w:type="dxa"/>
            <w:vMerge w:val="restart"/>
          </w:tcPr>
          <w:p w14:paraId="44BFCE3F" w14:textId="77777777" w:rsidR="009F33CD" w:rsidRPr="004D1314" w:rsidRDefault="00E40740" w:rsidP="00A63BEB">
            <w:pPr>
              <w:spacing w:before="0" w:beforeAutospacing="0" w:after="0" w:afterAutospacing="0" w:line="240" w:lineRule="auto"/>
              <w:jc w:val="center"/>
              <w:rPr>
                <w:rFonts w:cs="Times New Roman"/>
                <w:b/>
                <w:szCs w:val="24"/>
              </w:rPr>
            </w:pPr>
            <w:r w:rsidRPr="004D1314">
              <w:rPr>
                <w:rFonts w:cs="Times New Roman"/>
                <w:b/>
                <w:szCs w:val="24"/>
              </w:rPr>
              <w:t>T</w:t>
            </w:r>
          </w:p>
        </w:tc>
        <w:tc>
          <w:tcPr>
            <w:tcW w:w="1320" w:type="dxa"/>
            <w:vMerge w:val="restart"/>
          </w:tcPr>
          <w:p w14:paraId="0D582E37" w14:textId="77777777" w:rsidR="009F33CD" w:rsidRPr="004D1314" w:rsidRDefault="00E40740" w:rsidP="00A63BEB">
            <w:pPr>
              <w:spacing w:before="0" w:beforeAutospacing="0" w:after="0" w:afterAutospacing="0" w:line="240" w:lineRule="auto"/>
              <w:jc w:val="center"/>
              <w:rPr>
                <w:rFonts w:cs="Times New Roman"/>
                <w:b/>
                <w:szCs w:val="24"/>
              </w:rPr>
            </w:pPr>
            <w:r w:rsidRPr="004D1314">
              <w:rPr>
                <w:rFonts w:cs="Times New Roman"/>
                <w:b/>
                <w:szCs w:val="24"/>
              </w:rPr>
              <w:t>Sig.</w:t>
            </w:r>
          </w:p>
        </w:tc>
      </w:tr>
      <w:tr w:rsidR="009F33CD" w:rsidRPr="004D1314" w14:paraId="395C2D37" w14:textId="77777777" w:rsidTr="00A63BEB">
        <w:trPr>
          <w:cantSplit/>
          <w:trHeight w:val="70"/>
        </w:trPr>
        <w:tc>
          <w:tcPr>
            <w:tcW w:w="1907" w:type="dxa"/>
            <w:gridSpan w:val="2"/>
            <w:vMerge/>
            <w:tcBorders>
              <w:bottom w:val="single" w:sz="4" w:space="0" w:color="auto"/>
            </w:tcBorders>
            <w:vAlign w:val="bottom"/>
          </w:tcPr>
          <w:p w14:paraId="7678053B" w14:textId="77777777" w:rsidR="009F33CD" w:rsidRPr="004D1314" w:rsidRDefault="009F33CD" w:rsidP="00F75083">
            <w:pPr>
              <w:spacing w:before="0" w:beforeAutospacing="0" w:after="0" w:afterAutospacing="0" w:line="240" w:lineRule="auto"/>
              <w:rPr>
                <w:rFonts w:cs="Times New Roman"/>
                <w:bCs/>
                <w:szCs w:val="24"/>
              </w:rPr>
            </w:pPr>
          </w:p>
        </w:tc>
        <w:tc>
          <w:tcPr>
            <w:tcW w:w="1167" w:type="dxa"/>
            <w:tcBorders>
              <w:top w:val="single" w:sz="4" w:space="0" w:color="auto"/>
              <w:bottom w:val="single" w:sz="4" w:space="0" w:color="auto"/>
            </w:tcBorders>
            <w:vAlign w:val="bottom"/>
          </w:tcPr>
          <w:p w14:paraId="756D93BA" w14:textId="77777777" w:rsidR="009F33CD" w:rsidRPr="004D1314" w:rsidRDefault="00E40740" w:rsidP="00F75083">
            <w:pPr>
              <w:spacing w:before="0" w:beforeAutospacing="0" w:after="0" w:afterAutospacing="0" w:line="240" w:lineRule="auto"/>
              <w:rPr>
                <w:rFonts w:cs="Times New Roman"/>
                <w:b/>
                <w:szCs w:val="24"/>
              </w:rPr>
            </w:pPr>
            <w:r w:rsidRPr="004D1314">
              <w:rPr>
                <w:rFonts w:cs="Times New Roman"/>
                <w:b/>
                <w:szCs w:val="24"/>
              </w:rPr>
              <w:t>B</w:t>
            </w:r>
          </w:p>
        </w:tc>
        <w:tc>
          <w:tcPr>
            <w:tcW w:w="1248" w:type="dxa"/>
            <w:tcBorders>
              <w:top w:val="single" w:sz="4" w:space="0" w:color="auto"/>
              <w:bottom w:val="single" w:sz="4" w:space="0" w:color="auto"/>
            </w:tcBorders>
            <w:vAlign w:val="bottom"/>
          </w:tcPr>
          <w:p w14:paraId="07C94AF9" w14:textId="77777777" w:rsidR="009F33CD" w:rsidRPr="004D1314" w:rsidRDefault="00E40740" w:rsidP="00F75083">
            <w:pPr>
              <w:spacing w:before="0" w:beforeAutospacing="0" w:after="0" w:afterAutospacing="0" w:line="240" w:lineRule="auto"/>
              <w:rPr>
                <w:rFonts w:cs="Times New Roman"/>
                <w:b/>
                <w:szCs w:val="24"/>
              </w:rPr>
            </w:pPr>
            <w:r w:rsidRPr="004D1314">
              <w:rPr>
                <w:rFonts w:cs="Times New Roman"/>
                <w:b/>
                <w:szCs w:val="24"/>
              </w:rPr>
              <w:t>Std. Error</w:t>
            </w:r>
          </w:p>
        </w:tc>
        <w:tc>
          <w:tcPr>
            <w:tcW w:w="1412" w:type="dxa"/>
            <w:tcBorders>
              <w:top w:val="single" w:sz="4" w:space="0" w:color="auto"/>
              <w:bottom w:val="single" w:sz="4" w:space="0" w:color="auto"/>
            </w:tcBorders>
            <w:vAlign w:val="bottom"/>
          </w:tcPr>
          <w:p w14:paraId="504DE46F" w14:textId="77777777" w:rsidR="009F33CD" w:rsidRPr="004D1314" w:rsidRDefault="00E40740" w:rsidP="00F75083">
            <w:pPr>
              <w:spacing w:before="0" w:beforeAutospacing="0" w:after="0" w:afterAutospacing="0" w:line="240" w:lineRule="auto"/>
              <w:rPr>
                <w:rFonts w:cs="Times New Roman"/>
                <w:b/>
                <w:szCs w:val="24"/>
              </w:rPr>
            </w:pPr>
            <w:r w:rsidRPr="004D1314">
              <w:rPr>
                <w:rFonts w:cs="Times New Roman"/>
                <w:b/>
                <w:szCs w:val="24"/>
              </w:rPr>
              <w:t>Beta</w:t>
            </w:r>
          </w:p>
        </w:tc>
        <w:tc>
          <w:tcPr>
            <w:tcW w:w="1412" w:type="dxa"/>
            <w:vMerge/>
            <w:tcBorders>
              <w:bottom w:val="single" w:sz="4" w:space="0" w:color="auto"/>
            </w:tcBorders>
          </w:tcPr>
          <w:p w14:paraId="57415615" w14:textId="77777777" w:rsidR="009F33CD" w:rsidRPr="004D1314" w:rsidRDefault="009F33CD" w:rsidP="00A63BEB">
            <w:pPr>
              <w:spacing w:before="0" w:beforeAutospacing="0" w:after="0" w:afterAutospacing="0" w:line="240" w:lineRule="auto"/>
              <w:jc w:val="center"/>
              <w:rPr>
                <w:rFonts w:cs="Times New Roman"/>
                <w:bCs/>
                <w:szCs w:val="24"/>
              </w:rPr>
            </w:pPr>
          </w:p>
        </w:tc>
        <w:tc>
          <w:tcPr>
            <w:tcW w:w="1320" w:type="dxa"/>
            <w:vMerge/>
            <w:tcBorders>
              <w:bottom w:val="single" w:sz="4" w:space="0" w:color="auto"/>
            </w:tcBorders>
          </w:tcPr>
          <w:p w14:paraId="009042B8" w14:textId="77777777" w:rsidR="009F33CD" w:rsidRPr="004D1314" w:rsidRDefault="009F33CD" w:rsidP="00A63BEB">
            <w:pPr>
              <w:spacing w:before="0" w:beforeAutospacing="0" w:after="0" w:afterAutospacing="0" w:line="240" w:lineRule="auto"/>
              <w:jc w:val="center"/>
              <w:rPr>
                <w:rFonts w:cs="Times New Roman"/>
                <w:bCs/>
                <w:szCs w:val="24"/>
              </w:rPr>
            </w:pPr>
          </w:p>
        </w:tc>
      </w:tr>
      <w:tr w:rsidR="009F33CD" w:rsidRPr="004D1314" w14:paraId="6CB4592E" w14:textId="77777777" w:rsidTr="00A63BEB">
        <w:trPr>
          <w:cantSplit/>
          <w:trHeight w:val="152"/>
        </w:trPr>
        <w:tc>
          <w:tcPr>
            <w:tcW w:w="600" w:type="dxa"/>
            <w:vMerge w:val="restart"/>
          </w:tcPr>
          <w:p w14:paraId="203F5C71"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w:t>
            </w:r>
          </w:p>
        </w:tc>
        <w:tc>
          <w:tcPr>
            <w:tcW w:w="1307" w:type="dxa"/>
          </w:tcPr>
          <w:p w14:paraId="39CA289A"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(Constant)</w:t>
            </w:r>
          </w:p>
        </w:tc>
        <w:tc>
          <w:tcPr>
            <w:tcW w:w="1167" w:type="dxa"/>
          </w:tcPr>
          <w:p w14:paraId="1B8475B6"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1.074</w:t>
            </w:r>
          </w:p>
        </w:tc>
        <w:tc>
          <w:tcPr>
            <w:tcW w:w="1248" w:type="dxa"/>
          </w:tcPr>
          <w:p w14:paraId="43A491D2"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.672</w:t>
            </w:r>
          </w:p>
        </w:tc>
        <w:tc>
          <w:tcPr>
            <w:tcW w:w="1412" w:type="dxa"/>
            <w:vAlign w:val="center"/>
          </w:tcPr>
          <w:p w14:paraId="1B7B02CD" w14:textId="77777777" w:rsidR="009F33CD" w:rsidRPr="004D1314" w:rsidRDefault="009F33CD" w:rsidP="00F75083">
            <w:pPr>
              <w:spacing w:before="0" w:beforeAutospacing="0" w:after="0" w:afterAutospacing="0" w:line="240" w:lineRule="auto"/>
              <w:rPr>
                <w:rFonts w:cs="Times New Roman"/>
                <w:bCs/>
                <w:szCs w:val="24"/>
              </w:rPr>
            </w:pPr>
          </w:p>
        </w:tc>
        <w:tc>
          <w:tcPr>
            <w:tcW w:w="1412" w:type="dxa"/>
          </w:tcPr>
          <w:p w14:paraId="59274052"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1.600</w:t>
            </w:r>
          </w:p>
        </w:tc>
        <w:tc>
          <w:tcPr>
            <w:tcW w:w="1320" w:type="dxa"/>
          </w:tcPr>
          <w:p w14:paraId="51DB7F6D"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.013</w:t>
            </w:r>
          </w:p>
        </w:tc>
      </w:tr>
      <w:tr w:rsidR="009F33CD" w:rsidRPr="004D1314" w14:paraId="3A99E6AB" w14:textId="77777777" w:rsidTr="00A63BEB">
        <w:trPr>
          <w:cantSplit/>
          <w:trHeight w:val="278"/>
        </w:trPr>
        <w:tc>
          <w:tcPr>
            <w:tcW w:w="600" w:type="dxa"/>
            <w:vMerge/>
          </w:tcPr>
          <w:p w14:paraId="5DCE18B8"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469730F9"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1</w:t>
            </w:r>
          </w:p>
        </w:tc>
        <w:tc>
          <w:tcPr>
            <w:tcW w:w="1167" w:type="dxa"/>
          </w:tcPr>
          <w:p w14:paraId="313E8A0A"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.142</w:t>
            </w:r>
          </w:p>
        </w:tc>
        <w:tc>
          <w:tcPr>
            <w:tcW w:w="1248" w:type="dxa"/>
          </w:tcPr>
          <w:p w14:paraId="47426358"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.343</w:t>
            </w:r>
          </w:p>
        </w:tc>
        <w:tc>
          <w:tcPr>
            <w:tcW w:w="1412" w:type="dxa"/>
          </w:tcPr>
          <w:p w14:paraId="58EA0C4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.105</w:t>
            </w:r>
          </w:p>
        </w:tc>
        <w:tc>
          <w:tcPr>
            <w:tcW w:w="1412" w:type="dxa"/>
          </w:tcPr>
          <w:p w14:paraId="25E5A316"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.415</w:t>
            </w:r>
          </w:p>
        </w:tc>
        <w:tc>
          <w:tcPr>
            <w:tcW w:w="1320" w:type="dxa"/>
          </w:tcPr>
          <w:p w14:paraId="75AE4BAB"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.009</w:t>
            </w:r>
          </w:p>
        </w:tc>
      </w:tr>
      <w:tr w:rsidR="009F33CD" w:rsidRPr="004D1314" w14:paraId="6CB8E4CE" w14:textId="77777777" w:rsidTr="00A63BEB">
        <w:trPr>
          <w:cantSplit/>
          <w:trHeight w:val="211"/>
        </w:trPr>
        <w:tc>
          <w:tcPr>
            <w:tcW w:w="600" w:type="dxa"/>
            <w:vMerge/>
          </w:tcPr>
          <w:p w14:paraId="3D32F83A"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67699532"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2</w:t>
            </w:r>
          </w:p>
        </w:tc>
        <w:tc>
          <w:tcPr>
            <w:tcW w:w="1167" w:type="dxa"/>
          </w:tcPr>
          <w:p w14:paraId="588D8DFB"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.260</w:t>
            </w:r>
          </w:p>
        </w:tc>
        <w:tc>
          <w:tcPr>
            <w:tcW w:w="1248" w:type="dxa"/>
          </w:tcPr>
          <w:p w14:paraId="498CC8D3"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.298</w:t>
            </w:r>
          </w:p>
        </w:tc>
        <w:tc>
          <w:tcPr>
            <w:tcW w:w="1412" w:type="dxa"/>
          </w:tcPr>
          <w:p w14:paraId="39011D0C"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.226</w:t>
            </w:r>
          </w:p>
        </w:tc>
        <w:tc>
          <w:tcPr>
            <w:tcW w:w="1412" w:type="dxa"/>
          </w:tcPr>
          <w:p w14:paraId="7AC41964"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.873</w:t>
            </w:r>
          </w:p>
        </w:tc>
        <w:tc>
          <w:tcPr>
            <w:tcW w:w="1320" w:type="dxa"/>
          </w:tcPr>
          <w:p w14:paraId="500F0ED5"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.005</w:t>
            </w:r>
          </w:p>
        </w:tc>
      </w:tr>
      <w:tr w:rsidR="009F33CD" w:rsidRPr="004D1314" w14:paraId="7799F7CF" w14:textId="77777777" w:rsidTr="00A63BEB">
        <w:trPr>
          <w:cantSplit/>
          <w:trHeight w:val="73"/>
        </w:trPr>
        <w:tc>
          <w:tcPr>
            <w:tcW w:w="600" w:type="dxa"/>
            <w:vMerge/>
          </w:tcPr>
          <w:p w14:paraId="0C2EB477"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76CDF5FF"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3</w:t>
            </w:r>
          </w:p>
        </w:tc>
        <w:tc>
          <w:tcPr>
            <w:tcW w:w="1167" w:type="dxa"/>
          </w:tcPr>
          <w:p w14:paraId="56631D63"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.487</w:t>
            </w:r>
          </w:p>
        </w:tc>
        <w:tc>
          <w:tcPr>
            <w:tcW w:w="1248" w:type="dxa"/>
          </w:tcPr>
          <w:p w14:paraId="336B529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.327</w:t>
            </w:r>
          </w:p>
        </w:tc>
        <w:tc>
          <w:tcPr>
            <w:tcW w:w="1412" w:type="dxa"/>
          </w:tcPr>
          <w:p w14:paraId="374BDC0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.413</w:t>
            </w:r>
          </w:p>
        </w:tc>
        <w:tc>
          <w:tcPr>
            <w:tcW w:w="1412" w:type="dxa"/>
          </w:tcPr>
          <w:p w14:paraId="74448700"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1.489</w:t>
            </w:r>
          </w:p>
        </w:tc>
        <w:tc>
          <w:tcPr>
            <w:tcW w:w="1320" w:type="dxa"/>
          </w:tcPr>
          <w:p w14:paraId="03FC0D61"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.039</w:t>
            </w:r>
          </w:p>
        </w:tc>
      </w:tr>
      <w:tr w:rsidR="009F33CD" w:rsidRPr="004D1314" w14:paraId="43225750" w14:textId="77777777" w:rsidTr="00A63BEB">
        <w:trPr>
          <w:cantSplit/>
          <w:trHeight w:val="181"/>
        </w:trPr>
        <w:tc>
          <w:tcPr>
            <w:tcW w:w="600" w:type="dxa"/>
            <w:vMerge/>
          </w:tcPr>
          <w:p w14:paraId="68C4BB87"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5E5B29A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4</w:t>
            </w:r>
          </w:p>
        </w:tc>
        <w:tc>
          <w:tcPr>
            <w:tcW w:w="1167" w:type="dxa"/>
          </w:tcPr>
          <w:p w14:paraId="6A598597"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.703</w:t>
            </w:r>
          </w:p>
        </w:tc>
        <w:tc>
          <w:tcPr>
            <w:tcW w:w="1248" w:type="dxa"/>
          </w:tcPr>
          <w:p w14:paraId="0766EC38"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.392</w:t>
            </w:r>
          </w:p>
        </w:tc>
        <w:tc>
          <w:tcPr>
            <w:tcW w:w="1412" w:type="dxa"/>
          </w:tcPr>
          <w:p w14:paraId="1280C536"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.483</w:t>
            </w:r>
          </w:p>
        </w:tc>
        <w:tc>
          <w:tcPr>
            <w:tcW w:w="1412" w:type="dxa"/>
          </w:tcPr>
          <w:p w14:paraId="711A6A2D"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1.795</w:t>
            </w:r>
          </w:p>
        </w:tc>
        <w:tc>
          <w:tcPr>
            <w:tcW w:w="1320" w:type="dxa"/>
          </w:tcPr>
          <w:p w14:paraId="1D683E14"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.043</w:t>
            </w:r>
          </w:p>
        </w:tc>
      </w:tr>
      <w:tr w:rsidR="009F33CD" w:rsidRPr="004D1314" w14:paraId="168D016F" w14:textId="77777777" w:rsidTr="00A63BEB">
        <w:trPr>
          <w:cantSplit/>
          <w:trHeight w:val="181"/>
        </w:trPr>
        <w:tc>
          <w:tcPr>
            <w:tcW w:w="600" w:type="dxa"/>
            <w:vMerge/>
          </w:tcPr>
          <w:p w14:paraId="177C6DEF"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1B922372"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Z</w:t>
            </w:r>
          </w:p>
        </w:tc>
        <w:tc>
          <w:tcPr>
            <w:tcW w:w="1167" w:type="dxa"/>
          </w:tcPr>
          <w:p w14:paraId="50669A0A"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.271</w:t>
            </w:r>
          </w:p>
        </w:tc>
        <w:tc>
          <w:tcPr>
            <w:tcW w:w="1248" w:type="dxa"/>
          </w:tcPr>
          <w:p w14:paraId="0B30525E"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.089</w:t>
            </w:r>
          </w:p>
        </w:tc>
        <w:tc>
          <w:tcPr>
            <w:tcW w:w="1412" w:type="dxa"/>
          </w:tcPr>
          <w:p w14:paraId="57D4A6BB"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1.123</w:t>
            </w:r>
          </w:p>
        </w:tc>
        <w:tc>
          <w:tcPr>
            <w:tcW w:w="1412" w:type="dxa"/>
          </w:tcPr>
          <w:p w14:paraId="140D31D2"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3.034</w:t>
            </w:r>
          </w:p>
        </w:tc>
        <w:tc>
          <w:tcPr>
            <w:tcW w:w="1320" w:type="dxa"/>
          </w:tcPr>
          <w:p w14:paraId="593D0F9E"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.002</w:t>
            </w:r>
          </w:p>
        </w:tc>
      </w:tr>
      <w:tr w:rsidR="009F33CD" w:rsidRPr="004D1314" w14:paraId="14E5A941" w14:textId="77777777" w:rsidTr="00A63BEB">
        <w:trPr>
          <w:cantSplit/>
          <w:trHeight w:val="211"/>
        </w:trPr>
        <w:tc>
          <w:tcPr>
            <w:tcW w:w="600" w:type="dxa"/>
            <w:vMerge/>
          </w:tcPr>
          <w:p w14:paraId="3A7CBB6B"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5E2EC54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1</w:t>
            </w:r>
            <w:r w:rsidRPr="004D1314">
              <w:rPr>
                <w:szCs w:val="24"/>
              </w:rPr>
              <w:t>*</w:t>
            </w:r>
            <w:r w:rsidRPr="004D1314">
              <w:rPr>
                <w:rFonts w:cs="Times New Roman"/>
                <w:bCs/>
                <w:szCs w:val="24"/>
              </w:rPr>
              <w:t>Z</w:t>
            </w:r>
          </w:p>
        </w:tc>
        <w:tc>
          <w:tcPr>
            <w:tcW w:w="1167" w:type="dxa"/>
          </w:tcPr>
          <w:p w14:paraId="4352DA42"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.143</w:t>
            </w:r>
          </w:p>
        </w:tc>
        <w:tc>
          <w:tcPr>
            <w:tcW w:w="1248" w:type="dxa"/>
          </w:tcPr>
          <w:p w14:paraId="5C8BE8EC"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.058</w:t>
            </w:r>
          </w:p>
        </w:tc>
        <w:tc>
          <w:tcPr>
            <w:tcW w:w="1412" w:type="dxa"/>
          </w:tcPr>
          <w:p w14:paraId="7E73827E"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.054</w:t>
            </w:r>
          </w:p>
        </w:tc>
        <w:tc>
          <w:tcPr>
            <w:tcW w:w="1412" w:type="dxa"/>
          </w:tcPr>
          <w:p w14:paraId="30621708"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2.466</w:t>
            </w:r>
          </w:p>
        </w:tc>
        <w:tc>
          <w:tcPr>
            <w:tcW w:w="1320" w:type="dxa"/>
          </w:tcPr>
          <w:p w14:paraId="3E1A601A"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.040</w:t>
            </w:r>
          </w:p>
        </w:tc>
      </w:tr>
      <w:tr w:rsidR="009F33CD" w:rsidRPr="004D1314" w14:paraId="307DEC72" w14:textId="77777777" w:rsidTr="00A63BEB">
        <w:trPr>
          <w:cantSplit/>
          <w:trHeight w:val="229"/>
        </w:trPr>
        <w:tc>
          <w:tcPr>
            <w:tcW w:w="600" w:type="dxa"/>
            <w:vMerge/>
          </w:tcPr>
          <w:p w14:paraId="499AD3FE"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53C385A6"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2</w:t>
            </w:r>
            <w:r w:rsidRPr="004D1314">
              <w:rPr>
                <w:szCs w:val="24"/>
              </w:rPr>
              <w:t>*</w:t>
            </w:r>
            <w:r w:rsidRPr="004D1314">
              <w:rPr>
                <w:rFonts w:cs="Times New Roman"/>
                <w:bCs/>
                <w:szCs w:val="24"/>
              </w:rPr>
              <w:t>Z</w:t>
            </w:r>
          </w:p>
        </w:tc>
        <w:tc>
          <w:tcPr>
            <w:tcW w:w="1167" w:type="dxa"/>
          </w:tcPr>
          <w:p w14:paraId="0EEB0AFF"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.150</w:t>
            </w:r>
          </w:p>
        </w:tc>
        <w:tc>
          <w:tcPr>
            <w:tcW w:w="1248" w:type="dxa"/>
          </w:tcPr>
          <w:p w14:paraId="6A119C5F"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.069</w:t>
            </w:r>
          </w:p>
        </w:tc>
        <w:tc>
          <w:tcPr>
            <w:tcW w:w="1412" w:type="dxa"/>
          </w:tcPr>
          <w:p w14:paraId="40A8CA25"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.850</w:t>
            </w:r>
          </w:p>
        </w:tc>
        <w:tc>
          <w:tcPr>
            <w:tcW w:w="1412" w:type="dxa"/>
          </w:tcPr>
          <w:p w14:paraId="265FBAEB"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2.174</w:t>
            </w:r>
          </w:p>
        </w:tc>
        <w:tc>
          <w:tcPr>
            <w:tcW w:w="1320" w:type="dxa"/>
          </w:tcPr>
          <w:p w14:paraId="41929C2B"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.004</w:t>
            </w:r>
          </w:p>
        </w:tc>
      </w:tr>
      <w:tr w:rsidR="009F33CD" w:rsidRPr="004D1314" w14:paraId="0ABD015C" w14:textId="77777777" w:rsidTr="00A63BEB">
        <w:trPr>
          <w:cantSplit/>
          <w:trHeight w:val="259"/>
        </w:trPr>
        <w:tc>
          <w:tcPr>
            <w:tcW w:w="600" w:type="dxa"/>
            <w:vMerge/>
          </w:tcPr>
          <w:p w14:paraId="69E4AE8C"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Pr>
          <w:p w14:paraId="05092899"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3</w:t>
            </w:r>
            <w:r w:rsidRPr="004D1314">
              <w:rPr>
                <w:szCs w:val="24"/>
              </w:rPr>
              <w:t>*</w:t>
            </w:r>
            <w:r w:rsidRPr="004D1314">
              <w:rPr>
                <w:rFonts w:cs="Times New Roman"/>
                <w:bCs/>
                <w:szCs w:val="24"/>
              </w:rPr>
              <w:t>Z</w:t>
            </w:r>
          </w:p>
        </w:tc>
        <w:tc>
          <w:tcPr>
            <w:tcW w:w="1167" w:type="dxa"/>
          </w:tcPr>
          <w:p w14:paraId="4B673319"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.129</w:t>
            </w:r>
          </w:p>
        </w:tc>
        <w:tc>
          <w:tcPr>
            <w:tcW w:w="1248" w:type="dxa"/>
          </w:tcPr>
          <w:p w14:paraId="512024CA"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.063</w:t>
            </w:r>
          </w:p>
        </w:tc>
        <w:tc>
          <w:tcPr>
            <w:tcW w:w="1412" w:type="dxa"/>
          </w:tcPr>
          <w:p w14:paraId="59304A00"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.598</w:t>
            </w:r>
          </w:p>
        </w:tc>
        <w:tc>
          <w:tcPr>
            <w:tcW w:w="1412" w:type="dxa"/>
          </w:tcPr>
          <w:p w14:paraId="2C93BC11"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2.048</w:t>
            </w:r>
          </w:p>
        </w:tc>
        <w:tc>
          <w:tcPr>
            <w:tcW w:w="1320" w:type="dxa"/>
          </w:tcPr>
          <w:p w14:paraId="3AA29864"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.003</w:t>
            </w:r>
          </w:p>
        </w:tc>
      </w:tr>
      <w:tr w:rsidR="009F33CD" w:rsidRPr="004D1314" w14:paraId="7D10DFED" w14:textId="77777777" w:rsidTr="00A63BEB">
        <w:trPr>
          <w:cantSplit/>
          <w:trHeight w:val="445"/>
        </w:trPr>
        <w:tc>
          <w:tcPr>
            <w:tcW w:w="600" w:type="dxa"/>
            <w:vMerge/>
            <w:tcBorders>
              <w:bottom w:val="single" w:sz="4" w:space="0" w:color="auto"/>
            </w:tcBorders>
          </w:tcPr>
          <w:p w14:paraId="0FE9CF69" w14:textId="77777777" w:rsidR="009F33CD" w:rsidRPr="004D1314" w:rsidRDefault="009F33CD" w:rsidP="00F75083">
            <w:pPr>
              <w:spacing w:before="0" w:beforeAutospacing="0" w:after="0" w:afterAutospacing="0" w:line="240" w:lineRule="auto"/>
              <w:rPr>
                <w:rFonts w:cs="Times New Roman"/>
                <w:bCs/>
                <w:szCs w:val="24"/>
              </w:rPr>
            </w:pPr>
          </w:p>
        </w:tc>
        <w:tc>
          <w:tcPr>
            <w:tcW w:w="1307" w:type="dxa"/>
            <w:tcBorders>
              <w:bottom w:val="single" w:sz="4" w:space="0" w:color="auto"/>
            </w:tcBorders>
          </w:tcPr>
          <w:p w14:paraId="17C6B056"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X</w:t>
            </w:r>
            <w:r w:rsidRPr="004D1314">
              <w:rPr>
                <w:rFonts w:cs="Times New Roman"/>
                <w:bCs/>
                <w:szCs w:val="24"/>
                <w:vertAlign w:val="subscript"/>
              </w:rPr>
              <w:t>4</w:t>
            </w:r>
            <w:r w:rsidRPr="004D1314">
              <w:rPr>
                <w:szCs w:val="24"/>
              </w:rPr>
              <w:t>*</w:t>
            </w:r>
            <w:r w:rsidRPr="004D1314">
              <w:rPr>
                <w:rFonts w:cs="Times New Roman"/>
                <w:bCs/>
                <w:szCs w:val="24"/>
              </w:rPr>
              <w:t>Z</w:t>
            </w:r>
          </w:p>
        </w:tc>
        <w:tc>
          <w:tcPr>
            <w:tcW w:w="1167" w:type="dxa"/>
            <w:tcBorders>
              <w:bottom w:val="single" w:sz="4" w:space="0" w:color="auto"/>
            </w:tcBorders>
          </w:tcPr>
          <w:p w14:paraId="3C6787C4"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.135</w:t>
            </w:r>
          </w:p>
        </w:tc>
        <w:tc>
          <w:tcPr>
            <w:tcW w:w="1248" w:type="dxa"/>
            <w:tcBorders>
              <w:bottom w:val="single" w:sz="4" w:space="0" w:color="auto"/>
            </w:tcBorders>
          </w:tcPr>
          <w:p w14:paraId="6AD050B4"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.065</w:t>
            </w:r>
          </w:p>
        </w:tc>
        <w:tc>
          <w:tcPr>
            <w:tcW w:w="1412" w:type="dxa"/>
            <w:tcBorders>
              <w:bottom w:val="single" w:sz="4" w:space="0" w:color="auto"/>
            </w:tcBorders>
          </w:tcPr>
          <w:p w14:paraId="54B4F5D0" w14:textId="77777777" w:rsidR="009F33CD" w:rsidRPr="004D1314" w:rsidRDefault="00E40740" w:rsidP="00F75083">
            <w:pPr>
              <w:spacing w:before="0" w:beforeAutospacing="0" w:after="0" w:afterAutospacing="0" w:line="240" w:lineRule="auto"/>
              <w:rPr>
                <w:rFonts w:cs="Times New Roman"/>
                <w:bCs/>
                <w:szCs w:val="24"/>
              </w:rPr>
            </w:pPr>
            <w:r w:rsidRPr="004D1314">
              <w:rPr>
                <w:rFonts w:cs="Times New Roman"/>
                <w:bCs/>
                <w:szCs w:val="24"/>
              </w:rPr>
              <w:t>1.194</w:t>
            </w:r>
          </w:p>
        </w:tc>
        <w:tc>
          <w:tcPr>
            <w:tcW w:w="1412" w:type="dxa"/>
            <w:tcBorders>
              <w:bottom w:val="single" w:sz="4" w:space="0" w:color="auto"/>
            </w:tcBorders>
          </w:tcPr>
          <w:p w14:paraId="3D47001C"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2.077</w:t>
            </w:r>
          </w:p>
        </w:tc>
        <w:tc>
          <w:tcPr>
            <w:tcW w:w="1320" w:type="dxa"/>
            <w:tcBorders>
              <w:bottom w:val="single" w:sz="4" w:space="0" w:color="auto"/>
            </w:tcBorders>
          </w:tcPr>
          <w:p w14:paraId="67DBF9F3" w14:textId="77777777" w:rsidR="009F33CD" w:rsidRPr="004D1314" w:rsidRDefault="00E40740" w:rsidP="00A63BEB">
            <w:pPr>
              <w:spacing w:before="0" w:beforeAutospacing="0" w:after="0" w:afterAutospacing="0" w:line="240" w:lineRule="auto"/>
              <w:jc w:val="center"/>
              <w:rPr>
                <w:rFonts w:cs="Times New Roman"/>
                <w:bCs/>
                <w:szCs w:val="24"/>
              </w:rPr>
            </w:pPr>
            <w:r w:rsidRPr="004D1314">
              <w:rPr>
                <w:rFonts w:cs="Times New Roman"/>
                <w:bCs/>
                <w:szCs w:val="24"/>
              </w:rPr>
              <w:t>.004</w:t>
            </w:r>
          </w:p>
        </w:tc>
      </w:tr>
      <w:tr w:rsidR="00F75083" w:rsidRPr="004D1314" w14:paraId="367D4ECB" w14:textId="77777777" w:rsidTr="00F75083">
        <w:trPr>
          <w:cantSplit/>
          <w:trHeight w:val="445"/>
        </w:trPr>
        <w:tc>
          <w:tcPr>
            <w:tcW w:w="8466" w:type="dxa"/>
            <w:gridSpan w:val="7"/>
            <w:tcBorders>
              <w:top w:val="single" w:sz="4" w:space="0" w:color="auto"/>
              <w:bottom w:val="nil"/>
            </w:tcBorders>
          </w:tcPr>
          <w:p w14:paraId="0B6B8295" w14:textId="77777777" w:rsidR="00F75083" w:rsidRPr="004D1314" w:rsidRDefault="00F75083" w:rsidP="00F75083">
            <w:pPr>
              <w:spacing w:before="0" w:beforeAutospacing="0" w:line="240" w:lineRule="auto"/>
              <w:rPr>
                <w:rFonts w:cs="Times New Roman"/>
                <w:bCs/>
                <w:sz w:val="20"/>
              </w:rPr>
            </w:pPr>
            <w:r w:rsidRPr="004D1314">
              <w:rPr>
                <w:rFonts w:cs="Times New Roman"/>
                <w:bCs/>
                <w:sz w:val="20"/>
              </w:rPr>
              <w:t>Yi= Performance, X</w:t>
            </w:r>
            <w:r w:rsidRPr="004D1314">
              <w:rPr>
                <w:rFonts w:cs="Times New Roman"/>
                <w:bCs/>
                <w:sz w:val="20"/>
                <w:vertAlign w:val="subscript"/>
              </w:rPr>
              <w:t>1</w:t>
            </w:r>
            <w:r w:rsidRPr="004D1314">
              <w:rPr>
                <w:rFonts w:cs="Times New Roman"/>
                <w:bCs/>
                <w:sz w:val="20"/>
              </w:rPr>
              <w:t>= Green Employee Resourcing, X</w:t>
            </w:r>
            <w:r w:rsidRPr="004D1314">
              <w:rPr>
                <w:rFonts w:cs="Times New Roman"/>
                <w:bCs/>
                <w:sz w:val="20"/>
                <w:vertAlign w:val="subscript"/>
              </w:rPr>
              <w:t>2</w:t>
            </w:r>
            <w:r w:rsidRPr="004D1314">
              <w:rPr>
                <w:rFonts w:cs="Times New Roman"/>
                <w:bCs/>
                <w:sz w:val="20"/>
              </w:rPr>
              <w:t xml:space="preserve"> = green Training, X</w:t>
            </w:r>
            <w:r w:rsidRPr="004D1314">
              <w:rPr>
                <w:rFonts w:cs="Times New Roman"/>
                <w:bCs/>
                <w:sz w:val="20"/>
                <w:vertAlign w:val="subscript"/>
              </w:rPr>
              <w:t>3</w:t>
            </w:r>
            <w:r w:rsidRPr="004D1314">
              <w:rPr>
                <w:rFonts w:cs="Times New Roman"/>
                <w:bCs/>
                <w:sz w:val="20"/>
              </w:rPr>
              <w:t>= Green occupational safety and health, X</w:t>
            </w:r>
            <w:r w:rsidRPr="004D1314">
              <w:rPr>
                <w:rFonts w:cs="Times New Roman"/>
                <w:bCs/>
                <w:sz w:val="20"/>
                <w:vertAlign w:val="subscript"/>
              </w:rPr>
              <w:t>4</w:t>
            </w:r>
            <w:r w:rsidRPr="004D1314">
              <w:rPr>
                <w:rFonts w:cs="Times New Roman"/>
                <w:bCs/>
                <w:sz w:val="20"/>
              </w:rPr>
              <w:t xml:space="preserve"> = Green performance Evaluation and Z= Management Style- moderating variable </w:t>
            </w:r>
          </w:p>
        </w:tc>
      </w:tr>
    </w:tbl>
    <w:p w14:paraId="00449239" w14:textId="77777777" w:rsidR="00FD31EA" w:rsidRDefault="00FD31EA">
      <w:pPr>
        <w:spacing w:after="240"/>
        <w:rPr>
          <w:rFonts w:cs="Times New Roman"/>
          <w:bCs/>
        </w:rPr>
      </w:pPr>
    </w:p>
    <w:p w14:paraId="61AA4B54" w14:textId="77777777" w:rsidR="009F33CD" w:rsidRDefault="00A63BEB">
      <w:pPr>
        <w:spacing w:after="240"/>
        <w:rPr>
          <w:rFonts w:cs="Times New Roman"/>
          <w:bCs/>
        </w:rPr>
      </w:pPr>
      <w:r>
        <w:rPr>
          <w:rFonts w:cs="Times New Roman"/>
          <w:bCs/>
        </w:rPr>
        <w:lastRenderedPageBreak/>
        <w:t>The findings in Table 4.46</w:t>
      </w:r>
      <w:r w:rsidR="00E40740">
        <w:rPr>
          <w:rFonts w:cs="Times New Roman"/>
          <w:bCs/>
        </w:rPr>
        <w:t xml:space="preserve"> show the intercept (1.074) which indicates the expected value of Y when all the independent variables and the moderator Z are zero. The results indicate that Z positively influences X on Yi, thus;  X</w:t>
      </w:r>
      <w:r w:rsidR="00E40740">
        <w:rPr>
          <w:rFonts w:cs="Times New Roman"/>
          <w:bCs/>
          <w:vertAlign w:val="subscript"/>
        </w:rPr>
        <w:t>1</w:t>
      </w:r>
      <w:r w:rsidR="00E40740">
        <w:rPr>
          <w:rFonts w:cs="Times New Roman"/>
          <w:bCs/>
        </w:rPr>
        <w:t xml:space="preserve"> (0.142) means that for each one-unit increase in X</w:t>
      </w:r>
      <w:r w:rsidR="00E40740">
        <w:rPr>
          <w:rFonts w:cs="Times New Roman"/>
          <w:bCs/>
          <w:vertAlign w:val="subscript"/>
        </w:rPr>
        <w:t>1</w:t>
      </w:r>
      <w:r w:rsidR="00E40740">
        <w:rPr>
          <w:rFonts w:cs="Times New Roman"/>
          <w:bCs/>
        </w:rPr>
        <w:t>, Yi increases by 0.142, holding all other variables constant; X</w:t>
      </w:r>
      <w:r w:rsidR="00E40740">
        <w:rPr>
          <w:rFonts w:cs="Times New Roman"/>
          <w:bCs/>
          <w:vertAlign w:val="subscript"/>
        </w:rPr>
        <w:t>2</w:t>
      </w:r>
      <w:r w:rsidR="00E40740">
        <w:rPr>
          <w:rFonts w:cs="Times New Roman"/>
          <w:bCs/>
        </w:rPr>
        <w:t xml:space="preserve"> (0.260) implies that for each one-unit increase in X</w:t>
      </w:r>
      <w:r w:rsidR="00E40740">
        <w:rPr>
          <w:rFonts w:cs="Times New Roman"/>
          <w:bCs/>
          <w:vertAlign w:val="subscript"/>
        </w:rPr>
        <w:t>2</w:t>
      </w:r>
      <w:r w:rsidR="00E40740">
        <w:rPr>
          <w:rFonts w:cs="Times New Roman"/>
          <w:bCs/>
        </w:rPr>
        <w:t>, Yi increases by 0.260, holding all other variables constant; X</w:t>
      </w:r>
      <w:r w:rsidR="00E40740">
        <w:rPr>
          <w:rFonts w:cs="Times New Roman"/>
          <w:bCs/>
          <w:vertAlign w:val="subscript"/>
        </w:rPr>
        <w:t>3</w:t>
      </w:r>
      <w:r w:rsidR="00E40740">
        <w:rPr>
          <w:rFonts w:cs="Times New Roman"/>
          <w:bCs/>
        </w:rPr>
        <w:t xml:space="preserve"> (0.487) implies that for each one-unit increase of X</w:t>
      </w:r>
      <w:r w:rsidR="00E40740">
        <w:rPr>
          <w:rFonts w:cs="Times New Roman"/>
          <w:bCs/>
          <w:vertAlign w:val="subscript"/>
        </w:rPr>
        <w:t>3</w:t>
      </w:r>
      <w:r w:rsidR="00E40740">
        <w:rPr>
          <w:rFonts w:cs="Times New Roman"/>
          <w:bCs/>
        </w:rPr>
        <w:t>, Yi increases by 0.487, holding all other variables constant; X</w:t>
      </w:r>
      <w:r w:rsidR="00E40740">
        <w:rPr>
          <w:rFonts w:cs="Times New Roman"/>
          <w:bCs/>
          <w:vertAlign w:val="subscript"/>
        </w:rPr>
        <w:t>4</w:t>
      </w:r>
      <w:r w:rsidR="00E40740">
        <w:rPr>
          <w:rFonts w:cs="Times New Roman"/>
          <w:bCs/>
        </w:rPr>
        <w:t xml:space="preserve"> (0.703) means that for each one-unit increase in X</w:t>
      </w:r>
      <w:r w:rsidR="00E40740">
        <w:rPr>
          <w:rFonts w:cs="Times New Roman"/>
          <w:bCs/>
          <w:vertAlign w:val="subscript"/>
        </w:rPr>
        <w:t>4</w:t>
      </w:r>
      <w:r w:rsidR="00E40740">
        <w:rPr>
          <w:rFonts w:cs="Times New Roman"/>
          <w:bCs/>
        </w:rPr>
        <w:t xml:space="preserve">, Yi increases by 0.703, and lastly, Z (0.271) show that for each one-unit increase of Z, Yi increases by 0.271, holding all other variables constant. </w:t>
      </w:r>
    </w:p>
    <w:p w14:paraId="5D18BF50" w14:textId="77777777" w:rsidR="009F33CD" w:rsidRDefault="00E40740">
      <w:pPr>
        <w:spacing w:after="240"/>
        <w:rPr>
          <w:rFonts w:cs="Times New Roman"/>
          <w:bCs/>
        </w:rPr>
      </w:pPr>
      <w:r>
        <w:rPr>
          <w:rFonts w:cs="Times New Roman"/>
          <w:bCs/>
        </w:rPr>
        <w:t>Fin</w:t>
      </w:r>
      <w:r w:rsidR="00A63BEB">
        <w:rPr>
          <w:rFonts w:cs="Times New Roman"/>
          <w:bCs/>
        </w:rPr>
        <w:t>ally, the findings in Table 4.46</w:t>
      </w:r>
      <w:r>
        <w:rPr>
          <w:rFonts w:cs="Times New Roman"/>
          <w:bCs/>
        </w:rPr>
        <w:t xml:space="preserve"> indicate the interaction effects of the moderating variable- management style. The results show that the coefficient for X</w:t>
      </w:r>
      <w:r>
        <w:rPr>
          <w:rFonts w:cs="Times New Roman"/>
          <w:bCs/>
          <w:vertAlign w:val="subscript"/>
        </w:rPr>
        <w:t>1</w:t>
      </w:r>
      <w:r>
        <w:rPr>
          <w:rFonts w:cs="Times New Roman"/>
          <w:bCs/>
        </w:rPr>
        <w:t>*Z is 0.143. This implies that the relationship between X</w:t>
      </w:r>
      <w:r>
        <w:rPr>
          <w:rFonts w:cs="Times New Roman"/>
          <w:bCs/>
          <w:vertAlign w:val="subscript"/>
        </w:rPr>
        <w:t>1</w:t>
      </w:r>
      <w:r>
        <w:rPr>
          <w:rFonts w:cs="Times New Roman"/>
          <w:bCs/>
        </w:rPr>
        <w:t xml:space="preserve"> and the dependent variable is moderated by Z. When management style increases by 1 unit, the effect of green employee resourcing on the performance of devolved healthcare services in Kenya by 0.143 units. Since the coefficient is positive, it suggests that management style increases the effect of green employee resourcing on the performance of devolved healthcare services.</w:t>
      </w:r>
    </w:p>
    <w:p w14:paraId="19705A93" w14:textId="77777777" w:rsidR="009F33CD" w:rsidRDefault="00E40740">
      <w:pPr>
        <w:spacing w:after="240"/>
        <w:rPr>
          <w:rFonts w:cs="Times New Roman"/>
          <w:bCs/>
        </w:rPr>
      </w:pPr>
      <w:r>
        <w:rPr>
          <w:rFonts w:cs="Times New Roman"/>
          <w:bCs/>
        </w:rPr>
        <w:t>The findings also revealed that the coefficient for X</w:t>
      </w:r>
      <w:r>
        <w:rPr>
          <w:rFonts w:cs="Times New Roman"/>
          <w:bCs/>
          <w:vertAlign w:val="subscript"/>
        </w:rPr>
        <w:t>2</w:t>
      </w:r>
      <w:r>
        <w:rPr>
          <w:rFonts w:cs="Times New Roman"/>
          <w:bCs/>
        </w:rPr>
        <w:t>*Z is 0.150. This also indicates that the relationship between green training and the dependent variable is moderated by Z. When management style increases by 1 unit, the effect of green training on the performance of devolved healthcare services in Kenya increases by 0.150 units. Similar to X</w:t>
      </w:r>
      <w:r>
        <w:rPr>
          <w:rFonts w:cs="Times New Roman"/>
          <w:bCs/>
          <w:vertAlign w:val="subscript"/>
        </w:rPr>
        <w:t>1</w:t>
      </w:r>
      <w:r>
        <w:rPr>
          <w:rFonts w:cs="Times New Roman"/>
          <w:bCs/>
        </w:rPr>
        <w:t>*Z, this positive coefficient suggests that management style enhances the effect of Green Training on the dependent variable. Further, the findings revealed that the coefficient for X</w:t>
      </w:r>
      <w:r>
        <w:rPr>
          <w:rFonts w:cs="Times New Roman"/>
          <w:bCs/>
          <w:vertAlign w:val="subscript"/>
        </w:rPr>
        <w:t>3</w:t>
      </w:r>
      <w:r>
        <w:rPr>
          <w:rFonts w:cs="Times New Roman"/>
          <w:bCs/>
        </w:rPr>
        <w:t>*Z is 0.129. This indicates that the relationship between X</w:t>
      </w:r>
      <w:r>
        <w:rPr>
          <w:rFonts w:cs="Times New Roman"/>
          <w:bCs/>
          <w:vertAlign w:val="subscript"/>
        </w:rPr>
        <w:t>3</w:t>
      </w:r>
      <w:r>
        <w:rPr>
          <w:rFonts w:cs="Times New Roman"/>
          <w:bCs/>
        </w:rPr>
        <w:t xml:space="preserve"> and the dependent variable is moderated by Z. When management style increases by 1 unit, the effect of green occupational safety and health on the performance of devolved healthcare services increases by 0.129 units. The positive coefficient suggests that management style enhances the effect of green occupational safety and health on the performance of devolved healthcare services in Kenyan counties.</w:t>
      </w:r>
    </w:p>
    <w:p w14:paraId="064F6C35" w14:textId="77777777" w:rsidR="009F33CD" w:rsidRDefault="00E40740">
      <w:pPr>
        <w:spacing w:after="240"/>
        <w:rPr>
          <w:rFonts w:cs="Times New Roman"/>
          <w:bCs/>
        </w:rPr>
      </w:pPr>
      <w:r>
        <w:rPr>
          <w:rFonts w:cs="Times New Roman"/>
          <w:bCs/>
        </w:rPr>
        <w:lastRenderedPageBreak/>
        <w:t>Finally, the coefficient for X</w:t>
      </w:r>
      <w:r>
        <w:rPr>
          <w:rFonts w:cs="Times New Roman"/>
          <w:bCs/>
          <w:vertAlign w:val="subscript"/>
        </w:rPr>
        <w:t>4</w:t>
      </w:r>
      <w:r>
        <w:rPr>
          <w:rFonts w:cs="Times New Roman"/>
          <w:bCs/>
        </w:rPr>
        <w:t>*Z is 0.135. This indicates that the relationship between X</w:t>
      </w:r>
      <w:r>
        <w:rPr>
          <w:rFonts w:cs="Times New Roman"/>
          <w:bCs/>
          <w:vertAlign w:val="subscript"/>
        </w:rPr>
        <w:t>4</w:t>
      </w:r>
      <w:r>
        <w:rPr>
          <w:rFonts w:cs="Times New Roman"/>
          <w:bCs/>
        </w:rPr>
        <w:t xml:space="preserve"> and the dependent variable is moderated by Z. When management style increases by 1 unit, the effect of green performance evaluation on the performance of devolved healthcare services increases by 0.135 units. This positive coefficient suggests that management style enhances the effect of</w:t>
      </w:r>
      <w:r>
        <w:rPr>
          <w:rFonts w:cs="Times New Roman"/>
        </w:rPr>
        <w:t xml:space="preserve"> </w:t>
      </w:r>
      <w:r>
        <w:rPr>
          <w:rFonts w:cs="Times New Roman"/>
          <w:bCs/>
        </w:rPr>
        <w:t>green performance evaluation on the performance of devolved healthcare services in Kenya.</w:t>
      </w:r>
    </w:p>
    <w:p w14:paraId="2FF6E693" w14:textId="77777777" w:rsidR="009F33CD" w:rsidRDefault="00E40740">
      <w:pPr>
        <w:spacing w:after="240"/>
        <w:rPr>
          <w:rFonts w:cs="Times New Roman"/>
          <w:bCs/>
        </w:rPr>
      </w:pPr>
      <w:r>
        <w:rPr>
          <w:rFonts w:cs="Times New Roman"/>
          <w:bCs/>
          <w:lang w:val="af-ZA"/>
        </w:rPr>
        <w:t xml:space="preserve">In conclusion, the moderating variable (Z) has a significant positive effect on the dependent variable (Yi). </w:t>
      </w:r>
      <w:r>
        <w:rPr>
          <w:rFonts w:cs="Times New Roman"/>
          <w:bCs/>
        </w:rPr>
        <w:t>The interaction terms (X</w:t>
      </w:r>
      <w:r>
        <w:rPr>
          <w:rFonts w:cs="Times New Roman"/>
          <w:bCs/>
          <w:vertAlign w:val="subscript"/>
        </w:rPr>
        <w:t>1</w:t>
      </w:r>
      <w:r>
        <w:rPr>
          <w:rFonts w:cs="Times New Roman"/>
          <w:bCs/>
        </w:rPr>
        <w:t>*Z, X</w:t>
      </w:r>
      <w:r>
        <w:rPr>
          <w:rFonts w:cs="Times New Roman"/>
          <w:bCs/>
          <w:vertAlign w:val="subscript"/>
        </w:rPr>
        <w:t>2</w:t>
      </w:r>
      <w:r>
        <w:rPr>
          <w:rFonts w:cs="Times New Roman"/>
          <w:bCs/>
        </w:rPr>
        <w:t>*Z, X</w:t>
      </w:r>
      <w:r>
        <w:rPr>
          <w:rFonts w:cs="Times New Roman"/>
          <w:bCs/>
          <w:vertAlign w:val="subscript"/>
        </w:rPr>
        <w:t>3</w:t>
      </w:r>
      <w:r>
        <w:rPr>
          <w:rFonts w:cs="Times New Roman"/>
          <w:bCs/>
        </w:rPr>
        <w:t>*Z, X</w:t>
      </w:r>
      <w:r>
        <w:rPr>
          <w:rFonts w:cs="Times New Roman"/>
          <w:bCs/>
          <w:vertAlign w:val="subscript"/>
        </w:rPr>
        <w:t>4</w:t>
      </w:r>
      <w:r>
        <w:rPr>
          <w:rFonts w:cs="Times New Roman"/>
          <w:bCs/>
        </w:rPr>
        <w:t>*Z) are all significant, indicating that the relationships between X</w:t>
      </w:r>
      <w:r>
        <w:rPr>
          <w:rFonts w:cs="Times New Roman"/>
          <w:bCs/>
          <w:vertAlign w:val="subscript"/>
        </w:rPr>
        <w:t>1</w:t>
      </w:r>
      <w:r>
        <w:rPr>
          <w:rFonts w:cs="Times New Roman"/>
          <w:bCs/>
        </w:rPr>
        <w:t>, X</w:t>
      </w:r>
      <w:r>
        <w:rPr>
          <w:rFonts w:cs="Times New Roman"/>
          <w:bCs/>
          <w:vertAlign w:val="subscript"/>
        </w:rPr>
        <w:t>2</w:t>
      </w:r>
      <w:r>
        <w:rPr>
          <w:rFonts w:cs="Times New Roman"/>
          <w:bCs/>
        </w:rPr>
        <w:t>, X</w:t>
      </w:r>
      <w:r>
        <w:rPr>
          <w:rFonts w:cs="Times New Roman"/>
          <w:bCs/>
          <w:vertAlign w:val="subscript"/>
        </w:rPr>
        <w:t>3</w:t>
      </w:r>
      <w:r>
        <w:rPr>
          <w:rFonts w:cs="Times New Roman"/>
          <w:bCs/>
        </w:rPr>
        <w:t>, X</w:t>
      </w:r>
      <w:r>
        <w:rPr>
          <w:rFonts w:cs="Times New Roman"/>
          <w:bCs/>
          <w:vertAlign w:val="subscript"/>
        </w:rPr>
        <w:t>4</w:t>
      </w:r>
      <w:r>
        <w:rPr>
          <w:rFonts w:cs="Times New Roman"/>
          <w:bCs/>
        </w:rPr>
        <w:t xml:space="preserve"> and Yi are significantly and positively moderated by Z. The optimal multiple regression model when moderating variable is introduced is as follows;</w:t>
      </w:r>
    </w:p>
    <w:p w14:paraId="2DF86D85" w14:textId="77777777" w:rsidR="009F33CD" w:rsidRDefault="00E40740">
      <w:pPr>
        <w:spacing w:after="240"/>
        <w:rPr>
          <w:rFonts w:cs="Times New Roman"/>
        </w:rPr>
      </w:pPr>
      <w:bookmarkStart w:id="1568" w:name="_Hlk174351441"/>
      <w:r>
        <w:rPr>
          <w:rFonts w:cs="Times New Roman"/>
        </w:rPr>
        <w:t>Yi=1.074+0.142X</w:t>
      </w:r>
      <w:r>
        <w:rPr>
          <w:rFonts w:cs="Times New Roman"/>
          <w:vertAlign w:val="subscript"/>
        </w:rPr>
        <w:t>1</w:t>
      </w:r>
      <w:r>
        <w:rPr>
          <w:rFonts w:cs="Times New Roman"/>
        </w:rPr>
        <w:t>+0.260X</w:t>
      </w:r>
      <w:r>
        <w:rPr>
          <w:rFonts w:cs="Times New Roman"/>
          <w:vertAlign w:val="subscript"/>
        </w:rPr>
        <w:t>2</w:t>
      </w:r>
      <w:r>
        <w:rPr>
          <w:rFonts w:cs="Times New Roman"/>
        </w:rPr>
        <w:t>+0.487X</w:t>
      </w:r>
      <w:r>
        <w:rPr>
          <w:rFonts w:cs="Times New Roman"/>
          <w:vertAlign w:val="subscript"/>
        </w:rPr>
        <w:t>3</w:t>
      </w:r>
      <w:r>
        <w:rPr>
          <w:rFonts w:cs="Times New Roman"/>
        </w:rPr>
        <w:t>+0.703X</w:t>
      </w:r>
      <w:r>
        <w:rPr>
          <w:rFonts w:cs="Times New Roman"/>
          <w:vertAlign w:val="subscript"/>
        </w:rPr>
        <w:t>4</w:t>
      </w:r>
      <w:r>
        <w:rPr>
          <w:rFonts w:cs="Times New Roman"/>
        </w:rPr>
        <w:t>+0.271Z+</w:t>
      </w:r>
      <w:bookmarkStart w:id="1569" w:name="_Hlk187872194"/>
      <w:r>
        <w:rPr>
          <w:rFonts w:cs="Times New Roman"/>
        </w:rPr>
        <w:t>0.143X</w:t>
      </w:r>
      <w:r>
        <w:rPr>
          <w:rFonts w:cs="Times New Roman"/>
          <w:vertAlign w:val="subscript"/>
        </w:rPr>
        <w:t>1</w:t>
      </w:r>
      <w:r>
        <w:rPr>
          <w:rFonts w:cs="Times New Roman"/>
        </w:rPr>
        <w:t>Z+0.150X</w:t>
      </w:r>
      <w:r>
        <w:rPr>
          <w:rFonts w:cs="Times New Roman"/>
          <w:vertAlign w:val="subscript"/>
        </w:rPr>
        <w:t>2</w:t>
      </w:r>
      <w:r>
        <w:rPr>
          <w:rFonts w:cs="Times New Roman"/>
        </w:rPr>
        <w:t>Z+0.129X</w:t>
      </w:r>
      <w:r>
        <w:rPr>
          <w:rFonts w:cs="Times New Roman"/>
          <w:vertAlign w:val="subscript"/>
        </w:rPr>
        <w:t>3</w:t>
      </w:r>
      <w:r>
        <w:rPr>
          <w:rFonts w:cs="Times New Roman"/>
        </w:rPr>
        <w:t>Z+0.135X</w:t>
      </w:r>
      <w:r>
        <w:rPr>
          <w:rFonts w:cs="Times New Roman"/>
          <w:vertAlign w:val="subscript"/>
        </w:rPr>
        <w:t>4</w:t>
      </w:r>
      <w:r>
        <w:rPr>
          <w:rFonts w:cs="Times New Roman"/>
        </w:rPr>
        <w:t>Z</w:t>
      </w:r>
      <w:bookmarkEnd w:id="1569"/>
    </w:p>
    <w:p w14:paraId="2E8E522C" w14:textId="77777777" w:rsidR="009F33CD" w:rsidRDefault="00E40740">
      <w:pPr>
        <w:spacing w:after="240"/>
        <w:rPr>
          <w:rFonts w:cs="Times New Roman"/>
        </w:rPr>
      </w:pPr>
      <w:r>
        <w:rPr>
          <w:rFonts w:cs="Times New Roman"/>
        </w:rPr>
        <w:t xml:space="preserve">An optimal model for the current study was derived from the regression coefficients of the overall moderated study model. From the overall model, it was observed that green employee resourcing had more effect on the performance of devolved healthcare services compared to the other variables. </w:t>
      </w:r>
    </w:p>
    <w:p w14:paraId="24F32712" w14:textId="77777777" w:rsidR="009F33CD" w:rsidRDefault="00A63BEB">
      <w:pPr>
        <w:pStyle w:val="Heading6"/>
      </w:pPr>
      <w:bookmarkStart w:id="1570" w:name="_Toc165626441"/>
      <w:bookmarkStart w:id="1571" w:name="_Toc187080918"/>
      <w:bookmarkStart w:id="1572" w:name="_Toc185614146"/>
      <w:bookmarkStart w:id="1573" w:name="_Toc178945103"/>
      <w:bookmarkStart w:id="1574" w:name="_Toc178942693"/>
      <w:bookmarkStart w:id="1575" w:name="_Toc224237476"/>
      <w:r>
        <w:t>Table 4.47</w:t>
      </w:r>
      <w:r w:rsidR="00E40740">
        <w:t>: ANOVA</w:t>
      </w:r>
      <w:r w:rsidR="00E40740">
        <w:rPr>
          <w:vertAlign w:val="superscript"/>
        </w:rPr>
        <w:t>a</w:t>
      </w:r>
      <w:r w:rsidR="00E40740">
        <w:t xml:space="preserve"> Model Summary</w:t>
      </w:r>
      <w:bookmarkEnd w:id="1570"/>
      <w:bookmarkEnd w:id="1571"/>
      <w:bookmarkEnd w:id="1572"/>
      <w:bookmarkEnd w:id="1573"/>
      <w:bookmarkEnd w:id="1574"/>
      <w:r w:rsidR="00E40740">
        <w:t xml:space="preserve"> after Moderation</w:t>
      </w:r>
      <w:bookmarkEnd w:id="1575"/>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754"/>
        <w:gridCol w:w="1542"/>
        <w:gridCol w:w="1609"/>
        <w:gridCol w:w="995"/>
        <w:gridCol w:w="1532"/>
        <w:gridCol w:w="1148"/>
        <w:gridCol w:w="640"/>
      </w:tblGrid>
      <w:tr w:rsidR="009F33CD" w14:paraId="6DE41703" w14:textId="77777777" w:rsidTr="00F75083">
        <w:trPr>
          <w:cantSplit/>
          <w:trHeight w:val="70"/>
        </w:trPr>
        <w:tc>
          <w:tcPr>
            <w:tcW w:w="1397" w:type="pct"/>
            <w:gridSpan w:val="2"/>
            <w:tcBorders>
              <w:top w:val="single" w:sz="4" w:space="0" w:color="auto"/>
              <w:bottom w:val="single" w:sz="4" w:space="0" w:color="auto"/>
            </w:tcBorders>
            <w:vAlign w:val="bottom"/>
          </w:tcPr>
          <w:p w14:paraId="1F2EA326" w14:textId="77777777" w:rsidR="009F33CD" w:rsidRDefault="00E40740" w:rsidP="00F75083">
            <w:pPr>
              <w:spacing w:after="240" w:line="240" w:lineRule="auto"/>
              <w:rPr>
                <w:rFonts w:cs="Times New Roman"/>
                <w:b/>
                <w:bCs/>
              </w:rPr>
            </w:pPr>
            <w:bookmarkStart w:id="1576" w:name="_Hlk187841682"/>
            <w:r>
              <w:rPr>
                <w:rFonts w:cs="Times New Roman"/>
                <w:b/>
                <w:bCs/>
              </w:rPr>
              <w:t>Model</w:t>
            </w:r>
          </w:p>
        </w:tc>
        <w:tc>
          <w:tcPr>
            <w:tcW w:w="979" w:type="pct"/>
            <w:tcBorders>
              <w:top w:val="single" w:sz="4" w:space="0" w:color="auto"/>
              <w:bottom w:val="single" w:sz="4" w:space="0" w:color="auto"/>
            </w:tcBorders>
            <w:vAlign w:val="bottom"/>
          </w:tcPr>
          <w:p w14:paraId="5B35B8D4" w14:textId="77777777" w:rsidR="009F33CD" w:rsidRDefault="00E40740" w:rsidP="00F75083">
            <w:pPr>
              <w:spacing w:after="240" w:line="240" w:lineRule="auto"/>
              <w:rPr>
                <w:rFonts w:cs="Times New Roman"/>
                <w:b/>
                <w:bCs/>
              </w:rPr>
            </w:pPr>
            <w:r>
              <w:rPr>
                <w:rFonts w:cs="Times New Roman"/>
                <w:b/>
                <w:bCs/>
              </w:rPr>
              <w:t>Sum of Squares</w:t>
            </w:r>
          </w:p>
        </w:tc>
        <w:tc>
          <w:tcPr>
            <w:tcW w:w="605" w:type="pct"/>
            <w:tcBorders>
              <w:top w:val="single" w:sz="4" w:space="0" w:color="auto"/>
              <w:bottom w:val="single" w:sz="4" w:space="0" w:color="auto"/>
            </w:tcBorders>
            <w:vAlign w:val="bottom"/>
          </w:tcPr>
          <w:p w14:paraId="3700768E" w14:textId="77777777" w:rsidR="009F33CD" w:rsidRDefault="00E40740" w:rsidP="00F75083">
            <w:pPr>
              <w:spacing w:after="240" w:line="240" w:lineRule="auto"/>
              <w:rPr>
                <w:rFonts w:cs="Times New Roman"/>
                <w:b/>
                <w:bCs/>
              </w:rPr>
            </w:pPr>
            <w:r>
              <w:rPr>
                <w:rFonts w:cs="Times New Roman"/>
                <w:b/>
                <w:bCs/>
              </w:rPr>
              <w:t>Df</w:t>
            </w:r>
          </w:p>
        </w:tc>
        <w:tc>
          <w:tcPr>
            <w:tcW w:w="932" w:type="pct"/>
            <w:tcBorders>
              <w:top w:val="single" w:sz="4" w:space="0" w:color="auto"/>
              <w:bottom w:val="single" w:sz="4" w:space="0" w:color="auto"/>
            </w:tcBorders>
            <w:vAlign w:val="bottom"/>
          </w:tcPr>
          <w:p w14:paraId="27D101C0" w14:textId="77777777" w:rsidR="009F33CD" w:rsidRDefault="00E40740" w:rsidP="00F75083">
            <w:pPr>
              <w:spacing w:after="240" w:line="240" w:lineRule="auto"/>
              <w:rPr>
                <w:rFonts w:cs="Times New Roman"/>
                <w:b/>
                <w:bCs/>
              </w:rPr>
            </w:pPr>
            <w:r>
              <w:rPr>
                <w:rFonts w:cs="Times New Roman"/>
                <w:b/>
                <w:bCs/>
              </w:rPr>
              <w:t>Mean Square</w:t>
            </w:r>
          </w:p>
        </w:tc>
        <w:tc>
          <w:tcPr>
            <w:tcW w:w="698" w:type="pct"/>
            <w:tcBorders>
              <w:top w:val="single" w:sz="4" w:space="0" w:color="auto"/>
              <w:bottom w:val="single" w:sz="4" w:space="0" w:color="auto"/>
            </w:tcBorders>
            <w:vAlign w:val="bottom"/>
          </w:tcPr>
          <w:p w14:paraId="183CE643" w14:textId="77777777" w:rsidR="009F33CD" w:rsidRDefault="00E40740" w:rsidP="00F75083">
            <w:pPr>
              <w:spacing w:after="240" w:line="240" w:lineRule="auto"/>
              <w:rPr>
                <w:rFonts w:cs="Times New Roman"/>
                <w:b/>
                <w:bCs/>
              </w:rPr>
            </w:pPr>
            <w:r>
              <w:rPr>
                <w:rFonts w:cs="Times New Roman"/>
                <w:b/>
                <w:bCs/>
              </w:rPr>
              <w:t>F</w:t>
            </w:r>
          </w:p>
        </w:tc>
        <w:tc>
          <w:tcPr>
            <w:tcW w:w="389" w:type="pct"/>
            <w:tcBorders>
              <w:top w:val="single" w:sz="4" w:space="0" w:color="auto"/>
              <w:bottom w:val="single" w:sz="4" w:space="0" w:color="auto"/>
            </w:tcBorders>
            <w:vAlign w:val="bottom"/>
          </w:tcPr>
          <w:p w14:paraId="735A6510" w14:textId="77777777" w:rsidR="009F33CD" w:rsidRDefault="00E40740" w:rsidP="00F75083">
            <w:pPr>
              <w:spacing w:after="240" w:line="240" w:lineRule="auto"/>
              <w:rPr>
                <w:rFonts w:cs="Times New Roman"/>
                <w:b/>
                <w:bCs/>
              </w:rPr>
            </w:pPr>
            <w:r>
              <w:rPr>
                <w:rFonts w:cs="Times New Roman"/>
                <w:b/>
                <w:bCs/>
              </w:rPr>
              <w:t>Sig.</w:t>
            </w:r>
          </w:p>
        </w:tc>
      </w:tr>
      <w:bookmarkEnd w:id="1576"/>
      <w:tr w:rsidR="009F33CD" w14:paraId="40710B05" w14:textId="77777777" w:rsidTr="00A63BEB">
        <w:trPr>
          <w:cantSplit/>
          <w:trHeight w:val="143"/>
        </w:trPr>
        <w:tc>
          <w:tcPr>
            <w:tcW w:w="459" w:type="pct"/>
            <w:vMerge w:val="restart"/>
          </w:tcPr>
          <w:p w14:paraId="6253C633" w14:textId="77777777" w:rsidR="009F33CD" w:rsidRDefault="00E40740" w:rsidP="00F75083">
            <w:pPr>
              <w:spacing w:after="240" w:line="240" w:lineRule="auto"/>
              <w:rPr>
                <w:rFonts w:cs="Times New Roman"/>
              </w:rPr>
            </w:pPr>
            <w:r>
              <w:rPr>
                <w:rFonts w:cs="Times New Roman"/>
              </w:rPr>
              <w:t>1</w:t>
            </w:r>
          </w:p>
        </w:tc>
        <w:tc>
          <w:tcPr>
            <w:tcW w:w="938" w:type="pct"/>
            <w:tcBorders>
              <w:bottom w:val="nil"/>
            </w:tcBorders>
          </w:tcPr>
          <w:p w14:paraId="42E772F6" w14:textId="77777777" w:rsidR="009F33CD" w:rsidRDefault="00E40740" w:rsidP="00F75083">
            <w:pPr>
              <w:spacing w:after="240" w:line="240" w:lineRule="auto"/>
              <w:rPr>
                <w:rFonts w:cs="Times New Roman"/>
              </w:rPr>
            </w:pPr>
            <w:r>
              <w:rPr>
                <w:rFonts w:cs="Times New Roman"/>
              </w:rPr>
              <w:t>Regression</w:t>
            </w:r>
          </w:p>
        </w:tc>
        <w:tc>
          <w:tcPr>
            <w:tcW w:w="979" w:type="pct"/>
            <w:tcBorders>
              <w:bottom w:val="nil"/>
            </w:tcBorders>
          </w:tcPr>
          <w:p w14:paraId="44321871" w14:textId="77777777" w:rsidR="009F33CD" w:rsidRDefault="00E40740" w:rsidP="00F75083">
            <w:pPr>
              <w:spacing w:after="240" w:line="240" w:lineRule="auto"/>
              <w:rPr>
                <w:rFonts w:cs="Times New Roman"/>
              </w:rPr>
            </w:pPr>
            <w:r>
              <w:rPr>
                <w:rFonts w:cs="Times New Roman"/>
              </w:rPr>
              <w:t>69.019</w:t>
            </w:r>
          </w:p>
        </w:tc>
        <w:tc>
          <w:tcPr>
            <w:tcW w:w="605" w:type="pct"/>
            <w:tcBorders>
              <w:bottom w:val="nil"/>
            </w:tcBorders>
          </w:tcPr>
          <w:p w14:paraId="50E06F0E" w14:textId="77777777" w:rsidR="009F33CD" w:rsidRDefault="00E40740" w:rsidP="00F75083">
            <w:pPr>
              <w:spacing w:after="240" w:line="240" w:lineRule="auto"/>
              <w:rPr>
                <w:rFonts w:cs="Times New Roman"/>
              </w:rPr>
            </w:pPr>
            <w:r>
              <w:rPr>
                <w:rFonts w:cs="Times New Roman"/>
              </w:rPr>
              <w:t>9</w:t>
            </w:r>
          </w:p>
        </w:tc>
        <w:tc>
          <w:tcPr>
            <w:tcW w:w="932" w:type="pct"/>
            <w:tcBorders>
              <w:bottom w:val="nil"/>
            </w:tcBorders>
          </w:tcPr>
          <w:p w14:paraId="4D115B47" w14:textId="77777777" w:rsidR="009F33CD" w:rsidRDefault="00E40740" w:rsidP="00F75083">
            <w:pPr>
              <w:spacing w:after="240" w:line="240" w:lineRule="auto"/>
              <w:rPr>
                <w:rFonts w:cs="Times New Roman"/>
              </w:rPr>
            </w:pPr>
            <w:r>
              <w:rPr>
                <w:rFonts w:cs="Times New Roman"/>
              </w:rPr>
              <w:t>7.669</w:t>
            </w:r>
          </w:p>
        </w:tc>
        <w:tc>
          <w:tcPr>
            <w:tcW w:w="698" w:type="pct"/>
            <w:tcBorders>
              <w:bottom w:val="nil"/>
            </w:tcBorders>
          </w:tcPr>
          <w:p w14:paraId="2DE7A1EA" w14:textId="77777777" w:rsidR="009F33CD" w:rsidRDefault="00E40740" w:rsidP="00F75083">
            <w:pPr>
              <w:spacing w:after="240" w:line="240" w:lineRule="auto"/>
              <w:rPr>
                <w:rFonts w:cs="Times New Roman"/>
              </w:rPr>
            </w:pPr>
            <w:r>
              <w:rPr>
                <w:rFonts w:cs="Times New Roman"/>
              </w:rPr>
              <w:t>25.794</w:t>
            </w:r>
          </w:p>
        </w:tc>
        <w:tc>
          <w:tcPr>
            <w:tcW w:w="389" w:type="pct"/>
            <w:tcBorders>
              <w:bottom w:val="nil"/>
            </w:tcBorders>
          </w:tcPr>
          <w:p w14:paraId="2A3B4FCC" w14:textId="77777777" w:rsidR="009F33CD" w:rsidRDefault="00E40740" w:rsidP="00F75083">
            <w:pPr>
              <w:spacing w:after="240" w:line="240" w:lineRule="auto"/>
              <w:rPr>
                <w:rFonts w:cs="Times New Roman"/>
              </w:rPr>
            </w:pPr>
            <w:r>
              <w:rPr>
                <w:rFonts w:cs="Times New Roman"/>
              </w:rPr>
              <w:t>.000</w:t>
            </w:r>
            <w:r>
              <w:rPr>
                <w:rFonts w:cs="Times New Roman"/>
                <w:vertAlign w:val="superscript"/>
              </w:rPr>
              <w:t>c</w:t>
            </w:r>
          </w:p>
        </w:tc>
      </w:tr>
      <w:tr w:rsidR="009F33CD" w14:paraId="37D3371F" w14:textId="77777777" w:rsidTr="00A63BEB">
        <w:trPr>
          <w:cantSplit/>
          <w:trHeight w:val="115"/>
        </w:trPr>
        <w:tc>
          <w:tcPr>
            <w:tcW w:w="459" w:type="pct"/>
            <w:vMerge/>
            <w:tcBorders>
              <w:bottom w:val="single" w:sz="4" w:space="0" w:color="auto"/>
            </w:tcBorders>
          </w:tcPr>
          <w:p w14:paraId="4BC08459" w14:textId="77777777" w:rsidR="009F33CD" w:rsidRDefault="009F33CD" w:rsidP="00F75083">
            <w:pPr>
              <w:spacing w:after="240" w:line="240" w:lineRule="auto"/>
              <w:rPr>
                <w:rFonts w:cs="Times New Roman"/>
              </w:rPr>
            </w:pPr>
          </w:p>
        </w:tc>
        <w:tc>
          <w:tcPr>
            <w:tcW w:w="938" w:type="pct"/>
            <w:tcBorders>
              <w:top w:val="nil"/>
              <w:bottom w:val="nil"/>
            </w:tcBorders>
          </w:tcPr>
          <w:p w14:paraId="33A239C0" w14:textId="77777777" w:rsidR="009F33CD" w:rsidRDefault="00E40740" w:rsidP="00F75083">
            <w:pPr>
              <w:spacing w:after="240" w:line="240" w:lineRule="auto"/>
              <w:rPr>
                <w:rFonts w:cs="Times New Roman"/>
              </w:rPr>
            </w:pPr>
            <w:r>
              <w:rPr>
                <w:rFonts w:cs="Times New Roman"/>
              </w:rPr>
              <w:t>Residual</w:t>
            </w:r>
          </w:p>
        </w:tc>
        <w:tc>
          <w:tcPr>
            <w:tcW w:w="979" w:type="pct"/>
            <w:tcBorders>
              <w:top w:val="nil"/>
              <w:bottom w:val="nil"/>
            </w:tcBorders>
          </w:tcPr>
          <w:p w14:paraId="718E5868" w14:textId="77777777" w:rsidR="009F33CD" w:rsidRDefault="00E40740" w:rsidP="00F75083">
            <w:pPr>
              <w:spacing w:line="240" w:lineRule="auto"/>
              <w:rPr>
                <w:rFonts w:cs="Times New Roman"/>
              </w:rPr>
            </w:pPr>
            <w:r>
              <w:rPr>
                <w:rFonts w:cs="Times New Roman"/>
              </w:rPr>
              <w:t>32.110</w:t>
            </w:r>
          </w:p>
        </w:tc>
        <w:tc>
          <w:tcPr>
            <w:tcW w:w="605" w:type="pct"/>
            <w:tcBorders>
              <w:top w:val="nil"/>
              <w:bottom w:val="nil"/>
            </w:tcBorders>
          </w:tcPr>
          <w:p w14:paraId="7CE28FEE" w14:textId="77777777" w:rsidR="009F33CD" w:rsidRDefault="00E40740" w:rsidP="00F75083">
            <w:pPr>
              <w:spacing w:after="240" w:line="240" w:lineRule="auto"/>
              <w:rPr>
                <w:rFonts w:cs="Times New Roman"/>
              </w:rPr>
            </w:pPr>
            <w:r>
              <w:rPr>
                <w:rFonts w:cs="Times New Roman"/>
              </w:rPr>
              <w:t>108</w:t>
            </w:r>
          </w:p>
        </w:tc>
        <w:tc>
          <w:tcPr>
            <w:tcW w:w="932" w:type="pct"/>
            <w:tcBorders>
              <w:top w:val="nil"/>
              <w:bottom w:val="nil"/>
            </w:tcBorders>
          </w:tcPr>
          <w:p w14:paraId="1AB88AEF" w14:textId="77777777" w:rsidR="009F33CD" w:rsidRDefault="00E40740" w:rsidP="00F75083">
            <w:pPr>
              <w:spacing w:after="240" w:line="240" w:lineRule="auto"/>
              <w:rPr>
                <w:rFonts w:cs="Times New Roman"/>
              </w:rPr>
            </w:pPr>
            <w:r>
              <w:rPr>
                <w:rFonts w:cs="Times New Roman"/>
              </w:rPr>
              <w:t>.297</w:t>
            </w:r>
          </w:p>
        </w:tc>
        <w:tc>
          <w:tcPr>
            <w:tcW w:w="698" w:type="pct"/>
            <w:tcBorders>
              <w:top w:val="nil"/>
              <w:bottom w:val="nil"/>
            </w:tcBorders>
            <w:vAlign w:val="center"/>
          </w:tcPr>
          <w:p w14:paraId="34B6B4D6" w14:textId="77777777" w:rsidR="009F33CD" w:rsidRDefault="009F33CD" w:rsidP="00F75083">
            <w:pPr>
              <w:spacing w:after="240" w:line="240" w:lineRule="auto"/>
              <w:rPr>
                <w:rFonts w:cs="Times New Roman"/>
              </w:rPr>
            </w:pPr>
          </w:p>
        </w:tc>
        <w:tc>
          <w:tcPr>
            <w:tcW w:w="389" w:type="pct"/>
            <w:tcBorders>
              <w:top w:val="nil"/>
              <w:bottom w:val="nil"/>
            </w:tcBorders>
            <w:vAlign w:val="center"/>
          </w:tcPr>
          <w:p w14:paraId="6044508E" w14:textId="77777777" w:rsidR="009F33CD" w:rsidRDefault="009F33CD" w:rsidP="00F75083">
            <w:pPr>
              <w:spacing w:after="240" w:line="240" w:lineRule="auto"/>
              <w:rPr>
                <w:rFonts w:cs="Times New Roman"/>
              </w:rPr>
            </w:pPr>
          </w:p>
        </w:tc>
      </w:tr>
      <w:tr w:rsidR="009F33CD" w14:paraId="590A0A9C" w14:textId="77777777" w:rsidTr="00A63BEB">
        <w:trPr>
          <w:cantSplit/>
          <w:trHeight w:val="60"/>
        </w:trPr>
        <w:tc>
          <w:tcPr>
            <w:tcW w:w="459" w:type="pct"/>
            <w:vMerge/>
            <w:tcBorders>
              <w:top w:val="single" w:sz="4" w:space="0" w:color="auto"/>
              <w:bottom w:val="single" w:sz="4" w:space="0" w:color="auto"/>
            </w:tcBorders>
          </w:tcPr>
          <w:p w14:paraId="3CF66A71" w14:textId="77777777" w:rsidR="009F33CD" w:rsidRDefault="009F33CD" w:rsidP="00F75083">
            <w:pPr>
              <w:spacing w:before="0" w:beforeAutospacing="0" w:after="240" w:line="240" w:lineRule="auto"/>
              <w:rPr>
                <w:rFonts w:cs="Times New Roman"/>
              </w:rPr>
            </w:pPr>
          </w:p>
        </w:tc>
        <w:tc>
          <w:tcPr>
            <w:tcW w:w="938" w:type="pct"/>
            <w:tcBorders>
              <w:top w:val="nil"/>
              <w:bottom w:val="single" w:sz="4" w:space="0" w:color="auto"/>
            </w:tcBorders>
          </w:tcPr>
          <w:p w14:paraId="545E4425" w14:textId="77777777" w:rsidR="009F33CD" w:rsidRDefault="00E40740" w:rsidP="00F75083">
            <w:pPr>
              <w:spacing w:before="0" w:beforeAutospacing="0" w:after="240" w:line="240" w:lineRule="auto"/>
              <w:rPr>
                <w:rFonts w:cs="Times New Roman"/>
                <w:b/>
              </w:rPr>
            </w:pPr>
            <w:r>
              <w:rPr>
                <w:rFonts w:cs="Times New Roman"/>
                <w:b/>
              </w:rPr>
              <w:t>Total</w:t>
            </w:r>
          </w:p>
        </w:tc>
        <w:tc>
          <w:tcPr>
            <w:tcW w:w="979" w:type="pct"/>
            <w:tcBorders>
              <w:top w:val="nil"/>
              <w:bottom w:val="single" w:sz="4" w:space="0" w:color="auto"/>
            </w:tcBorders>
          </w:tcPr>
          <w:p w14:paraId="3F692A24" w14:textId="77777777" w:rsidR="009F33CD" w:rsidRDefault="00E40740" w:rsidP="00F75083">
            <w:pPr>
              <w:spacing w:before="0" w:beforeAutospacing="0" w:after="240" w:line="240" w:lineRule="auto"/>
              <w:rPr>
                <w:rFonts w:cs="Times New Roman"/>
                <w:b/>
              </w:rPr>
            </w:pPr>
            <w:r>
              <w:rPr>
                <w:rFonts w:cs="Times New Roman"/>
                <w:b/>
              </w:rPr>
              <w:t>101.129</w:t>
            </w:r>
          </w:p>
        </w:tc>
        <w:tc>
          <w:tcPr>
            <w:tcW w:w="605" w:type="pct"/>
            <w:tcBorders>
              <w:top w:val="nil"/>
              <w:bottom w:val="single" w:sz="4" w:space="0" w:color="auto"/>
            </w:tcBorders>
          </w:tcPr>
          <w:p w14:paraId="408273BB" w14:textId="77777777" w:rsidR="009F33CD" w:rsidRDefault="00E40740" w:rsidP="00F75083">
            <w:pPr>
              <w:spacing w:before="0" w:beforeAutospacing="0" w:after="240" w:line="240" w:lineRule="auto"/>
              <w:rPr>
                <w:rFonts w:cs="Times New Roman"/>
                <w:b/>
              </w:rPr>
            </w:pPr>
            <w:r>
              <w:rPr>
                <w:rFonts w:cs="Times New Roman"/>
                <w:b/>
              </w:rPr>
              <w:t>117</w:t>
            </w:r>
          </w:p>
        </w:tc>
        <w:tc>
          <w:tcPr>
            <w:tcW w:w="932" w:type="pct"/>
            <w:tcBorders>
              <w:top w:val="nil"/>
              <w:bottom w:val="single" w:sz="4" w:space="0" w:color="auto"/>
            </w:tcBorders>
            <w:vAlign w:val="center"/>
          </w:tcPr>
          <w:p w14:paraId="679E9FCD" w14:textId="77777777" w:rsidR="009F33CD" w:rsidRDefault="009F33CD" w:rsidP="00F75083">
            <w:pPr>
              <w:spacing w:before="0" w:beforeAutospacing="0" w:after="240" w:line="240" w:lineRule="auto"/>
              <w:rPr>
                <w:rFonts w:cs="Times New Roman"/>
              </w:rPr>
            </w:pPr>
          </w:p>
        </w:tc>
        <w:tc>
          <w:tcPr>
            <w:tcW w:w="698" w:type="pct"/>
            <w:tcBorders>
              <w:top w:val="nil"/>
              <w:bottom w:val="single" w:sz="4" w:space="0" w:color="auto"/>
            </w:tcBorders>
            <w:vAlign w:val="center"/>
          </w:tcPr>
          <w:p w14:paraId="4B6577A1" w14:textId="77777777" w:rsidR="009F33CD" w:rsidRDefault="009F33CD" w:rsidP="00F75083">
            <w:pPr>
              <w:spacing w:before="0" w:beforeAutospacing="0" w:after="240" w:line="240" w:lineRule="auto"/>
              <w:rPr>
                <w:rFonts w:cs="Times New Roman"/>
              </w:rPr>
            </w:pPr>
          </w:p>
        </w:tc>
        <w:tc>
          <w:tcPr>
            <w:tcW w:w="389" w:type="pct"/>
            <w:tcBorders>
              <w:top w:val="nil"/>
              <w:bottom w:val="single" w:sz="4" w:space="0" w:color="auto"/>
            </w:tcBorders>
            <w:vAlign w:val="center"/>
          </w:tcPr>
          <w:p w14:paraId="0EAB3482" w14:textId="77777777" w:rsidR="009F33CD" w:rsidRDefault="009F33CD" w:rsidP="00F75083">
            <w:pPr>
              <w:spacing w:before="0" w:beforeAutospacing="0" w:after="240" w:line="240" w:lineRule="auto"/>
              <w:rPr>
                <w:rFonts w:cs="Times New Roman"/>
              </w:rPr>
            </w:pPr>
          </w:p>
        </w:tc>
      </w:tr>
      <w:tr w:rsidR="00F75083" w14:paraId="21237403" w14:textId="77777777" w:rsidTr="00A63BEB">
        <w:trPr>
          <w:cantSplit/>
          <w:trHeight w:val="60"/>
        </w:trPr>
        <w:tc>
          <w:tcPr>
            <w:tcW w:w="1" w:type="pct"/>
            <w:gridSpan w:val="7"/>
            <w:tcBorders>
              <w:top w:val="single" w:sz="4" w:space="0" w:color="auto"/>
              <w:bottom w:val="nil"/>
            </w:tcBorders>
          </w:tcPr>
          <w:p w14:paraId="7145E307" w14:textId="77777777" w:rsidR="00F75083" w:rsidRDefault="00F75083" w:rsidP="00F75083">
            <w:pPr>
              <w:spacing w:before="0" w:beforeAutospacing="0" w:after="240" w:line="240" w:lineRule="auto"/>
              <w:rPr>
                <w:rFonts w:cs="Times New Roman"/>
              </w:rPr>
            </w:pPr>
            <w:r>
              <w:rPr>
                <w:rFonts w:cs="Times New Roman"/>
                <w:bCs/>
                <w:sz w:val="20"/>
              </w:rPr>
              <w:t>Yi= Performance of devolved Healthcare Services, β</w:t>
            </w:r>
            <w:r>
              <w:rPr>
                <w:rFonts w:cs="Times New Roman"/>
                <w:bCs/>
                <w:sz w:val="20"/>
                <w:vertAlign w:val="subscript"/>
              </w:rPr>
              <w:t>0</w:t>
            </w:r>
            <w:r>
              <w:rPr>
                <w:rFonts w:cs="Times New Roman"/>
                <w:bCs/>
                <w:sz w:val="20"/>
              </w:rPr>
              <w:t>= Constant, β= regression co-efficient, X</w:t>
            </w:r>
            <w:r>
              <w:rPr>
                <w:rFonts w:cs="Times New Roman"/>
                <w:bCs/>
                <w:sz w:val="20"/>
                <w:vertAlign w:val="subscript"/>
              </w:rPr>
              <w:t>1</w:t>
            </w:r>
            <w:r>
              <w:rPr>
                <w:rFonts w:cs="Times New Roman"/>
                <w:bCs/>
                <w:sz w:val="20"/>
              </w:rPr>
              <w:t>= Green Employee Resourcing, X</w:t>
            </w:r>
            <w:r>
              <w:rPr>
                <w:rFonts w:cs="Times New Roman"/>
                <w:bCs/>
                <w:sz w:val="20"/>
                <w:vertAlign w:val="subscript"/>
              </w:rPr>
              <w:t>2</w:t>
            </w:r>
            <w:r>
              <w:rPr>
                <w:rFonts w:cs="Times New Roman"/>
                <w:bCs/>
                <w:sz w:val="20"/>
              </w:rPr>
              <w:t xml:space="preserve"> = green Training, X</w:t>
            </w:r>
            <w:r>
              <w:rPr>
                <w:rFonts w:cs="Times New Roman"/>
                <w:bCs/>
                <w:sz w:val="20"/>
                <w:vertAlign w:val="subscript"/>
              </w:rPr>
              <w:t>3</w:t>
            </w:r>
            <w:r>
              <w:rPr>
                <w:rFonts w:cs="Times New Roman"/>
                <w:bCs/>
                <w:sz w:val="20"/>
              </w:rPr>
              <w:t>= Green occupational safety and health, X</w:t>
            </w:r>
            <w:r>
              <w:rPr>
                <w:rFonts w:cs="Times New Roman"/>
                <w:bCs/>
                <w:sz w:val="20"/>
                <w:vertAlign w:val="subscript"/>
              </w:rPr>
              <w:t>4</w:t>
            </w:r>
            <w:r>
              <w:rPr>
                <w:rFonts w:cs="Times New Roman"/>
                <w:bCs/>
                <w:sz w:val="20"/>
              </w:rPr>
              <w:t xml:space="preserve"> = Green performance Evaluation and Z= Management Style- moderating variable </w:t>
            </w:r>
          </w:p>
        </w:tc>
      </w:tr>
    </w:tbl>
    <w:p w14:paraId="6826634A" w14:textId="77777777" w:rsidR="009F33CD" w:rsidRDefault="00E40740">
      <w:pPr>
        <w:rPr>
          <w:rFonts w:cs="Times New Roman"/>
        </w:rPr>
      </w:pPr>
      <w:r>
        <w:rPr>
          <w:rFonts w:cs="Times New Roman"/>
        </w:rPr>
        <w:t xml:space="preserve">The </w:t>
      </w:r>
      <w:r w:rsidR="00A63BEB">
        <w:rPr>
          <w:rFonts w:cs="Times New Roman"/>
        </w:rPr>
        <w:t>findings presented in Table 4.47</w:t>
      </w:r>
      <w:r>
        <w:rPr>
          <w:rFonts w:cs="Times New Roman"/>
        </w:rPr>
        <w:t xml:space="preserve"> reveal that the overall effect of Z after moderation was statistically significant as shown by the p=0.000&lt;0.05.</w:t>
      </w:r>
    </w:p>
    <w:p w14:paraId="23BC03AC" w14:textId="77777777" w:rsidR="009F33CD" w:rsidRDefault="00E40740">
      <w:pPr>
        <w:rPr>
          <w:rFonts w:cs="Times New Roman"/>
        </w:rPr>
      </w:pPr>
      <w:r>
        <w:rPr>
          <w:rFonts w:cs="Times New Roman"/>
        </w:rPr>
        <w:t xml:space="preserve">The study also conducted analyses to determine the moderating effect of individual indicators of management style in the relationship between each independent variable </w:t>
      </w:r>
      <w:r>
        <w:rPr>
          <w:rFonts w:cs="Times New Roman"/>
        </w:rPr>
        <w:lastRenderedPageBreak/>
        <w:t>and the performance of devolved healthcare services. The results are presented in the following sections.</w:t>
      </w:r>
    </w:p>
    <w:p w14:paraId="7EE5A5A3" w14:textId="77777777" w:rsidR="009F33CD" w:rsidRDefault="00E40740">
      <w:pPr>
        <w:pStyle w:val="Heading3"/>
      </w:pPr>
      <w:bookmarkStart w:id="1577" w:name="_Toc187080920"/>
      <w:bookmarkStart w:id="1578" w:name="_Toc188444005"/>
      <w:bookmarkStart w:id="1579" w:name="_Toc185614148"/>
      <w:bookmarkStart w:id="1580" w:name="_Toc188442631"/>
      <w:bookmarkStart w:id="1581" w:name="_Toc224160694"/>
      <w:bookmarkStart w:id="1582" w:name="_Toc224237757"/>
      <w:r>
        <w:t>4.12.1 Regression Analysis Findings for Moderating Bureaucratic Management Style</w:t>
      </w:r>
      <w:bookmarkEnd w:id="1577"/>
      <w:bookmarkEnd w:id="1578"/>
      <w:bookmarkEnd w:id="1579"/>
      <w:bookmarkEnd w:id="1580"/>
      <w:bookmarkEnd w:id="1581"/>
      <w:bookmarkEnd w:id="1582"/>
      <w:r>
        <w:t xml:space="preserve"> </w:t>
      </w:r>
    </w:p>
    <w:p w14:paraId="4B105B58" w14:textId="77777777" w:rsidR="009F33CD" w:rsidRDefault="00E40740">
      <w:pPr>
        <w:spacing w:after="240"/>
        <w:rPr>
          <w:rFonts w:cs="Times New Roman"/>
          <w:lang w:val="en-US"/>
        </w:rPr>
      </w:pPr>
      <w:bookmarkStart w:id="1583" w:name="_Hlk185590263"/>
      <w:r>
        <w:rPr>
          <w:rFonts w:cs="Times New Roman"/>
        </w:rPr>
        <w:t>A multiple regression analysis was carried out to investigate how bureaucratic style sub-variable moderated the relationship between GHRM practices and the performance of devolved healthcare services. The study's main objective was to determine the extent the independent variables jointly would affect the dependent variable when the bureaucratic style of management is introduced into the model. The findings are presented in Table 4.</w:t>
      </w:r>
      <w:bookmarkEnd w:id="1583"/>
      <w:r w:rsidR="00A63BEB">
        <w:rPr>
          <w:rFonts w:cs="Times New Roman"/>
        </w:rPr>
        <w:t>48</w:t>
      </w:r>
      <w:r>
        <w:rPr>
          <w:rFonts w:cs="Times New Roman"/>
        </w:rPr>
        <w:t>.</w:t>
      </w:r>
    </w:p>
    <w:p w14:paraId="4D8D25FF" w14:textId="77777777" w:rsidR="009F33CD" w:rsidRDefault="00A63BEB">
      <w:pPr>
        <w:pStyle w:val="Heading6"/>
      </w:pPr>
      <w:bookmarkStart w:id="1584" w:name="_Toc185614149"/>
      <w:bookmarkStart w:id="1585" w:name="_Toc187080921"/>
      <w:bookmarkStart w:id="1586" w:name="_Toc224237477"/>
      <w:r>
        <w:t>Table 4.48</w:t>
      </w:r>
      <w:r w:rsidR="00E40740">
        <w:t>: Model Summary Moderated by Bureaucratic Management Style</w:t>
      </w:r>
      <w:bookmarkEnd w:id="1584"/>
      <w:bookmarkEnd w:id="1585"/>
      <w:bookmarkEnd w:id="1586"/>
      <w:r w:rsidR="00E40740">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48"/>
        <w:gridCol w:w="602"/>
        <w:gridCol w:w="768"/>
        <w:gridCol w:w="1093"/>
        <w:gridCol w:w="1009"/>
        <w:gridCol w:w="1009"/>
        <w:gridCol w:w="768"/>
        <w:gridCol w:w="705"/>
        <w:gridCol w:w="705"/>
        <w:gridCol w:w="1013"/>
      </w:tblGrid>
      <w:tr w:rsidR="009F33CD" w14:paraId="6C99E118" w14:textId="77777777" w:rsidTr="00A63BEB">
        <w:trPr>
          <w:cantSplit/>
          <w:trHeight w:val="45"/>
        </w:trPr>
        <w:tc>
          <w:tcPr>
            <w:tcW w:w="333" w:type="pct"/>
            <w:vMerge w:val="restart"/>
            <w:tcBorders>
              <w:top w:val="single" w:sz="4" w:space="0" w:color="auto"/>
              <w:bottom w:val="single" w:sz="4" w:space="0" w:color="auto"/>
            </w:tcBorders>
          </w:tcPr>
          <w:p w14:paraId="3AF7781C"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Model</w:t>
            </w:r>
          </w:p>
        </w:tc>
        <w:tc>
          <w:tcPr>
            <w:tcW w:w="366" w:type="pct"/>
            <w:vMerge w:val="restart"/>
            <w:tcBorders>
              <w:top w:val="single" w:sz="4" w:space="0" w:color="auto"/>
              <w:bottom w:val="single" w:sz="4" w:space="0" w:color="auto"/>
            </w:tcBorders>
          </w:tcPr>
          <w:p w14:paraId="42C7A728"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R</w:t>
            </w:r>
          </w:p>
        </w:tc>
        <w:tc>
          <w:tcPr>
            <w:tcW w:w="467" w:type="pct"/>
            <w:vMerge w:val="restart"/>
            <w:tcBorders>
              <w:top w:val="single" w:sz="4" w:space="0" w:color="auto"/>
              <w:bottom w:val="single" w:sz="4" w:space="0" w:color="auto"/>
            </w:tcBorders>
          </w:tcPr>
          <w:p w14:paraId="00649356"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R Square</w:t>
            </w:r>
          </w:p>
        </w:tc>
        <w:tc>
          <w:tcPr>
            <w:tcW w:w="665" w:type="pct"/>
            <w:vMerge w:val="restart"/>
            <w:tcBorders>
              <w:top w:val="single" w:sz="4" w:space="0" w:color="auto"/>
              <w:bottom w:val="single" w:sz="4" w:space="0" w:color="auto"/>
            </w:tcBorders>
          </w:tcPr>
          <w:p w14:paraId="2D74E9A3"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Adjusted R Square</w:t>
            </w:r>
          </w:p>
        </w:tc>
        <w:tc>
          <w:tcPr>
            <w:tcW w:w="614" w:type="pct"/>
            <w:vMerge w:val="restart"/>
            <w:tcBorders>
              <w:top w:val="single" w:sz="4" w:space="0" w:color="auto"/>
              <w:bottom w:val="single" w:sz="4" w:space="0" w:color="auto"/>
            </w:tcBorders>
          </w:tcPr>
          <w:p w14:paraId="7933F02C"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Std. Error of the Estimate</w:t>
            </w:r>
          </w:p>
        </w:tc>
        <w:tc>
          <w:tcPr>
            <w:tcW w:w="2555" w:type="pct"/>
            <w:gridSpan w:val="5"/>
            <w:tcBorders>
              <w:top w:val="single" w:sz="4" w:space="0" w:color="auto"/>
              <w:bottom w:val="single" w:sz="4" w:space="0" w:color="auto"/>
            </w:tcBorders>
          </w:tcPr>
          <w:p w14:paraId="5891CE08"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Change Statistics</w:t>
            </w:r>
          </w:p>
        </w:tc>
      </w:tr>
      <w:tr w:rsidR="009F33CD" w14:paraId="472458FA" w14:textId="77777777" w:rsidTr="00F75083">
        <w:trPr>
          <w:cantSplit/>
          <w:trHeight w:val="55"/>
        </w:trPr>
        <w:tc>
          <w:tcPr>
            <w:tcW w:w="333" w:type="pct"/>
            <w:vMerge/>
            <w:tcBorders>
              <w:top w:val="single" w:sz="4" w:space="0" w:color="auto"/>
              <w:bottom w:val="single" w:sz="4" w:space="0" w:color="auto"/>
            </w:tcBorders>
            <w:vAlign w:val="bottom"/>
          </w:tcPr>
          <w:p w14:paraId="665D4DE7" w14:textId="77777777" w:rsidR="009F33CD" w:rsidRDefault="009F33CD">
            <w:pPr>
              <w:spacing w:after="240" w:line="240" w:lineRule="auto"/>
              <w:rPr>
                <w:rFonts w:cs="Times New Roman"/>
                <w:b/>
                <w:bCs/>
                <w:sz w:val="20"/>
                <w:lang w:val="en-US"/>
              </w:rPr>
            </w:pPr>
          </w:p>
        </w:tc>
        <w:tc>
          <w:tcPr>
            <w:tcW w:w="366" w:type="pct"/>
            <w:vMerge/>
            <w:tcBorders>
              <w:top w:val="single" w:sz="4" w:space="0" w:color="auto"/>
              <w:bottom w:val="single" w:sz="4" w:space="0" w:color="auto"/>
            </w:tcBorders>
            <w:vAlign w:val="bottom"/>
          </w:tcPr>
          <w:p w14:paraId="24827E3F" w14:textId="77777777" w:rsidR="009F33CD" w:rsidRDefault="009F33CD">
            <w:pPr>
              <w:spacing w:after="240" w:line="240" w:lineRule="auto"/>
              <w:rPr>
                <w:rFonts w:cs="Times New Roman"/>
                <w:b/>
                <w:bCs/>
                <w:sz w:val="20"/>
                <w:lang w:val="en-US"/>
              </w:rPr>
            </w:pPr>
          </w:p>
        </w:tc>
        <w:tc>
          <w:tcPr>
            <w:tcW w:w="467" w:type="pct"/>
            <w:vMerge/>
            <w:tcBorders>
              <w:top w:val="single" w:sz="4" w:space="0" w:color="auto"/>
              <w:bottom w:val="single" w:sz="4" w:space="0" w:color="auto"/>
            </w:tcBorders>
            <w:vAlign w:val="bottom"/>
          </w:tcPr>
          <w:p w14:paraId="3D31FCDF" w14:textId="77777777" w:rsidR="009F33CD" w:rsidRDefault="009F33CD">
            <w:pPr>
              <w:spacing w:after="240" w:line="240" w:lineRule="auto"/>
              <w:rPr>
                <w:rFonts w:cs="Times New Roman"/>
                <w:b/>
                <w:bCs/>
                <w:sz w:val="20"/>
                <w:lang w:val="en-US"/>
              </w:rPr>
            </w:pPr>
          </w:p>
        </w:tc>
        <w:tc>
          <w:tcPr>
            <w:tcW w:w="665" w:type="pct"/>
            <w:vMerge/>
            <w:tcBorders>
              <w:top w:val="single" w:sz="4" w:space="0" w:color="auto"/>
              <w:bottom w:val="single" w:sz="4" w:space="0" w:color="auto"/>
            </w:tcBorders>
            <w:vAlign w:val="bottom"/>
          </w:tcPr>
          <w:p w14:paraId="41BEC384" w14:textId="77777777" w:rsidR="009F33CD" w:rsidRDefault="009F33CD">
            <w:pPr>
              <w:spacing w:after="240" w:line="240" w:lineRule="auto"/>
              <w:rPr>
                <w:rFonts w:cs="Times New Roman"/>
                <w:b/>
                <w:bCs/>
                <w:sz w:val="20"/>
                <w:lang w:val="en-US"/>
              </w:rPr>
            </w:pPr>
          </w:p>
        </w:tc>
        <w:tc>
          <w:tcPr>
            <w:tcW w:w="614" w:type="pct"/>
            <w:vMerge/>
            <w:tcBorders>
              <w:top w:val="single" w:sz="4" w:space="0" w:color="auto"/>
              <w:bottom w:val="single" w:sz="4" w:space="0" w:color="auto"/>
            </w:tcBorders>
            <w:vAlign w:val="bottom"/>
          </w:tcPr>
          <w:p w14:paraId="4E5F63E3" w14:textId="77777777" w:rsidR="009F33CD" w:rsidRDefault="009F33CD">
            <w:pPr>
              <w:spacing w:after="240" w:line="240" w:lineRule="auto"/>
              <w:jc w:val="center"/>
              <w:rPr>
                <w:rFonts w:cs="Times New Roman"/>
                <w:b/>
                <w:bCs/>
                <w:sz w:val="20"/>
                <w:lang w:val="en-US"/>
              </w:rPr>
            </w:pPr>
          </w:p>
        </w:tc>
        <w:tc>
          <w:tcPr>
            <w:tcW w:w="614" w:type="pct"/>
            <w:tcBorders>
              <w:top w:val="single" w:sz="4" w:space="0" w:color="auto"/>
              <w:bottom w:val="single" w:sz="4" w:space="0" w:color="auto"/>
            </w:tcBorders>
            <w:vAlign w:val="bottom"/>
          </w:tcPr>
          <w:p w14:paraId="3C87D980" w14:textId="77777777" w:rsidR="009F33CD" w:rsidRDefault="00E40740">
            <w:pPr>
              <w:spacing w:after="240" w:line="240" w:lineRule="auto"/>
              <w:jc w:val="center"/>
              <w:rPr>
                <w:rFonts w:cs="Times New Roman"/>
                <w:b/>
                <w:bCs/>
                <w:sz w:val="20"/>
                <w:lang w:val="en-US"/>
              </w:rPr>
            </w:pPr>
            <w:r>
              <w:rPr>
                <w:rFonts w:cs="Times New Roman"/>
                <w:b/>
                <w:bCs/>
                <w:sz w:val="20"/>
                <w:lang w:val="en-US"/>
              </w:rPr>
              <w:t>R Square Change</w:t>
            </w:r>
          </w:p>
        </w:tc>
        <w:tc>
          <w:tcPr>
            <w:tcW w:w="467" w:type="pct"/>
            <w:tcBorders>
              <w:top w:val="single" w:sz="4" w:space="0" w:color="auto"/>
              <w:bottom w:val="single" w:sz="4" w:space="0" w:color="auto"/>
            </w:tcBorders>
            <w:vAlign w:val="bottom"/>
          </w:tcPr>
          <w:p w14:paraId="42AFDBC4" w14:textId="77777777" w:rsidR="009F33CD" w:rsidRDefault="00E40740">
            <w:pPr>
              <w:spacing w:after="240" w:line="240" w:lineRule="auto"/>
              <w:jc w:val="center"/>
              <w:rPr>
                <w:rFonts w:cs="Times New Roman"/>
                <w:b/>
                <w:bCs/>
                <w:sz w:val="20"/>
                <w:lang w:val="en-US"/>
              </w:rPr>
            </w:pPr>
            <w:r>
              <w:rPr>
                <w:rFonts w:cs="Times New Roman"/>
                <w:b/>
                <w:bCs/>
                <w:sz w:val="20"/>
                <w:lang w:val="en-US"/>
              </w:rPr>
              <w:t>F Change</w:t>
            </w:r>
          </w:p>
        </w:tc>
        <w:tc>
          <w:tcPr>
            <w:tcW w:w="429" w:type="pct"/>
            <w:tcBorders>
              <w:top w:val="single" w:sz="4" w:space="0" w:color="auto"/>
              <w:bottom w:val="single" w:sz="4" w:space="0" w:color="auto"/>
            </w:tcBorders>
            <w:vAlign w:val="bottom"/>
          </w:tcPr>
          <w:p w14:paraId="6F8EC6FE" w14:textId="77777777" w:rsidR="009F33CD" w:rsidRDefault="00E40740">
            <w:pPr>
              <w:spacing w:after="240" w:line="240" w:lineRule="auto"/>
              <w:jc w:val="center"/>
              <w:rPr>
                <w:rFonts w:cs="Times New Roman"/>
                <w:b/>
                <w:bCs/>
                <w:sz w:val="20"/>
                <w:lang w:val="en-US"/>
              </w:rPr>
            </w:pPr>
            <w:r>
              <w:rPr>
                <w:rFonts w:cs="Times New Roman"/>
                <w:b/>
                <w:bCs/>
                <w:sz w:val="20"/>
                <w:lang w:val="en-US"/>
              </w:rPr>
              <w:t>df1</w:t>
            </w:r>
          </w:p>
        </w:tc>
        <w:tc>
          <w:tcPr>
            <w:tcW w:w="429" w:type="pct"/>
            <w:tcBorders>
              <w:top w:val="single" w:sz="4" w:space="0" w:color="auto"/>
              <w:bottom w:val="single" w:sz="4" w:space="0" w:color="auto"/>
            </w:tcBorders>
            <w:vAlign w:val="bottom"/>
          </w:tcPr>
          <w:p w14:paraId="5374E17A" w14:textId="77777777" w:rsidR="009F33CD" w:rsidRDefault="00E40740">
            <w:pPr>
              <w:spacing w:after="240" w:line="240" w:lineRule="auto"/>
              <w:jc w:val="center"/>
              <w:rPr>
                <w:rFonts w:cs="Times New Roman"/>
                <w:b/>
                <w:bCs/>
                <w:sz w:val="20"/>
                <w:lang w:val="en-US"/>
              </w:rPr>
            </w:pPr>
            <w:r>
              <w:rPr>
                <w:rFonts w:cs="Times New Roman"/>
                <w:b/>
                <w:bCs/>
                <w:sz w:val="20"/>
                <w:lang w:val="en-US"/>
              </w:rPr>
              <w:t>df2</w:t>
            </w:r>
          </w:p>
        </w:tc>
        <w:tc>
          <w:tcPr>
            <w:tcW w:w="616" w:type="pct"/>
            <w:tcBorders>
              <w:top w:val="single" w:sz="4" w:space="0" w:color="auto"/>
              <w:bottom w:val="single" w:sz="4" w:space="0" w:color="auto"/>
            </w:tcBorders>
            <w:vAlign w:val="bottom"/>
          </w:tcPr>
          <w:p w14:paraId="45FAF20B" w14:textId="77777777" w:rsidR="009F33CD" w:rsidRDefault="00E40740">
            <w:pPr>
              <w:spacing w:after="240" w:line="240" w:lineRule="auto"/>
              <w:jc w:val="center"/>
              <w:rPr>
                <w:rFonts w:cs="Times New Roman"/>
                <w:b/>
                <w:bCs/>
                <w:sz w:val="20"/>
                <w:lang w:val="en-US"/>
              </w:rPr>
            </w:pPr>
            <w:r>
              <w:rPr>
                <w:rFonts w:cs="Times New Roman"/>
                <w:b/>
                <w:bCs/>
                <w:sz w:val="20"/>
                <w:lang w:val="en-US"/>
              </w:rPr>
              <w:t>Sig. F Change</w:t>
            </w:r>
          </w:p>
        </w:tc>
      </w:tr>
      <w:tr w:rsidR="009F33CD" w14:paraId="710AE8E4" w14:textId="77777777">
        <w:trPr>
          <w:cantSplit/>
          <w:trHeight w:val="45"/>
        </w:trPr>
        <w:tc>
          <w:tcPr>
            <w:tcW w:w="333" w:type="pct"/>
            <w:tcBorders>
              <w:top w:val="single" w:sz="4" w:space="0" w:color="auto"/>
            </w:tcBorders>
          </w:tcPr>
          <w:p w14:paraId="58764583" w14:textId="77777777" w:rsidR="009F33CD" w:rsidRDefault="00E40740">
            <w:pPr>
              <w:spacing w:after="240" w:line="240" w:lineRule="auto"/>
              <w:rPr>
                <w:rFonts w:cs="Times New Roman"/>
                <w:sz w:val="20"/>
                <w:lang w:val="en-US"/>
              </w:rPr>
            </w:pPr>
            <w:r>
              <w:rPr>
                <w:rFonts w:cs="Times New Roman"/>
                <w:sz w:val="20"/>
                <w:lang w:val="en-US"/>
              </w:rPr>
              <w:t>1</w:t>
            </w:r>
          </w:p>
        </w:tc>
        <w:tc>
          <w:tcPr>
            <w:tcW w:w="366" w:type="pct"/>
            <w:tcBorders>
              <w:top w:val="single" w:sz="4" w:space="0" w:color="auto"/>
            </w:tcBorders>
          </w:tcPr>
          <w:p w14:paraId="4C55927F" w14:textId="77777777" w:rsidR="009F33CD" w:rsidRDefault="00E40740">
            <w:pPr>
              <w:spacing w:after="240" w:line="240" w:lineRule="auto"/>
              <w:rPr>
                <w:rFonts w:cs="Times New Roman"/>
                <w:sz w:val="20"/>
                <w:lang w:val="en-US"/>
              </w:rPr>
            </w:pPr>
            <w:r>
              <w:rPr>
                <w:rFonts w:cs="Times New Roman"/>
                <w:sz w:val="20"/>
                <w:lang w:val="en-US"/>
              </w:rPr>
              <w:t>.802</w:t>
            </w:r>
            <w:r>
              <w:rPr>
                <w:rFonts w:cs="Times New Roman"/>
                <w:sz w:val="20"/>
                <w:vertAlign w:val="superscript"/>
                <w:lang w:val="en-US"/>
              </w:rPr>
              <w:t>a</w:t>
            </w:r>
          </w:p>
        </w:tc>
        <w:tc>
          <w:tcPr>
            <w:tcW w:w="467" w:type="pct"/>
            <w:tcBorders>
              <w:top w:val="single" w:sz="4" w:space="0" w:color="auto"/>
            </w:tcBorders>
          </w:tcPr>
          <w:p w14:paraId="09E1FF29" w14:textId="77777777" w:rsidR="009F33CD" w:rsidRDefault="00E40740">
            <w:pPr>
              <w:spacing w:after="240" w:line="240" w:lineRule="auto"/>
              <w:rPr>
                <w:rFonts w:cs="Times New Roman"/>
                <w:sz w:val="20"/>
                <w:lang w:val="en-US"/>
              </w:rPr>
            </w:pPr>
            <w:r>
              <w:rPr>
                <w:rFonts w:cs="Times New Roman"/>
                <w:sz w:val="20"/>
                <w:lang w:val="en-US"/>
              </w:rPr>
              <w:t>.644</w:t>
            </w:r>
          </w:p>
        </w:tc>
        <w:tc>
          <w:tcPr>
            <w:tcW w:w="665" w:type="pct"/>
            <w:tcBorders>
              <w:top w:val="single" w:sz="4" w:space="0" w:color="auto"/>
            </w:tcBorders>
          </w:tcPr>
          <w:p w14:paraId="3E068663" w14:textId="77777777" w:rsidR="009F33CD" w:rsidRDefault="00E40740">
            <w:pPr>
              <w:spacing w:after="240" w:line="240" w:lineRule="auto"/>
              <w:rPr>
                <w:rFonts w:cs="Times New Roman"/>
                <w:sz w:val="20"/>
                <w:lang w:val="en-US"/>
              </w:rPr>
            </w:pPr>
            <w:r>
              <w:rPr>
                <w:rFonts w:cs="Times New Roman"/>
                <w:sz w:val="20"/>
                <w:lang w:val="en-US"/>
              </w:rPr>
              <w:t>.631</w:t>
            </w:r>
          </w:p>
        </w:tc>
        <w:tc>
          <w:tcPr>
            <w:tcW w:w="614" w:type="pct"/>
            <w:tcBorders>
              <w:top w:val="single" w:sz="4" w:space="0" w:color="auto"/>
            </w:tcBorders>
          </w:tcPr>
          <w:p w14:paraId="1B5E4A2D" w14:textId="77777777" w:rsidR="009F33CD" w:rsidRDefault="00E40740">
            <w:pPr>
              <w:spacing w:after="240" w:line="240" w:lineRule="auto"/>
              <w:jc w:val="center"/>
              <w:rPr>
                <w:rFonts w:cs="Times New Roman"/>
                <w:sz w:val="20"/>
                <w:lang w:val="en-US"/>
              </w:rPr>
            </w:pPr>
            <w:r>
              <w:rPr>
                <w:rFonts w:cs="Times New Roman"/>
                <w:sz w:val="20"/>
                <w:lang w:val="en-US"/>
              </w:rPr>
              <w:t>.56473</w:t>
            </w:r>
          </w:p>
        </w:tc>
        <w:tc>
          <w:tcPr>
            <w:tcW w:w="614" w:type="pct"/>
            <w:tcBorders>
              <w:top w:val="single" w:sz="4" w:space="0" w:color="auto"/>
            </w:tcBorders>
          </w:tcPr>
          <w:p w14:paraId="0B505B65" w14:textId="77777777" w:rsidR="009F33CD" w:rsidRDefault="00E40740">
            <w:pPr>
              <w:spacing w:after="240" w:line="240" w:lineRule="auto"/>
              <w:rPr>
                <w:rFonts w:cs="Times New Roman"/>
                <w:sz w:val="20"/>
                <w:lang w:val="en-US"/>
              </w:rPr>
            </w:pPr>
            <w:r>
              <w:rPr>
                <w:rFonts w:cs="Times New Roman"/>
                <w:sz w:val="20"/>
                <w:lang w:val="en-US"/>
              </w:rPr>
              <w:t>.644</w:t>
            </w:r>
          </w:p>
        </w:tc>
        <w:tc>
          <w:tcPr>
            <w:tcW w:w="467" w:type="pct"/>
            <w:tcBorders>
              <w:top w:val="single" w:sz="4" w:space="0" w:color="auto"/>
            </w:tcBorders>
          </w:tcPr>
          <w:p w14:paraId="24CEEA44" w14:textId="77777777" w:rsidR="009F33CD" w:rsidRDefault="00E40740">
            <w:pPr>
              <w:spacing w:after="240" w:line="240" w:lineRule="auto"/>
              <w:jc w:val="center"/>
              <w:rPr>
                <w:rFonts w:cs="Times New Roman"/>
                <w:sz w:val="20"/>
                <w:lang w:val="en-US"/>
              </w:rPr>
            </w:pPr>
            <w:r>
              <w:rPr>
                <w:rFonts w:cs="Times New Roman"/>
                <w:sz w:val="20"/>
                <w:lang w:val="en-US"/>
              </w:rPr>
              <w:t>51.025</w:t>
            </w:r>
          </w:p>
        </w:tc>
        <w:tc>
          <w:tcPr>
            <w:tcW w:w="429" w:type="pct"/>
            <w:tcBorders>
              <w:top w:val="single" w:sz="4" w:space="0" w:color="auto"/>
            </w:tcBorders>
          </w:tcPr>
          <w:p w14:paraId="30FDEB80" w14:textId="77777777" w:rsidR="009F33CD" w:rsidRDefault="00E40740">
            <w:pPr>
              <w:spacing w:after="240" w:line="240" w:lineRule="auto"/>
              <w:jc w:val="center"/>
              <w:rPr>
                <w:rFonts w:cs="Times New Roman"/>
                <w:sz w:val="20"/>
                <w:lang w:val="en-US"/>
              </w:rPr>
            </w:pPr>
            <w:r>
              <w:rPr>
                <w:rFonts w:cs="Times New Roman"/>
                <w:sz w:val="20"/>
                <w:lang w:val="en-US"/>
              </w:rPr>
              <w:t>4</w:t>
            </w:r>
          </w:p>
        </w:tc>
        <w:tc>
          <w:tcPr>
            <w:tcW w:w="429" w:type="pct"/>
            <w:tcBorders>
              <w:top w:val="single" w:sz="4" w:space="0" w:color="auto"/>
            </w:tcBorders>
          </w:tcPr>
          <w:p w14:paraId="18405B34" w14:textId="77777777" w:rsidR="009F33CD" w:rsidRDefault="00E40740">
            <w:pPr>
              <w:spacing w:after="240" w:line="240" w:lineRule="auto"/>
              <w:jc w:val="center"/>
              <w:rPr>
                <w:rFonts w:cs="Times New Roman"/>
                <w:sz w:val="20"/>
                <w:lang w:val="en-US"/>
              </w:rPr>
            </w:pPr>
            <w:r>
              <w:rPr>
                <w:rFonts w:cs="Times New Roman"/>
                <w:sz w:val="20"/>
                <w:lang w:val="en-US"/>
              </w:rPr>
              <w:t>113</w:t>
            </w:r>
          </w:p>
        </w:tc>
        <w:tc>
          <w:tcPr>
            <w:tcW w:w="616" w:type="pct"/>
            <w:tcBorders>
              <w:top w:val="single" w:sz="4" w:space="0" w:color="auto"/>
            </w:tcBorders>
          </w:tcPr>
          <w:p w14:paraId="77F79B3A" w14:textId="77777777" w:rsidR="009F33CD" w:rsidRDefault="00E40740">
            <w:pPr>
              <w:spacing w:after="240" w:line="240" w:lineRule="auto"/>
              <w:jc w:val="center"/>
              <w:rPr>
                <w:rFonts w:cs="Times New Roman"/>
                <w:sz w:val="20"/>
                <w:lang w:val="en-US"/>
              </w:rPr>
            </w:pPr>
            <w:r>
              <w:rPr>
                <w:rFonts w:cs="Times New Roman"/>
                <w:sz w:val="20"/>
                <w:lang w:val="en-US"/>
              </w:rPr>
              <w:t>.000</w:t>
            </w:r>
          </w:p>
        </w:tc>
      </w:tr>
      <w:tr w:rsidR="009F33CD" w14:paraId="28C4B9F7" w14:textId="77777777">
        <w:trPr>
          <w:cantSplit/>
          <w:trHeight w:val="128"/>
        </w:trPr>
        <w:tc>
          <w:tcPr>
            <w:tcW w:w="333" w:type="pct"/>
            <w:tcBorders>
              <w:bottom w:val="single" w:sz="4" w:space="0" w:color="auto"/>
            </w:tcBorders>
          </w:tcPr>
          <w:p w14:paraId="4A957787" w14:textId="77777777" w:rsidR="009F33CD" w:rsidRDefault="00E40740">
            <w:pPr>
              <w:spacing w:after="240" w:line="240" w:lineRule="auto"/>
              <w:rPr>
                <w:rFonts w:cs="Times New Roman"/>
                <w:sz w:val="20"/>
                <w:lang w:val="en-US"/>
              </w:rPr>
            </w:pPr>
            <w:r>
              <w:rPr>
                <w:rFonts w:cs="Times New Roman"/>
                <w:sz w:val="20"/>
                <w:lang w:val="en-US"/>
              </w:rPr>
              <w:t>2</w:t>
            </w:r>
          </w:p>
        </w:tc>
        <w:tc>
          <w:tcPr>
            <w:tcW w:w="366" w:type="pct"/>
            <w:tcBorders>
              <w:bottom w:val="single" w:sz="4" w:space="0" w:color="auto"/>
            </w:tcBorders>
          </w:tcPr>
          <w:p w14:paraId="631743E4" w14:textId="77777777" w:rsidR="009F33CD" w:rsidRDefault="00E40740">
            <w:pPr>
              <w:spacing w:after="240" w:line="240" w:lineRule="auto"/>
              <w:rPr>
                <w:rFonts w:cs="Times New Roman"/>
                <w:sz w:val="20"/>
                <w:lang w:val="en-US"/>
              </w:rPr>
            </w:pPr>
            <w:r>
              <w:rPr>
                <w:rFonts w:cs="Times New Roman"/>
                <w:sz w:val="20"/>
                <w:lang w:val="en-US"/>
              </w:rPr>
              <w:t>.807</w:t>
            </w:r>
            <w:r>
              <w:rPr>
                <w:rFonts w:cs="Times New Roman"/>
                <w:sz w:val="20"/>
                <w:vertAlign w:val="superscript"/>
                <w:lang w:val="en-US"/>
              </w:rPr>
              <w:t>b</w:t>
            </w:r>
          </w:p>
        </w:tc>
        <w:tc>
          <w:tcPr>
            <w:tcW w:w="467" w:type="pct"/>
            <w:tcBorders>
              <w:bottom w:val="single" w:sz="4" w:space="0" w:color="auto"/>
            </w:tcBorders>
          </w:tcPr>
          <w:p w14:paraId="0E947778" w14:textId="77777777" w:rsidR="009F33CD" w:rsidRDefault="00E40740">
            <w:pPr>
              <w:spacing w:after="240" w:line="240" w:lineRule="auto"/>
              <w:rPr>
                <w:rFonts w:cs="Times New Roman"/>
                <w:sz w:val="20"/>
                <w:lang w:val="en-US"/>
              </w:rPr>
            </w:pPr>
            <w:r>
              <w:rPr>
                <w:rFonts w:cs="Times New Roman"/>
                <w:sz w:val="20"/>
                <w:lang w:val="en-US"/>
              </w:rPr>
              <w:t>.650</w:t>
            </w:r>
          </w:p>
        </w:tc>
        <w:tc>
          <w:tcPr>
            <w:tcW w:w="665" w:type="pct"/>
            <w:tcBorders>
              <w:bottom w:val="single" w:sz="4" w:space="0" w:color="auto"/>
            </w:tcBorders>
          </w:tcPr>
          <w:p w14:paraId="70B7F0CF" w14:textId="77777777" w:rsidR="009F33CD" w:rsidRDefault="00E40740">
            <w:pPr>
              <w:spacing w:after="240" w:line="240" w:lineRule="auto"/>
              <w:rPr>
                <w:rFonts w:cs="Times New Roman"/>
                <w:sz w:val="20"/>
                <w:lang w:val="en-US"/>
              </w:rPr>
            </w:pPr>
            <w:r>
              <w:rPr>
                <w:rFonts w:cs="Times New Roman"/>
                <w:sz w:val="20"/>
                <w:lang w:val="en-US"/>
              </w:rPr>
              <w:t>.635</w:t>
            </w:r>
          </w:p>
        </w:tc>
        <w:tc>
          <w:tcPr>
            <w:tcW w:w="614" w:type="pct"/>
            <w:tcBorders>
              <w:bottom w:val="single" w:sz="4" w:space="0" w:color="auto"/>
            </w:tcBorders>
          </w:tcPr>
          <w:p w14:paraId="5B9E3A92" w14:textId="77777777" w:rsidR="009F33CD" w:rsidRDefault="00E40740">
            <w:pPr>
              <w:spacing w:line="240" w:lineRule="auto"/>
              <w:jc w:val="center"/>
              <w:rPr>
                <w:rFonts w:cs="Times New Roman"/>
                <w:sz w:val="20"/>
                <w:lang w:val="en-US"/>
              </w:rPr>
            </w:pPr>
            <w:r>
              <w:rPr>
                <w:rFonts w:cs="Times New Roman"/>
                <w:sz w:val="20"/>
                <w:lang w:val="en-US"/>
              </w:rPr>
              <w:t>.56180</w:t>
            </w:r>
          </w:p>
        </w:tc>
        <w:tc>
          <w:tcPr>
            <w:tcW w:w="614" w:type="pct"/>
            <w:tcBorders>
              <w:bottom w:val="single" w:sz="4" w:space="0" w:color="auto"/>
            </w:tcBorders>
          </w:tcPr>
          <w:p w14:paraId="6039D92A" w14:textId="77777777" w:rsidR="009F33CD" w:rsidRDefault="00E40740">
            <w:pPr>
              <w:spacing w:after="240" w:line="240" w:lineRule="auto"/>
              <w:rPr>
                <w:rFonts w:cs="Times New Roman"/>
                <w:sz w:val="20"/>
                <w:lang w:val="en-US"/>
              </w:rPr>
            </w:pPr>
            <w:r>
              <w:rPr>
                <w:rFonts w:cs="Times New Roman"/>
                <w:sz w:val="20"/>
                <w:lang w:val="en-US"/>
              </w:rPr>
              <w:t>.007</w:t>
            </w:r>
          </w:p>
        </w:tc>
        <w:tc>
          <w:tcPr>
            <w:tcW w:w="467" w:type="pct"/>
            <w:tcBorders>
              <w:bottom w:val="single" w:sz="4" w:space="0" w:color="auto"/>
            </w:tcBorders>
          </w:tcPr>
          <w:p w14:paraId="264D1034" w14:textId="77777777" w:rsidR="009F33CD" w:rsidRDefault="00E40740">
            <w:pPr>
              <w:spacing w:after="240" w:line="240" w:lineRule="auto"/>
              <w:jc w:val="center"/>
              <w:rPr>
                <w:rFonts w:cs="Times New Roman"/>
                <w:sz w:val="20"/>
                <w:lang w:val="en-US"/>
              </w:rPr>
            </w:pPr>
            <w:r>
              <w:rPr>
                <w:rFonts w:cs="Times New Roman"/>
                <w:sz w:val="20"/>
                <w:lang w:val="en-US"/>
              </w:rPr>
              <w:t>2.182</w:t>
            </w:r>
          </w:p>
        </w:tc>
        <w:tc>
          <w:tcPr>
            <w:tcW w:w="429" w:type="pct"/>
            <w:tcBorders>
              <w:bottom w:val="single" w:sz="4" w:space="0" w:color="auto"/>
            </w:tcBorders>
          </w:tcPr>
          <w:p w14:paraId="75735C9A" w14:textId="77777777" w:rsidR="009F33CD" w:rsidRDefault="00E40740">
            <w:pPr>
              <w:spacing w:after="240" w:line="240" w:lineRule="auto"/>
              <w:jc w:val="center"/>
              <w:rPr>
                <w:rFonts w:cs="Times New Roman"/>
                <w:sz w:val="20"/>
                <w:lang w:val="en-US"/>
              </w:rPr>
            </w:pPr>
            <w:r>
              <w:rPr>
                <w:rFonts w:cs="Times New Roman"/>
                <w:sz w:val="20"/>
                <w:lang w:val="en-US"/>
              </w:rPr>
              <w:t>1</w:t>
            </w:r>
          </w:p>
        </w:tc>
        <w:tc>
          <w:tcPr>
            <w:tcW w:w="429" w:type="pct"/>
            <w:tcBorders>
              <w:bottom w:val="single" w:sz="4" w:space="0" w:color="auto"/>
            </w:tcBorders>
          </w:tcPr>
          <w:p w14:paraId="65B4653F" w14:textId="77777777" w:rsidR="009F33CD" w:rsidRDefault="00E40740">
            <w:pPr>
              <w:spacing w:after="240" w:line="240" w:lineRule="auto"/>
              <w:jc w:val="center"/>
              <w:rPr>
                <w:rFonts w:cs="Times New Roman"/>
                <w:sz w:val="20"/>
                <w:lang w:val="en-US"/>
              </w:rPr>
            </w:pPr>
            <w:r>
              <w:rPr>
                <w:rFonts w:cs="Times New Roman"/>
                <w:sz w:val="20"/>
                <w:lang w:val="en-US"/>
              </w:rPr>
              <w:t>112</w:t>
            </w:r>
          </w:p>
        </w:tc>
        <w:tc>
          <w:tcPr>
            <w:tcW w:w="616" w:type="pct"/>
            <w:tcBorders>
              <w:bottom w:val="single" w:sz="4" w:space="0" w:color="auto"/>
            </w:tcBorders>
          </w:tcPr>
          <w:p w14:paraId="549D11E7" w14:textId="77777777" w:rsidR="009F33CD" w:rsidRDefault="00E40740">
            <w:pPr>
              <w:spacing w:after="240" w:line="240" w:lineRule="auto"/>
              <w:jc w:val="center"/>
              <w:rPr>
                <w:rFonts w:cs="Times New Roman"/>
                <w:sz w:val="20"/>
                <w:lang w:val="en-US"/>
              </w:rPr>
            </w:pPr>
            <w:r>
              <w:rPr>
                <w:rFonts w:cs="Times New Roman"/>
                <w:sz w:val="20"/>
                <w:lang w:val="en-US"/>
              </w:rPr>
              <w:t>.001</w:t>
            </w:r>
          </w:p>
        </w:tc>
      </w:tr>
      <w:tr w:rsidR="009F33CD" w14:paraId="4BFEACC6" w14:textId="77777777">
        <w:trPr>
          <w:cantSplit/>
          <w:trHeight w:val="128"/>
        </w:trPr>
        <w:tc>
          <w:tcPr>
            <w:tcW w:w="5000" w:type="pct"/>
            <w:gridSpan w:val="10"/>
            <w:tcBorders>
              <w:top w:val="single" w:sz="4" w:space="0" w:color="auto"/>
              <w:bottom w:val="nil"/>
            </w:tcBorders>
          </w:tcPr>
          <w:p w14:paraId="1E1EF38D" w14:textId="77777777" w:rsidR="009F33CD" w:rsidRDefault="00E40740">
            <w:pPr>
              <w:spacing w:before="0" w:beforeAutospacing="0" w:after="0" w:afterAutospacing="0" w:line="240" w:lineRule="auto"/>
              <w:rPr>
                <w:rFonts w:cs="Times New Roman"/>
                <w:sz w:val="20"/>
                <w:lang w:val="en-US"/>
              </w:rPr>
            </w:pPr>
            <w:r>
              <w:rPr>
                <w:rFonts w:cs="Times New Roman"/>
                <w:sz w:val="20"/>
                <w:lang w:val="en-US"/>
              </w:rPr>
              <w:t xml:space="preserve">a. Predictors: (Constant), </w:t>
            </w:r>
            <w:r>
              <w:rPr>
                <w:rFonts w:cs="Times New Roman"/>
                <w:bCs/>
                <w:sz w:val="20"/>
              </w:rPr>
              <w:t>X</w:t>
            </w:r>
            <w:r>
              <w:rPr>
                <w:rFonts w:cs="Times New Roman"/>
                <w:bCs/>
                <w:sz w:val="20"/>
                <w:vertAlign w:val="subscript"/>
              </w:rPr>
              <w:t>1</w:t>
            </w:r>
            <w:r>
              <w:rPr>
                <w:rFonts w:cs="Times New Roman"/>
                <w:bCs/>
                <w:sz w:val="20"/>
              </w:rPr>
              <w:t>, X</w:t>
            </w:r>
            <w:r>
              <w:rPr>
                <w:rFonts w:cs="Times New Roman"/>
                <w:bCs/>
                <w:sz w:val="20"/>
                <w:vertAlign w:val="subscript"/>
              </w:rPr>
              <w:t>2</w:t>
            </w:r>
            <w:r>
              <w:rPr>
                <w:rFonts w:cs="Times New Roman"/>
                <w:bCs/>
                <w:sz w:val="20"/>
              </w:rPr>
              <w:t>, X</w:t>
            </w:r>
            <w:r>
              <w:rPr>
                <w:rFonts w:cs="Times New Roman"/>
                <w:bCs/>
                <w:sz w:val="20"/>
                <w:vertAlign w:val="subscript"/>
              </w:rPr>
              <w:t>3</w:t>
            </w:r>
            <w:r>
              <w:rPr>
                <w:rFonts w:cs="Times New Roman"/>
                <w:bCs/>
                <w:sz w:val="20"/>
              </w:rPr>
              <w:t>, and X</w:t>
            </w:r>
            <w:r>
              <w:rPr>
                <w:rFonts w:cs="Times New Roman"/>
                <w:bCs/>
                <w:sz w:val="20"/>
                <w:vertAlign w:val="subscript"/>
              </w:rPr>
              <w:t>4</w:t>
            </w:r>
            <w:r>
              <w:rPr>
                <w:rFonts w:cs="Times New Roman"/>
                <w:bCs/>
                <w:sz w:val="20"/>
              </w:rPr>
              <w:t xml:space="preserve"> </w:t>
            </w:r>
          </w:p>
          <w:p w14:paraId="24723241" w14:textId="77777777" w:rsidR="009F33CD" w:rsidRDefault="00E40740">
            <w:pPr>
              <w:spacing w:before="0" w:beforeAutospacing="0" w:after="0" w:afterAutospacing="0" w:line="240" w:lineRule="auto"/>
              <w:rPr>
                <w:rFonts w:cs="Times New Roman"/>
                <w:sz w:val="20"/>
                <w:lang w:val="en-US"/>
              </w:rPr>
            </w:pPr>
            <w:r>
              <w:rPr>
                <w:rFonts w:cs="Times New Roman"/>
                <w:sz w:val="20"/>
                <w:lang w:val="en-US"/>
              </w:rPr>
              <w:t>b. Predictors: (Constant),</w:t>
            </w:r>
            <w:r>
              <w:rPr>
                <w:rFonts w:cs="Times New Roman"/>
                <w:bCs/>
              </w:rPr>
              <w:t xml:space="preserve"> </w:t>
            </w:r>
            <w:r>
              <w:rPr>
                <w:rFonts w:cs="Times New Roman"/>
                <w:bCs/>
                <w:sz w:val="20"/>
              </w:rPr>
              <w:t>X</w:t>
            </w:r>
            <w:r>
              <w:rPr>
                <w:rFonts w:cs="Times New Roman"/>
                <w:bCs/>
                <w:sz w:val="20"/>
                <w:vertAlign w:val="subscript"/>
              </w:rPr>
              <w:t>1</w:t>
            </w:r>
            <w:r>
              <w:rPr>
                <w:rFonts w:cs="Times New Roman"/>
                <w:bCs/>
                <w:sz w:val="20"/>
              </w:rPr>
              <w:t>, X</w:t>
            </w:r>
            <w:r>
              <w:rPr>
                <w:rFonts w:cs="Times New Roman"/>
                <w:bCs/>
                <w:sz w:val="20"/>
                <w:vertAlign w:val="subscript"/>
              </w:rPr>
              <w:t>2</w:t>
            </w:r>
            <w:r>
              <w:rPr>
                <w:rFonts w:cs="Times New Roman"/>
                <w:bCs/>
                <w:sz w:val="20"/>
              </w:rPr>
              <w:t>, X</w:t>
            </w:r>
            <w:r>
              <w:rPr>
                <w:rFonts w:cs="Times New Roman"/>
                <w:bCs/>
                <w:sz w:val="20"/>
                <w:vertAlign w:val="subscript"/>
              </w:rPr>
              <w:t>3</w:t>
            </w:r>
            <w:r>
              <w:rPr>
                <w:rFonts w:cs="Times New Roman"/>
                <w:bCs/>
                <w:sz w:val="20"/>
              </w:rPr>
              <w:t>, and X</w:t>
            </w:r>
            <w:r>
              <w:rPr>
                <w:rFonts w:cs="Times New Roman"/>
                <w:bCs/>
                <w:sz w:val="20"/>
                <w:vertAlign w:val="subscript"/>
              </w:rPr>
              <w:t xml:space="preserve">4 </w:t>
            </w:r>
            <w:r>
              <w:rPr>
                <w:rFonts w:cs="Times New Roman"/>
                <w:sz w:val="20"/>
                <w:lang w:val="en-US"/>
              </w:rPr>
              <w:t>, GHRM-Bureaucratic style</w:t>
            </w:r>
          </w:p>
        </w:tc>
      </w:tr>
    </w:tbl>
    <w:p w14:paraId="0436F483" w14:textId="77777777" w:rsidR="009F33CD" w:rsidRDefault="00A63BEB">
      <w:pPr>
        <w:rPr>
          <w:rFonts w:cs="Times New Roman"/>
          <w:lang w:val="en-US"/>
        </w:rPr>
      </w:pPr>
      <w:r>
        <w:rPr>
          <w:rFonts w:cs="Times New Roman"/>
          <w:lang w:val="en-US"/>
        </w:rPr>
        <w:t>Table 4.48</w:t>
      </w:r>
      <w:r w:rsidR="00E40740">
        <w:rPr>
          <w:rFonts w:cs="Times New Roman"/>
          <w:lang w:val="en-US"/>
        </w:rPr>
        <w:t xml:space="preserve"> indicates that the addition of a bureaucratic management style to the model significantly improved the model fit, with an increase in R² from .644 to .650 (R² change = .007, F (1, 112) = 2.182, p = .001). This suggests that the bureaucratic management style has a small but significant moderating effect on the relationship between the independent variables (green human resource management practices) and the performance of devolved healthcare services in Kenya.</w:t>
      </w:r>
    </w:p>
    <w:p w14:paraId="4B4EEB21" w14:textId="77777777" w:rsidR="002E7E4A" w:rsidRDefault="002E7E4A">
      <w:pPr>
        <w:autoSpaceDE/>
        <w:autoSpaceDN/>
        <w:adjustRightInd/>
        <w:spacing w:before="0" w:beforeAutospacing="0" w:after="0" w:afterAutospacing="0" w:line="240" w:lineRule="auto"/>
        <w:jc w:val="left"/>
        <w:rPr>
          <w:rFonts w:eastAsiaTheme="majorEastAsia" w:cstheme="majorBidi"/>
          <w:b/>
          <w:lang w:val="en-US"/>
        </w:rPr>
      </w:pPr>
      <w:bookmarkStart w:id="1587" w:name="_Toc185614150"/>
      <w:bookmarkStart w:id="1588" w:name="_Toc187080922"/>
    </w:p>
    <w:p w14:paraId="2D9F2AE7" w14:textId="77777777" w:rsidR="00083B01" w:rsidRDefault="00083B01">
      <w:pPr>
        <w:autoSpaceDE/>
        <w:autoSpaceDN/>
        <w:adjustRightInd/>
        <w:spacing w:before="0" w:beforeAutospacing="0" w:after="0" w:afterAutospacing="0" w:line="240" w:lineRule="auto"/>
        <w:jc w:val="left"/>
        <w:rPr>
          <w:rFonts w:eastAsiaTheme="majorEastAsia" w:cstheme="majorBidi"/>
          <w:b/>
          <w:lang w:val="en-US"/>
        </w:rPr>
      </w:pPr>
    </w:p>
    <w:p w14:paraId="4E3DB88F" w14:textId="77777777" w:rsidR="00083B01" w:rsidRDefault="00083B01">
      <w:pPr>
        <w:autoSpaceDE/>
        <w:autoSpaceDN/>
        <w:adjustRightInd/>
        <w:spacing w:before="0" w:beforeAutospacing="0" w:after="0" w:afterAutospacing="0" w:line="240" w:lineRule="auto"/>
        <w:jc w:val="left"/>
        <w:rPr>
          <w:rFonts w:eastAsiaTheme="majorEastAsia" w:cstheme="majorBidi"/>
          <w:b/>
          <w:lang w:val="en-US"/>
        </w:rPr>
      </w:pPr>
    </w:p>
    <w:p w14:paraId="30DE1B38" w14:textId="77777777" w:rsidR="00083B01" w:rsidRDefault="00083B01">
      <w:pPr>
        <w:autoSpaceDE/>
        <w:autoSpaceDN/>
        <w:adjustRightInd/>
        <w:spacing w:before="0" w:beforeAutospacing="0" w:after="0" w:afterAutospacing="0" w:line="240" w:lineRule="auto"/>
        <w:jc w:val="left"/>
        <w:rPr>
          <w:rFonts w:eastAsiaTheme="majorEastAsia" w:cstheme="majorBidi"/>
          <w:b/>
          <w:lang w:val="en-US"/>
        </w:rPr>
      </w:pPr>
    </w:p>
    <w:p w14:paraId="53C701F1" w14:textId="77777777" w:rsidR="009F33CD" w:rsidRDefault="00A63BEB">
      <w:pPr>
        <w:pStyle w:val="Heading6"/>
        <w:rPr>
          <w:lang w:val="en-US"/>
        </w:rPr>
      </w:pPr>
      <w:bookmarkStart w:id="1589" w:name="_Toc224237478"/>
      <w:r>
        <w:rPr>
          <w:lang w:val="en-US"/>
        </w:rPr>
        <w:lastRenderedPageBreak/>
        <w:t>Table 4.49</w:t>
      </w:r>
      <w:r w:rsidR="00E40740">
        <w:rPr>
          <w:lang w:val="en-US"/>
        </w:rPr>
        <w:t>: Regression Coefficient Results Moderated by Bureaucratic Management Style</w:t>
      </w:r>
      <w:bookmarkEnd w:id="1587"/>
      <w:bookmarkEnd w:id="1588"/>
      <w:bookmarkEnd w:id="1589"/>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79"/>
        <w:gridCol w:w="2145"/>
        <w:gridCol w:w="1026"/>
        <w:gridCol w:w="1226"/>
        <w:gridCol w:w="1355"/>
        <w:gridCol w:w="945"/>
        <w:gridCol w:w="944"/>
      </w:tblGrid>
      <w:tr w:rsidR="009F33CD" w14:paraId="443BEAAB" w14:textId="77777777" w:rsidTr="00A63BEB">
        <w:trPr>
          <w:cantSplit/>
        </w:trPr>
        <w:tc>
          <w:tcPr>
            <w:tcW w:w="1657" w:type="pct"/>
            <w:gridSpan w:val="2"/>
            <w:vMerge w:val="restart"/>
          </w:tcPr>
          <w:p w14:paraId="14A26926" w14:textId="77777777" w:rsidR="009F33CD" w:rsidRDefault="00E40740" w:rsidP="00A63BEB">
            <w:pPr>
              <w:spacing w:after="240" w:line="240" w:lineRule="auto"/>
              <w:jc w:val="left"/>
              <w:rPr>
                <w:rFonts w:cs="Times New Roman"/>
                <w:b/>
                <w:bCs/>
                <w:lang w:val="en-US"/>
              </w:rPr>
            </w:pPr>
            <w:r>
              <w:rPr>
                <w:rFonts w:cs="Times New Roman"/>
                <w:b/>
                <w:bCs/>
                <w:lang w:val="en-US"/>
              </w:rPr>
              <w:t>Model</w:t>
            </w:r>
          </w:p>
        </w:tc>
        <w:tc>
          <w:tcPr>
            <w:tcW w:w="1370" w:type="pct"/>
            <w:gridSpan w:val="2"/>
            <w:tcBorders>
              <w:bottom w:val="single" w:sz="4" w:space="0" w:color="auto"/>
            </w:tcBorders>
            <w:vAlign w:val="bottom"/>
          </w:tcPr>
          <w:p w14:paraId="35A88E2D" w14:textId="77777777" w:rsidR="009F33CD" w:rsidRDefault="00E40740">
            <w:pPr>
              <w:spacing w:after="240" w:line="240" w:lineRule="auto"/>
              <w:rPr>
                <w:rFonts w:cs="Times New Roman"/>
                <w:b/>
                <w:bCs/>
                <w:lang w:val="en-US"/>
              </w:rPr>
            </w:pPr>
            <w:r>
              <w:rPr>
                <w:rFonts w:cs="Times New Roman"/>
                <w:b/>
                <w:bCs/>
                <w:lang w:val="en-US"/>
              </w:rPr>
              <w:t>Unstandardized Coefficients</w:t>
            </w:r>
          </w:p>
        </w:tc>
        <w:tc>
          <w:tcPr>
            <w:tcW w:w="824" w:type="pct"/>
            <w:tcBorders>
              <w:bottom w:val="single" w:sz="4" w:space="0" w:color="auto"/>
            </w:tcBorders>
            <w:vAlign w:val="bottom"/>
          </w:tcPr>
          <w:p w14:paraId="1E63371B" w14:textId="77777777" w:rsidR="009F33CD" w:rsidRDefault="00E40740">
            <w:pPr>
              <w:spacing w:after="240" w:line="240" w:lineRule="auto"/>
              <w:rPr>
                <w:rFonts w:cs="Times New Roman"/>
                <w:b/>
                <w:bCs/>
                <w:lang w:val="en-US"/>
              </w:rPr>
            </w:pPr>
            <w:r>
              <w:rPr>
                <w:rFonts w:cs="Times New Roman"/>
                <w:b/>
                <w:bCs/>
                <w:lang w:val="en-US"/>
              </w:rPr>
              <w:t>Standardized Coefficients</w:t>
            </w:r>
          </w:p>
        </w:tc>
        <w:tc>
          <w:tcPr>
            <w:tcW w:w="575" w:type="pct"/>
            <w:vMerge w:val="restart"/>
          </w:tcPr>
          <w:p w14:paraId="5F45C9B8" w14:textId="77777777" w:rsidR="009F33CD" w:rsidRDefault="00E40740" w:rsidP="00A63BEB">
            <w:pPr>
              <w:spacing w:after="240" w:line="240" w:lineRule="auto"/>
              <w:jc w:val="center"/>
              <w:rPr>
                <w:rFonts w:cs="Times New Roman"/>
                <w:b/>
                <w:bCs/>
                <w:lang w:val="en-US"/>
              </w:rPr>
            </w:pPr>
            <w:r>
              <w:rPr>
                <w:rFonts w:cs="Times New Roman"/>
                <w:b/>
                <w:bCs/>
                <w:lang w:val="en-US"/>
              </w:rPr>
              <w:t>t</w:t>
            </w:r>
          </w:p>
        </w:tc>
        <w:tc>
          <w:tcPr>
            <w:tcW w:w="574" w:type="pct"/>
            <w:vMerge w:val="restart"/>
          </w:tcPr>
          <w:p w14:paraId="1358798E" w14:textId="77777777" w:rsidR="009F33CD" w:rsidRDefault="00E40740" w:rsidP="00A63BEB">
            <w:pPr>
              <w:spacing w:after="240" w:line="240" w:lineRule="auto"/>
              <w:jc w:val="center"/>
              <w:rPr>
                <w:rFonts w:cs="Times New Roman"/>
                <w:b/>
                <w:bCs/>
                <w:lang w:val="en-US"/>
              </w:rPr>
            </w:pPr>
            <w:r>
              <w:rPr>
                <w:rFonts w:cs="Times New Roman"/>
                <w:b/>
                <w:bCs/>
                <w:lang w:val="en-US"/>
              </w:rPr>
              <w:t>Sig.</w:t>
            </w:r>
          </w:p>
        </w:tc>
      </w:tr>
      <w:tr w:rsidR="009F33CD" w14:paraId="6D872C54" w14:textId="77777777" w:rsidTr="00A63BEB">
        <w:trPr>
          <w:cantSplit/>
        </w:trPr>
        <w:tc>
          <w:tcPr>
            <w:tcW w:w="1657" w:type="pct"/>
            <w:gridSpan w:val="2"/>
            <w:vMerge/>
            <w:tcBorders>
              <w:bottom w:val="single" w:sz="4" w:space="0" w:color="auto"/>
            </w:tcBorders>
            <w:vAlign w:val="bottom"/>
          </w:tcPr>
          <w:p w14:paraId="49A670CC" w14:textId="77777777" w:rsidR="009F33CD" w:rsidRDefault="009F33CD">
            <w:pPr>
              <w:spacing w:after="240" w:line="240" w:lineRule="auto"/>
              <w:rPr>
                <w:rFonts w:cs="Times New Roman"/>
                <w:lang w:val="en-US"/>
              </w:rPr>
            </w:pPr>
          </w:p>
        </w:tc>
        <w:tc>
          <w:tcPr>
            <w:tcW w:w="624" w:type="pct"/>
            <w:tcBorders>
              <w:top w:val="single" w:sz="4" w:space="0" w:color="auto"/>
              <w:bottom w:val="single" w:sz="4" w:space="0" w:color="auto"/>
            </w:tcBorders>
            <w:vAlign w:val="bottom"/>
          </w:tcPr>
          <w:p w14:paraId="11421150" w14:textId="77777777" w:rsidR="009F33CD" w:rsidRDefault="00E40740">
            <w:pPr>
              <w:spacing w:after="240" w:line="240" w:lineRule="auto"/>
              <w:jc w:val="center"/>
              <w:rPr>
                <w:rFonts w:cs="Times New Roman"/>
                <w:b/>
                <w:bCs/>
                <w:lang w:val="en-US"/>
              </w:rPr>
            </w:pPr>
            <w:r>
              <w:rPr>
                <w:rFonts w:cs="Times New Roman"/>
                <w:b/>
                <w:bCs/>
                <w:lang w:val="en-US"/>
              </w:rPr>
              <w:t>B</w:t>
            </w:r>
          </w:p>
        </w:tc>
        <w:tc>
          <w:tcPr>
            <w:tcW w:w="746" w:type="pct"/>
            <w:tcBorders>
              <w:top w:val="single" w:sz="4" w:space="0" w:color="auto"/>
              <w:bottom w:val="single" w:sz="4" w:space="0" w:color="auto"/>
            </w:tcBorders>
            <w:vAlign w:val="bottom"/>
          </w:tcPr>
          <w:p w14:paraId="2E9EDD51" w14:textId="77777777" w:rsidR="009F33CD" w:rsidRDefault="00E40740">
            <w:pPr>
              <w:spacing w:after="240" w:line="240" w:lineRule="auto"/>
              <w:jc w:val="center"/>
              <w:rPr>
                <w:rFonts w:cs="Times New Roman"/>
                <w:b/>
                <w:bCs/>
                <w:lang w:val="en-US"/>
              </w:rPr>
            </w:pPr>
            <w:r>
              <w:rPr>
                <w:rFonts w:cs="Times New Roman"/>
                <w:b/>
                <w:bCs/>
                <w:lang w:val="en-US"/>
              </w:rPr>
              <w:t>Std. Error</w:t>
            </w:r>
          </w:p>
        </w:tc>
        <w:tc>
          <w:tcPr>
            <w:tcW w:w="824" w:type="pct"/>
            <w:tcBorders>
              <w:top w:val="single" w:sz="4" w:space="0" w:color="auto"/>
              <w:bottom w:val="single" w:sz="4" w:space="0" w:color="auto"/>
            </w:tcBorders>
            <w:vAlign w:val="bottom"/>
          </w:tcPr>
          <w:p w14:paraId="1F9D2932" w14:textId="77777777" w:rsidR="009F33CD" w:rsidRDefault="00E40740">
            <w:pPr>
              <w:spacing w:after="240" w:line="240" w:lineRule="auto"/>
              <w:jc w:val="center"/>
              <w:rPr>
                <w:rFonts w:cs="Times New Roman"/>
                <w:b/>
                <w:bCs/>
                <w:lang w:val="en-US"/>
              </w:rPr>
            </w:pPr>
            <w:r>
              <w:rPr>
                <w:rFonts w:cs="Times New Roman"/>
                <w:b/>
                <w:bCs/>
                <w:lang w:val="en-US"/>
              </w:rPr>
              <w:t>Beta</w:t>
            </w:r>
          </w:p>
        </w:tc>
        <w:tc>
          <w:tcPr>
            <w:tcW w:w="575" w:type="pct"/>
            <w:vMerge/>
            <w:tcBorders>
              <w:bottom w:val="single" w:sz="4" w:space="0" w:color="auto"/>
            </w:tcBorders>
          </w:tcPr>
          <w:p w14:paraId="6B42228D" w14:textId="77777777" w:rsidR="009F33CD" w:rsidRDefault="009F33CD" w:rsidP="00A63BEB">
            <w:pPr>
              <w:spacing w:after="240" w:line="240" w:lineRule="auto"/>
              <w:jc w:val="center"/>
              <w:rPr>
                <w:rFonts w:cs="Times New Roman"/>
                <w:lang w:val="en-US"/>
              </w:rPr>
            </w:pPr>
          </w:p>
        </w:tc>
        <w:tc>
          <w:tcPr>
            <w:tcW w:w="574" w:type="pct"/>
            <w:vMerge/>
            <w:tcBorders>
              <w:bottom w:val="single" w:sz="4" w:space="0" w:color="auto"/>
            </w:tcBorders>
          </w:tcPr>
          <w:p w14:paraId="63346EAF" w14:textId="77777777" w:rsidR="009F33CD" w:rsidRDefault="009F33CD" w:rsidP="00A63BEB">
            <w:pPr>
              <w:spacing w:after="240" w:line="240" w:lineRule="auto"/>
              <w:jc w:val="center"/>
              <w:rPr>
                <w:rFonts w:cs="Times New Roman"/>
                <w:lang w:val="en-US"/>
              </w:rPr>
            </w:pPr>
          </w:p>
        </w:tc>
      </w:tr>
      <w:tr w:rsidR="009F33CD" w14:paraId="7D43B0C8" w14:textId="77777777" w:rsidTr="00A63BEB">
        <w:trPr>
          <w:cantSplit/>
        </w:trPr>
        <w:tc>
          <w:tcPr>
            <w:tcW w:w="352" w:type="pct"/>
            <w:vMerge w:val="restart"/>
            <w:tcBorders>
              <w:top w:val="single" w:sz="4" w:space="0" w:color="auto"/>
              <w:bottom w:val="nil"/>
            </w:tcBorders>
          </w:tcPr>
          <w:p w14:paraId="75BC7CE9" w14:textId="77777777" w:rsidR="009F33CD" w:rsidRDefault="00E40740">
            <w:pPr>
              <w:spacing w:after="240" w:line="240" w:lineRule="auto"/>
              <w:rPr>
                <w:rFonts w:cs="Times New Roman"/>
                <w:lang w:val="en-US"/>
              </w:rPr>
            </w:pPr>
            <w:r>
              <w:rPr>
                <w:rFonts w:cs="Times New Roman"/>
                <w:lang w:val="en-US"/>
              </w:rPr>
              <w:t>1</w:t>
            </w:r>
          </w:p>
        </w:tc>
        <w:tc>
          <w:tcPr>
            <w:tcW w:w="1304" w:type="pct"/>
            <w:tcBorders>
              <w:top w:val="single" w:sz="4" w:space="0" w:color="auto"/>
              <w:bottom w:val="nil"/>
            </w:tcBorders>
          </w:tcPr>
          <w:p w14:paraId="5B10F426" w14:textId="77777777" w:rsidR="009F33CD" w:rsidRDefault="00E40740">
            <w:pPr>
              <w:spacing w:after="240" w:line="240" w:lineRule="auto"/>
              <w:rPr>
                <w:rFonts w:cs="Times New Roman"/>
                <w:lang w:val="en-US"/>
              </w:rPr>
            </w:pPr>
            <w:r>
              <w:rPr>
                <w:rFonts w:cs="Times New Roman"/>
                <w:lang w:val="en-US"/>
              </w:rPr>
              <w:t>(Constant)</w:t>
            </w:r>
          </w:p>
        </w:tc>
        <w:tc>
          <w:tcPr>
            <w:tcW w:w="624" w:type="pct"/>
            <w:tcBorders>
              <w:top w:val="single" w:sz="4" w:space="0" w:color="auto"/>
              <w:bottom w:val="nil"/>
            </w:tcBorders>
          </w:tcPr>
          <w:p w14:paraId="3473393C" w14:textId="77777777" w:rsidR="009F33CD" w:rsidRDefault="00E40740">
            <w:pPr>
              <w:spacing w:after="240" w:line="240" w:lineRule="auto"/>
              <w:jc w:val="center"/>
              <w:rPr>
                <w:rFonts w:cs="Times New Roman"/>
                <w:lang w:val="en-US"/>
              </w:rPr>
            </w:pPr>
            <w:r>
              <w:rPr>
                <w:rFonts w:cs="Times New Roman"/>
                <w:lang w:val="en-US"/>
              </w:rPr>
              <w:t>.330</w:t>
            </w:r>
          </w:p>
        </w:tc>
        <w:tc>
          <w:tcPr>
            <w:tcW w:w="746" w:type="pct"/>
            <w:tcBorders>
              <w:top w:val="single" w:sz="4" w:space="0" w:color="auto"/>
              <w:bottom w:val="nil"/>
            </w:tcBorders>
          </w:tcPr>
          <w:p w14:paraId="43678E0F" w14:textId="77777777" w:rsidR="009F33CD" w:rsidRDefault="00E40740">
            <w:pPr>
              <w:spacing w:after="240" w:line="240" w:lineRule="auto"/>
              <w:jc w:val="center"/>
              <w:rPr>
                <w:rFonts w:cs="Times New Roman"/>
                <w:lang w:val="en-US"/>
              </w:rPr>
            </w:pPr>
            <w:r>
              <w:rPr>
                <w:rFonts w:cs="Times New Roman"/>
                <w:lang w:val="en-US"/>
              </w:rPr>
              <w:t>.299</w:t>
            </w:r>
          </w:p>
        </w:tc>
        <w:tc>
          <w:tcPr>
            <w:tcW w:w="824" w:type="pct"/>
            <w:tcBorders>
              <w:top w:val="single" w:sz="4" w:space="0" w:color="auto"/>
              <w:bottom w:val="nil"/>
            </w:tcBorders>
            <w:vAlign w:val="center"/>
          </w:tcPr>
          <w:p w14:paraId="76C1B86D" w14:textId="77777777" w:rsidR="009F33CD" w:rsidRDefault="009F33CD">
            <w:pPr>
              <w:spacing w:after="240" w:line="240" w:lineRule="auto"/>
              <w:jc w:val="center"/>
              <w:rPr>
                <w:rFonts w:cs="Times New Roman"/>
                <w:lang w:val="en-US"/>
              </w:rPr>
            </w:pPr>
          </w:p>
        </w:tc>
        <w:tc>
          <w:tcPr>
            <w:tcW w:w="575" w:type="pct"/>
            <w:tcBorders>
              <w:top w:val="single" w:sz="4" w:space="0" w:color="auto"/>
              <w:bottom w:val="nil"/>
            </w:tcBorders>
          </w:tcPr>
          <w:p w14:paraId="00CD2BC8" w14:textId="77777777" w:rsidR="009F33CD" w:rsidRDefault="00E40740" w:rsidP="00A63BEB">
            <w:pPr>
              <w:spacing w:after="240" w:line="240" w:lineRule="auto"/>
              <w:jc w:val="center"/>
              <w:rPr>
                <w:rFonts w:cs="Times New Roman"/>
                <w:lang w:val="en-US"/>
              </w:rPr>
            </w:pPr>
            <w:r>
              <w:rPr>
                <w:rFonts w:cs="Times New Roman"/>
                <w:lang w:val="en-US"/>
              </w:rPr>
              <w:t>-1.105</w:t>
            </w:r>
          </w:p>
        </w:tc>
        <w:tc>
          <w:tcPr>
            <w:tcW w:w="574" w:type="pct"/>
            <w:tcBorders>
              <w:top w:val="single" w:sz="4" w:space="0" w:color="auto"/>
              <w:bottom w:val="nil"/>
            </w:tcBorders>
          </w:tcPr>
          <w:p w14:paraId="5A1546A3" w14:textId="77777777" w:rsidR="009F33CD" w:rsidRDefault="00E40740" w:rsidP="00A63BEB">
            <w:pPr>
              <w:spacing w:after="240" w:line="240" w:lineRule="auto"/>
              <w:jc w:val="center"/>
              <w:rPr>
                <w:rFonts w:cs="Times New Roman"/>
                <w:lang w:val="en-US"/>
              </w:rPr>
            </w:pPr>
            <w:r>
              <w:rPr>
                <w:rFonts w:cs="Times New Roman"/>
                <w:lang w:val="en-US"/>
              </w:rPr>
              <w:t>.271</w:t>
            </w:r>
          </w:p>
        </w:tc>
      </w:tr>
      <w:tr w:rsidR="009F33CD" w14:paraId="49E8A3D1" w14:textId="77777777" w:rsidTr="00A63BEB">
        <w:trPr>
          <w:cantSplit/>
        </w:trPr>
        <w:tc>
          <w:tcPr>
            <w:tcW w:w="352" w:type="pct"/>
            <w:vMerge/>
            <w:tcBorders>
              <w:top w:val="nil"/>
            </w:tcBorders>
          </w:tcPr>
          <w:p w14:paraId="28E1DE98" w14:textId="77777777" w:rsidR="009F33CD" w:rsidRDefault="009F33CD">
            <w:pPr>
              <w:spacing w:after="240" w:line="240" w:lineRule="auto"/>
              <w:rPr>
                <w:rFonts w:cs="Times New Roman"/>
                <w:lang w:val="en-US"/>
              </w:rPr>
            </w:pPr>
          </w:p>
        </w:tc>
        <w:tc>
          <w:tcPr>
            <w:tcW w:w="1304" w:type="pct"/>
            <w:tcBorders>
              <w:top w:val="nil"/>
            </w:tcBorders>
          </w:tcPr>
          <w:p w14:paraId="7C254375"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1</w:t>
            </w:r>
          </w:p>
        </w:tc>
        <w:tc>
          <w:tcPr>
            <w:tcW w:w="624" w:type="pct"/>
            <w:tcBorders>
              <w:top w:val="nil"/>
            </w:tcBorders>
          </w:tcPr>
          <w:p w14:paraId="3C99E254" w14:textId="77777777" w:rsidR="009F33CD" w:rsidRDefault="00E40740">
            <w:pPr>
              <w:spacing w:after="240" w:line="240" w:lineRule="auto"/>
              <w:jc w:val="center"/>
              <w:rPr>
                <w:rFonts w:cs="Times New Roman"/>
                <w:lang w:val="en-US"/>
              </w:rPr>
            </w:pPr>
            <w:r>
              <w:rPr>
                <w:rFonts w:cs="Times New Roman"/>
                <w:lang w:val="en-US"/>
              </w:rPr>
              <w:t>.516</w:t>
            </w:r>
          </w:p>
        </w:tc>
        <w:tc>
          <w:tcPr>
            <w:tcW w:w="746" w:type="pct"/>
            <w:tcBorders>
              <w:top w:val="nil"/>
            </w:tcBorders>
          </w:tcPr>
          <w:p w14:paraId="768C900C" w14:textId="77777777" w:rsidR="009F33CD" w:rsidRDefault="00E40740">
            <w:pPr>
              <w:spacing w:after="240" w:line="240" w:lineRule="auto"/>
              <w:jc w:val="center"/>
              <w:rPr>
                <w:rFonts w:cs="Times New Roman"/>
                <w:lang w:val="en-US"/>
              </w:rPr>
            </w:pPr>
            <w:r>
              <w:rPr>
                <w:rFonts w:cs="Times New Roman"/>
                <w:lang w:val="en-US"/>
              </w:rPr>
              <w:t>.115</w:t>
            </w:r>
          </w:p>
        </w:tc>
        <w:tc>
          <w:tcPr>
            <w:tcW w:w="824" w:type="pct"/>
            <w:tcBorders>
              <w:top w:val="nil"/>
            </w:tcBorders>
          </w:tcPr>
          <w:p w14:paraId="097F0CE8" w14:textId="77777777" w:rsidR="009F33CD" w:rsidRDefault="00E40740">
            <w:pPr>
              <w:spacing w:after="240" w:line="240" w:lineRule="auto"/>
              <w:jc w:val="center"/>
              <w:rPr>
                <w:rFonts w:cs="Times New Roman"/>
                <w:lang w:val="en-US"/>
              </w:rPr>
            </w:pPr>
            <w:r>
              <w:rPr>
                <w:rFonts w:cs="Times New Roman"/>
                <w:lang w:val="en-US"/>
              </w:rPr>
              <w:t>.381</w:t>
            </w:r>
          </w:p>
        </w:tc>
        <w:tc>
          <w:tcPr>
            <w:tcW w:w="575" w:type="pct"/>
            <w:tcBorders>
              <w:top w:val="nil"/>
            </w:tcBorders>
          </w:tcPr>
          <w:p w14:paraId="6A1ECD29" w14:textId="77777777" w:rsidR="009F33CD" w:rsidRDefault="00E40740" w:rsidP="00A63BEB">
            <w:pPr>
              <w:spacing w:after="240" w:line="240" w:lineRule="auto"/>
              <w:jc w:val="center"/>
              <w:rPr>
                <w:rFonts w:cs="Times New Roman"/>
                <w:lang w:val="en-US"/>
              </w:rPr>
            </w:pPr>
            <w:r>
              <w:rPr>
                <w:rFonts w:cs="Times New Roman"/>
                <w:lang w:val="en-US"/>
              </w:rPr>
              <w:t>4.487</w:t>
            </w:r>
          </w:p>
        </w:tc>
        <w:tc>
          <w:tcPr>
            <w:tcW w:w="574" w:type="pct"/>
            <w:tcBorders>
              <w:top w:val="nil"/>
            </w:tcBorders>
          </w:tcPr>
          <w:p w14:paraId="3AB19688" w14:textId="77777777" w:rsidR="009F33CD" w:rsidRDefault="00E40740" w:rsidP="00A63BEB">
            <w:pPr>
              <w:spacing w:after="240" w:line="240" w:lineRule="auto"/>
              <w:jc w:val="center"/>
              <w:rPr>
                <w:rFonts w:cs="Times New Roman"/>
                <w:lang w:val="en-US"/>
              </w:rPr>
            </w:pPr>
            <w:r>
              <w:rPr>
                <w:rFonts w:cs="Times New Roman"/>
                <w:lang w:val="en-US"/>
              </w:rPr>
              <w:t>.000</w:t>
            </w:r>
          </w:p>
        </w:tc>
      </w:tr>
      <w:tr w:rsidR="009F33CD" w14:paraId="64D9CD24" w14:textId="77777777" w:rsidTr="00A63BEB">
        <w:trPr>
          <w:cantSplit/>
        </w:trPr>
        <w:tc>
          <w:tcPr>
            <w:tcW w:w="352" w:type="pct"/>
            <w:vMerge/>
          </w:tcPr>
          <w:p w14:paraId="7CE15C8B" w14:textId="77777777" w:rsidR="009F33CD" w:rsidRDefault="009F33CD">
            <w:pPr>
              <w:spacing w:after="240" w:line="240" w:lineRule="auto"/>
              <w:rPr>
                <w:rFonts w:cs="Times New Roman"/>
                <w:lang w:val="en-US"/>
              </w:rPr>
            </w:pPr>
          </w:p>
        </w:tc>
        <w:tc>
          <w:tcPr>
            <w:tcW w:w="1304" w:type="pct"/>
          </w:tcPr>
          <w:p w14:paraId="6CA8359B"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2</w:t>
            </w:r>
          </w:p>
        </w:tc>
        <w:tc>
          <w:tcPr>
            <w:tcW w:w="624" w:type="pct"/>
          </w:tcPr>
          <w:p w14:paraId="0C1D77EB" w14:textId="77777777" w:rsidR="009F33CD" w:rsidRDefault="00E40740">
            <w:pPr>
              <w:spacing w:after="240" w:line="240" w:lineRule="auto"/>
              <w:jc w:val="center"/>
              <w:rPr>
                <w:rFonts w:cs="Times New Roman"/>
                <w:lang w:val="en-US"/>
              </w:rPr>
            </w:pPr>
            <w:r>
              <w:rPr>
                <w:rFonts w:cs="Times New Roman"/>
                <w:lang w:val="en-US"/>
              </w:rPr>
              <w:t>.183</w:t>
            </w:r>
          </w:p>
        </w:tc>
        <w:tc>
          <w:tcPr>
            <w:tcW w:w="746" w:type="pct"/>
          </w:tcPr>
          <w:p w14:paraId="618E288B" w14:textId="77777777" w:rsidR="009F33CD" w:rsidRDefault="00E40740">
            <w:pPr>
              <w:spacing w:after="240" w:line="240" w:lineRule="auto"/>
              <w:jc w:val="center"/>
              <w:rPr>
                <w:rFonts w:cs="Times New Roman"/>
                <w:lang w:val="en-US"/>
              </w:rPr>
            </w:pPr>
            <w:r>
              <w:rPr>
                <w:rFonts w:cs="Times New Roman"/>
                <w:lang w:val="en-US"/>
              </w:rPr>
              <w:t>.109</w:t>
            </w:r>
          </w:p>
        </w:tc>
        <w:tc>
          <w:tcPr>
            <w:tcW w:w="824" w:type="pct"/>
          </w:tcPr>
          <w:p w14:paraId="25B642DA" w14:textId="77777777" w:rsidR="009F33CD" w:rsidRDefault="00E40740">
            <w:pPr>
              <w:spacing w:after="240" w:line="240" w:lineRule="auto"/>
              <w:jc w:val="center"/>
              <w:rPr>
                <w:rFonts w:cs="Times New Roman"/>
                <w:lang w:val="en-US"/>
              </w:rPr>
            </w:pPr>
            <w:r>
              <w:rPr>
                <w:rFonts w:cs="Times New Roman"/>
                <w:lang w:val="en-US"/>
              </w:rPr>
              <w:t>.160</w:t>
            </w:r>
          </w:p>
        </w:tc>
        <w:tc>
          <w:tcPr>
            <w:tcW w:w="575" w:type="pct"/>
          </w:tcPr>
          <w:p w14:paraId="5C2F5D51" w14:textId="77777777" w:rsidR="009F33CD" w:rsidRDefault="00E40740" w:rsidP="00A63BEB">
            <w:pPr>
              <w:spacing w:after="240" w:line="240" w:lineRule="auto"/>
              <w:jc w:val="center"/>
              <w:rPr>
                <w:rFonts w:cs="Times New Roman"/>
                <w:lang w:val="en-US"/>
              </w:rPr>
            </w:pPr>
            <w:r>
              <w:rPr>
                <w:rFonts w:cs="Times New Roman"/>
                <w:lang w:val="en-US"/>
              </w:rPr>
              <w:t>1.675</w:t>
            </w:r>
          </w:p>
        </w:tc>
        <w:tc>
          <w:tcPr>
            <w:tcW w:w="574" w:type="pct"/>
          </w:tcPr>
          <w:p w14:paraId="201BC824" w14:textId="77777777" w:rsidR="009F33CD" w:rsidRDefault="00E40740" w:rsidP="00A63BEB">
            <w:pPr>
              <w:spacing w:after="240" w:line="240" w:lineRule="auto"/>
              <w:jc w:val="center"/>
              <w:rPr>
                <w:rFonts w:cs="Times New Roman"/>
                <w:lang w:val="en-US"/>
              </w:rPr>
            </w:pPr>
            <w:r>
              <w:rPr>
                <w:rFonts w:cs="Times New Roman"/>
                <w:lang w:val="en-US"/>
              </w:rPr>
              <w:t>.097</w:t>
            </w:r>
          </w:p>
        </w:tc>
      </w:tr>
      <w:tr w:rsidR="009F33CD" w14:paraId="3915CBF8" w14:textId="77777777" w:rsidTr="00A63BEB">
        <w:trPr>
          <w:cantSplit/>
        </w:trPr>
        <w:tc>
          <w:tcPr>
            <w:tcW w:w="352" w:type="pct"/>
            <w:vMerge/>
          </w:tcPr>
          <w:p w14:paraId="129FC389" w14:textId="77777777" w:rsidR="009F33CD" w:rsidRDefault="009F33CD">
            <w:pPr>
              <w:spacing w:after="240" w:line="240" w:lineRule="auto"/>
              <w:rPr>
                <w:rFonts w:cs="Times New Roman"/>
                <w:lang w:val="en-US"/>
              </w:rPr>
            </w:pPr>
          </w:p>
        </w:tc>
        <w:tc>
          <w:tcPr>
            <w:tcW w:w="1304" w:type="pct"/>
          </w:tcPr>
          <w:p w14:paraId="161D1000"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3</w:t>
            </w:r>
          </w:p>
        </w:tc>
        <w:tc>
          <w:tcPr>
            <w:tcW w:w="624" w:type="pct"/>
          </w:tcPr>
          <w:p w14:paraId="73FB906F" w14:textId="77777777" w:rsidR="009F33CD" w:rsidRDefault="00E40740">
            <w:pPr>
              <w:spacing w:after="240" w:line="240" w:lineRule="auto"/>
              <w:jc w:val="center"/>
              <w:rPr>
                <w:rFonts w:cs="Times New Roman"/>
                <w:lang w:val="en-US"/>
              </w:rPr>
            </w:pPr>
            <w:r>
              <w:rPr>
                <w:rFonts w:cs="Times New Roman"/>
                <w:lang w:val="en-US"/>
              </w:rPr>
              <w:t>.355</w:t>
            </w:r>
          </w:p>
        </w:tc>
        <w:tc>
          <w:tcPr>
            <w:tcW w:w="746" w:type="pct"/>
          </w:tcPr>
          <w:p w14:paraId="14E0FA9F" w14:textId="77777777" w:rsidR="009F33CD" w:rsidRDefault="00E40740">
            <w:pPr>
              <w:spacing w:after="240" w:line="240" w:lineRule="auto"/>
              <w:jc w:val="center"/>
              <w:rPr>
                <w:rFonts w:cs="Times New Roman"/>
                <w:lang w:val="en-US"/>
              </w:rPr>
            </w:pPr>
            <w:r>
              <w:rPr>
                <w:rFonts w:cs="Times New Roman"/>
                <w:lang w:val="en-US"/>
              </w:rPr>
              <w:t>.122</w:t>
            </w:r>
          </w:p>
        </w:tc>
        <w:tc>
          <w:tcPr>
            <w:tcW w:w="824" w:type="pct"/>
          </w:tcPr>
          <w:p w14:paraId="15FB68D3" w14:textId="77777777" w:rsidR="009F33CD" w:rsidRDefault="00E40740">
            <w:pPr>
              <w:spacing w:after="240" w:line="240" w:lineRule="auto"/>
              <w:jc w:val="center"/>
              <w:rPr>
                <w:rFonts w:cs="Times New Roman"/>
                <w:lang w:val="en-US"/>
              </w:rPr>
            </w:pPr>
            <w:r>
              <w:rPr>
                <w:rFonts w:cs="Times New Roman"/>
                <w:lang w:val="en-US"/>
              </w:rPr>
              <w:t>.301</w:t>
            </w:r>
          </w:p>
        </w:tc>
        <w:tc>
          <w:tcPr>
            <w:tcW w:w="575" w:type="pct"/>
          </w:tcPr>
          <w:p w14:paraId="68F12FEE" w14:textId="77777777" w:rsidR="009F33CD" w:rsidRDefault="00E40740" w:rsidP="00A63BEB">
            <w:pPr>
              <w:spacing w:after="240" w:line="240" w:lineRule="auto"/>
              <w:jc w:val="center"/>
              <w:rPr>
                <w:rFonts w:cs="Times New Roman"/>
                <w:lang w:val="en-US"/>
              </w:rPr>
            </w:pPr>
            <w:r>
              <w:rPr>
                <w:rFonts w:cs="Times New Roman"/>
                <w:lang w:val="en-US"/>
              </w:rPr>
              <w:t>2.903</w:t>
            </w:r>
          </w:p>
        </w:tc>
        <w:tc>
          <w:tcPr>
            <w:tcW w:w="574" w:type="pct"/>
          </w:tcPr>
          <w:p w14:paraId="07C8B008" w14:textId="77777777" w:rsidR="009F33CD" w:rsidRDefault="00E40740" w:rsidP="00A63BEB">
            <w:pPr>
              <w:spacing w:after="240" w:line="240" w:lineRule="auto"/>
              <w:jc w:val="center"/>
              <w:rPr>
                <w:rFonts w:cs="Times New Roman"/>
                <w:lang w:val="en-US"/>
              </w:rPr>
            </w:pPr>
            <w:r>
              <w:rPr>
                <w:rFonts w:cs="Times New Roman"/>
                <w:lang w:val="en-US"/>
              </w:rPr>
              <w:t>.004</w:t>
            </w:r>
          </w:p>
        </w:tc>
      </w:tr>
      <w:tr w:rsidR="009F33CD" w14:paraId="6D4A8228" w14:textId="77777777" w:rsidTr="00A63BEB">
        <w:trPr>
          <w:cantSplit/>
        </w:trPr>
        <w:tc>
          <w:tcPr>
            <w:tcW w:w="352" w:type="pct"/>
            <w:vMerge/>
          </w:tcPr>
          <w:p w14:paraId="143EB141" w14:textId="77777777" w:rsidR="009F33CD" w:rsidRDefault="009F33CD">
            <w:pPr>
              <w:spacing w:after="240" w:line="240" w:lineRule="auto"/>
              <w:rPr>
                <w:rFonts w:cs="Times New Roman"/>
                <w:lang w:val="en-US"/>
              </w:rPr>
            </w:pPr>
          </w:p>
        </w:tc>
        <w:tc>
          <w:tcPr>
            <w:tcW w:w="1304" w:type="pct"/>
          </w:tcPr>
          <w:p w14:paraId="4422BB04"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4</w:t>
            </w:r>
          </w:p>
        </w:tc>
        <w:tc>
          <w:tcPr>
            <w:tcW w:w="624" w:type="pct"/>
          </w:tcPr>
          <w:p w14:paraId="036D6F55" w14:textId="77777777" w:rsidR="009F33CD" w:rsidRDefault="00E40740">
            <w:pPr>
              <w:spacing w:after="240" w:line="240" w:lineRule="auto"/>
              <w:jc w:val="center"/>
              <w:rPr>
                <w:rFonts w:cs="Times New Roman"/>
                <w:lang w:val="en-US"/>
              </w:rPr>
            </w:pPr>
            <w:r>
              <w:rPr>
                <w:rFonts w:cs="Times New Roman"/>
                <w:lang w:val="en-US"/>
              </w:rPr>
              <w:t>.085</w:t>
            </w:r>
          </w:p>
        </w:tc>
        <w:tc>
          <w:tcPr>
            <w:tcW w:w="746" w:type="pct"/>
          </w:tcPr>
          <w:p w14:paraId="1854D26B" w14:textId="77777777" w:rsidR="009F33CD" w:rsidRDefault="00E40740">
            <w:pPr>
              <w:spacing w:after="240" w:line="240" w:lineRule="auto"/>
              <w:jc w:val="center"/>
              <w:rPr>
                <w:rFonts w:cs="Times New Roman"/>
                <w:lang w:val="en-US"/>
              </w:rPr>
            </w:pPr>
            <w:r>
              <w:rPr>
                <w:rFonts w:cs="Times New Roman"/>
                <w:lang w:val="en-US"/>
              </w:rPr>
              <w:t>.118</w:t>
            </w:r>
          </w:p>
        </w:tc>
        <w:tc>
          <w:tcPr>
            <w:tcW w:w="824" w:type="pct"/>
          </w:tcPr>
          <w:p w14:paraId="091911BD" w14:textId="77777777" w:rsidR="009F33CD" w:rsidRDefault="00E40740">
            <w:pPr>
              <w:spacing w:after="240" w:line="240" w:lineRule="auto"/>
              <w:jc w:val="center"/>
              <w:rPr>
                <w:rFonts w:cs="Times New Roman"/>
                <w:lang w:val="en-US"/>
              </w:rPr>
            </w:pPr>
            <w:r>
              <w:rPr>
                <w:rFonts w:cs="Times New Roman"/>
                <w:lang w:val="en-US"/>
              </w:rPr>
              <w:t>.058</w:t>
            </w:r>
          </w:p>
        </w:tc>
        <w:tc>
          <w:tcPr>
            <w:tcW w:w="575" w:type="pct"/>
          </w:tcPr>
          <w:p w14:paraId="21CA4259" w14:textId="77777777" w:rsidR="009F33CD" w:rsidRDefault="00E40740" w:rsidP="00A63BEB">
            <w:pPr>
              <w:spacing w:after="240" w:line="240" w:lineRule="auto"/>
              <w:jc w:val="center"/>
              <w:rPr>
                <w:rFonts w:cs="Times New Roman"/>
                <w:lang w:val="en-US"/>
              </w:rPr>
            </w:pPr>
            <w:r>
              <w:rPr>
                <w:rFonts w:cs="Times New Roman"/>
                <w:lang w:val="en-US"/>
              </w:rPr>
              <w:t>.715</w:t>
            </w:r>
          </w:p>
        </w:tc>
        <w:tc>
          <w:tcPr>
            <w:tcW w:w="574" w:type="pct"/>
          </w:tcPr>
          <w:p w14:paraId="67601D22" w14:textId="77777777" w:rsidR="009F33CD" w:rsidRDefault="00E40740" w:rsidP="00A63BEB">
            <w:pPr>
              <w:spacing w:after="240" w:line="240" w:lineRule="auto"/>
              <w:jc w:val="center"/>
              <w:rPr>
                <w:rFonts w:cs="Times New Roman"/>
                <w:lang w:val="en-US"/>
              </w:rPr>
            </w:pPr>
            <w:r>
              <w:rPr>
                <w:rFonts w:cs="Times New Roman"/>
                <w:lang w:val="en-US"/>
              </w:rPr>
              <w:t>.476</w:t>
            </w:r>
          </w:p>
        </w:tc>
      </w:tr>
      <w:tr w:rsidR="009F33CD" w14:paraId="19B0D199" w14:textId="77777777" w:rsidTr="00A63BEB">
        <w:trPr>
          <w:cantSplit/>
        </w:trPr>
        <w:tc>
          <w:tcPr>
            <w:tcW w:w="352" w:type="pct"/>
            <w:vMerge w:val="restart"/>
          </w:tcPr>
          <w:p w14:paraId="5E702C72" w14:textId="77777777" w:rsidR="009F33CD" w:rsidRDefault="00E40740">
            <w:pPr>
              <w:spacing w:after="240" w:line="240" w:lineRule="auto"/>
              <w:rPr>
                <w:rFonts w:cs="Times New Roman"/>
                <w:lang w:val="en-US"/>
              </w:rPr>
            </w:pPr>
            <w:r>
              <w:rPr>
                <w:rFonts w:cs="Times New Roman"/>
                <w:lang w:val="en-US"/>
              </w:rPr>
              <w:t>2</w:t>
            </w:r>
          </w:p>
        </w:tc>
        <w:tc>
          <w:tcPr>
            <w:tcW w:w="1304" w:type="pct"/>
          </w:tcPr>
          <w:p w14:paraId="1065EB42" w14:textId="77777777" w:rsidR="009F33CD" w:rsidRDefault="00E40740">
            <w:pPr>
              <w:spacing w:after="240" w:line="240" w:lineRule="auto"/>
              <w:rPr>
                <w:rFonts w:cs="Times New Roman"/>
                <w:lang w:val="en-US"/>
              </w:rPr>
            </w:pPr>
            <w:r>
              <w:rPr>
                <w:rFonts w:cs="Times New Roman"/>
                <w:bCs/>
              </w:rPr>
              <w:t>(Constant)</w:t>
            </w:r>
          </w:p>
        </w:tc>
        <w:tc>
          <w:tcPr>
            <w:tcW w:w="624" w:type="pct"/>
          </w:tcPr>
          <w:p w14:paraId="30FEEE49" w14:textId="77777777" w:rsidR="009F33CD" w:rsidRDefault="00E40740">
            <w:pPr>
              <w:spacing w:after="240" w:line="240" w:lineRule="auto"/>
              <w:jc w:val="center"/>
              <w:rPr>
                <w:rFonts w:cs="Times New Roman"/>
                <w:lang w:val="en-US"/>
              </w:rPr>
            </w:pPr>
            <w:r>
              <w:rPr>
                <w:rFonts w:cs="Times New Roman"/>
                <w:lang w:val="en-US"/>
              </w:rPr>
              <w:t>-.915</w:t>
            </w:r>
          </w:p>
        </w:tc>
        <w:tc>
          <w:tcPr>
            <w:tcW w:w="746" w:type="pct"/>
          </w:tcPr>
          <w:p w14:paraId="3F083FE9" w14:textId="77777777" w:rsidR="009F33CD" w:rsidRDefault="00E40740">
            <w:pPr>
              <w:spacing w:after="240" w:line="240" w:lineRule="auto"/>
              <w:jc w:val="center"/>
              <w:rPr>
                <w:rFonts w:cs="Times New Roman"/>
                <w:lang w:val="en-US"/>
              </w:rPr>
            </w:pPr>
            <w:r>
              <w:rPr>
                <w:rFonts w:cs="Times New Roman"/>
                <w:lang w:val="en-US"/>
              </w:rPr>
              <w:t>.495</w:t>
            </w:r>
          </w:p>
        </w:tc>
        <w:tc>
          <w:tcPr>
            <w:tcW w:w="824" w:type="pct"/>
            <w:vAlign w:val="center"/>
          </w:tcPr>
          <w:p w14:paraId="3A889BDF" w14:textId="77777777" w:rsidR="009F33CD" w:rsidRDefault="009F33CD">
            <w:pPr>
              <w:spacing w:after="240" w:line="240" w:lineRule="auto"/>
              <w:jc w:val="center"/>
              <w:rPr>
                <w:rFonts w:cs="Times New Roman"/>
                <w:lang w:val="en-US"/>
              </w:rPr>
            </w:pPr>
          </w:p>
        </w:tc>
        <w:tc>
          <w:tcPr>
            <w:tcW w:w="575" w:type="pct"/>
          </w:tcPr>
          <w:p w14:paraId="25D085C4" w14:textId="77777777" w:rsidR="009F33CD" w:rsidRDefault="00E40740" w:rsidP="00A63BEB">
            <w:pPr>
              <w:spacing w:after="240" w:line="240" w:lineRule="auto"/>
              <w:jc w:val="center"/>
              <w:rPr>
                <w:rFonts w:cs="Times New Roman"/>
                <w:lang w:val="en-US"/>
              </w:rPr>
            </w:pPr>
            <w:r>
              <w:rPr>
                <w:rFonts w:cs="Times New Roman"/>
                <w:lang w:val="en-US"/>
              </w:rPr>
              <w:t>-1.848</w:t>
            </w:r>
          </w:p>
        </w:tc>
        <w:tc>
          <w:tcPr>
            <w:tcW w:w="574" w:type="pct"/>
          </w:tcPr>
          <w:p w14:paraId="4BA87C2E" w14:textId="77777777" w:rsidR="009F33CD" w:rsidRDefault="00E40740" w:rsidP="00A63BEB">
            <w:pPr>
              <w:spacing w:after="240" w:line="240" w:lineRule="auto"/>
              <w:jc w:val="center"/>
              <w:rPr>
                <w:rFonts w:cs="Times New Roman"/>
                <w:lang w:val="en-US"/>
              </w:rPr>
            </w:pPr>
            <w:r>
              <w:rPr>
                <w:rFonts w:cs="Times New Roman"/>
                <w:lang w:val="en-US"/>
              </w:rPr>
              <w:t>.067</w:t>
            </w:r>
          </w:p>
        </w:tc>
      </w:tr>
      <w:tr w:rsidR="009F33CD" w14:paraId="31428019" w14:textId="77777777" w:rsidTr="00A63BEB">
        <w:trPr>
          <w:cantSplit/>
        </w:trPr>
        <w:tc>
          <w:tcPr>
            <w:tcW w:w="352" w:type="pct"/>
            <w:vMerge/>
          </w:tcPr>
          <w:p w14:paraId="2F6588BD" w14:textId="77777777" w:rsidR="009F33CD" w:rsidRDefault="009F33CD">
            <w:pPr>
              <w:spacing w:after="240" w:line="240" w:lineRule="auto"/>
              <w:rPr>
                <w:rFonts w:cs="Times New Roman"/>
                <w:lang w:val="en-US"/>
              </w:rPr>
            </w:pPr>
          </w:p>
        </w:tc>
        <w:tc>
          <w:tcPr>
            <w:tcW w:w="1304" w:type="pct"/>
          </w:tcPr>
          <w:p w14:paraId="653B904D"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1</w:t>
            </w:r>
          </w:p>
        </w:tc>
        <w:tc>
          <w:tcPr>
            <w:tcW w:w="624" w:type="pct"/>
          </w:tcPr>
          <w:p w14:paraId="391BCB6A" w14:textId="77777777" w:rsidR="009F33CD" w:rsidRDefault="00E40740">
            <w:pPr>
              <w:spacing w:after="240" w:line="240" w:lineRule="auto"/>
              <w:jc w:val="center"/>
              <w:rPr>
                <w:rFonts w:cs="Times New Roman"/>
                <w:lang w:val="en-US"/>
              </w:rPr>
            </w:pPr>
            <w:r>
              <w:rPr>
                <w:rFonts w:cs="Times New Roman"/>
                <w:lang w:val="en-US"/>
              </w:rPr>
              <w:t>.570</w:t>
            </w:r>
          </w:p>
        </w:tc>
        <w:tc>
          <w:tcPr>
            <w:tcW w:w="746" w:type="pct"/>
          </w:tcPr>
          <w:p w14:paraId="7A577B7E" w14:textId="77777777" w:rsidR="009F33CD" w:rsidRDefault="00E40740">
            <w:pPr>
              <w:spacing w:after="240" w:line="240" w:lineRule="auto"/>
              <w:jc w:val="center"/>
              <w:rPr>
                <w:rFonts w:cs="Times New Roman"/>
                <w:lang w:val="en-US"/>
              </w:rPr>
            </w:pPr>
            <w:r>
              <w:rPr>
                <w:rFonts w:cs="Times New Roman"/>
                <w:lang w:val="en-US"/>
              </w:rPr>
              <w:t>.120</w:t>
            </w:r>
          </w:p>
        </w:tc>
        <w:tc>
          <w:tcPr>
            <w:tcW w:w="824" w:type="pct"/>
          </w:tcPr>
          <w:p w14:paraId="092996C0" w14:textId="77777777" w:rsidR="009F33CD" w:rsidRDefault="00E40740">
            <w:pPr>
              <w:spacing w:after="240" w:line="240" w:lineRule="auto"/>
              <w:jc w:val="center"/>
              <w:rPr>
                <w:rFonts w:cs="Times New Roman"/>
                <w:lang w:val="en-US"/>
              </w:rPr>
            </w:pPr>
            <w:r>
              <w:rPr>
                <w:rFonts w:cs="Times New Roman"/>
                <w:lang w:val="en-US"/>
              </w:rPr>
              <w:t>.421</w:t>
            </w:r>
          </w:p>
        </w:tc>
        <w:tc>
          <w:tcPr>
            <w:tcW w:w="575" w:type="pct"/>
          </w:tcPr>
          <w:p w14:paraId="1B88EE89" w14:textId="77777777" w:rsidR="009F33CD" w:rsidRDefault="00E40740" w:rsidP="00A63BEB">
            <w:pPr>
              <w:spacing w:after="240" w:line="240" w:lineRule="auto"/>
              <w:jc w:val="center"/>
              <w:rPr>
                <w:rFonts w:cs="Times New Roman"/>
                <w:lang w:val="en-US"/>
              </w:rPr>
            </w:pPr>
            <w:r>
              <w:rPr>
                <w:rFonts w:cs="Times New Roman"/>
                <w:lang w:val="en-US"/>
              </w:rPr>
              <w:t>4.746</w:t>
            </w:r>
          </w:p>
        </w:tc>
        <w:tc>
          <w:tcPr>
            <w:tcW w:w="574" w:type="pct"/>
          </w:tcPr>
          <w:p w14:paraId="6F33CCBE" w14:textId="77777777" w:rsidR="009F33CD" w:rsidRDefault="00E40740" w:rsidP="00A63BEB">
            <w:pPr>
              <w:spacing w:after="240" w:line="240" w:lineRule="auto"/>
              <w:jc w:val="center"/>
              <w:rPr>
                <w:rFonts w:cs="Times New Roman"/>
                <w:lang w:val="en-US"/>
              </w:rPr>
            </w:pPr>
            <w:r>
              <w:rPr>
                <w:rFonts w:cs="Times New Roman"/>
                <w:lang w:val="en-US"/>
              </w:rPr>
              <w:t>.000</w:t>
            </w:r>
          </w:p>
        </w:tc>
      </w:tr>
      <w:tr w:rsidR="009F33CD" w14:paraId="72B817D5" w14:textId="77777777" w:rsidTr="00A63BEB">
        <w:trPr>
          <w:cantSplit/>
        </w:trPr>
        <w:tc>
          <w:tcPr>
            <w:tcW w:w="352" w:type="pct"/>
            <w:vMerge/>
          </w:tcPr>
          <w:p w14:paraId="5F390849" w14:textId="77777777" w:rsidR="009F33CD" w:rsidRDefault="009F33CD">
            <w:pPr>
              <w:spacing w:after="240" w:line="240" w:lineRule="auto"/>
              <w:rPr>
                <w:rFonts w:cs="Times New Roman"/>
                <w:lang w:val="en-US"/>
              </w:rPr>
            </w:pPr>
          </w:p>
        </w:tc>
        <w:tc>
          <w:tcPr>
            <w:tcW w:w="1304" w:type="pct"/>
          </w:tcPr>
          <w:p w14:paraId="29FFC41E"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2</w:t>
            </w:r>
          </w:p>
        </w:tc>
        <w:tc>
          <w:tcPr>
            <w:tcW w:w="624" w:type="pct"/>
          </w:tcPr>
          <w:p w14:paraId="54138671" w14:textId="77777777" w:rsidR="009F33CD" w:rsidRDefault="00E40740">
            <w:pPr>
              <w:spacing w:after="240" w:line="240" w:lineRule="auto"/>
              <w:jc w:val="center"/>
              <w:rPr>
                <w:rFonts w:cs="Times New Roman"/>
                <w:lang w:val="en-US"/>
              </w:rPr>
            </w:pPr>
            <w:r>
              <w:rPr>
                <w:rFonts w:cs="Times New Roman"/>
                <w:lang w:val="en-US"/>
              </w:rPr>
              <w:t>.208</w:t>
            </w:r>
          </w:p>
        </w:tc>
        <w:tc>
          <w:tcPr>
            <w:tcW w:w="746" w:type="pct"/>
          </w:tcPr>
          <w:p w14:paraId="0C198B33" w14:textId="77777777" w:rsidR="009F33CD" w:rsidRDefault="00E40740">
            <w:pPr>
              <w:spacing w:after="240" w:line="240" w:lineRule="auto"/>
              <w:jc w:val="center"/>
              <w:rPr>
                <w:rFonts w:cs="Times New Roman"/>
                <w:lang w:val="en-US"/>
              </w:rPr>
            </w:pPr>
            <w:r>
              <w:rPr>
                <w:rFonts w:cs="Times New Roman"/>
                <w:lang w:val="en-US"/>
              </w:rPr>
              <w:t>.110</w:t>
            </w:r>
          </w:p>
        </w:tc>
        <w:tc>
          <w:tcPr>
            <w:tcW w:w="824" w:type="pct"/>
          </w:tcPr>
          <w:p w14:paraId="4AFDD774" w14:textId="77777777" w:rsidR="009F33CD" w:rsidRDefault="00E40740">
            <w:pPr>
              <w:spacing w:after="240" w:line="240" w:lineRule="auto"/>
              <w:jc w:val="center"/>
              <w:rPr>
                <w:rFonts w:cs="Times New Roman"/>
                <w:lang w:val="en-US"/>
              </w:rPr>
            </w:pPr>
            <w:r>
              <w:rPr>
                <w:rFonts w:cs="Times New Roman"/>
                <w:lang w:val="en-US"/>
              </w:rPr>
              <w:t>.181</w:t>
            </w:r>
          </w:p>
        </w:tc>
        <w:tc>
          <w:tcPr>
            <w:tcW w:w="575" w:type="pct"/>
          </w:tcPr>
          <w:p w14:paraId="073F5243" w14:textId="77777777" w:rsidR="009F33CD" w:rsidRDefault="00E40740" w:rsidP="00A63BEB">
            <w:pPr>
              <w:spacing w:after="240" w:line="240" w:lineRule="auto"/>
              <w:jc w:val="center"/>
              <w:rPr>
                <w:rFonts w:cs="Times New Roman"/>
                <w:lang w:val="en-US"/>
              </w:rPr>
            </w:pPr>
            <w:r>
              <w:rPr>
                <w:rFonts w:cs="Times New Roman"/>
                <w:lang w:val="en-US"/>
              </w:rPr>
              <w:t>1.886</w:t>
            </w:r>
          </w:p>
        </w:tc>
        <w:tc>
          <w:tcPr>
            <w:tcW w:w="574" w:type="pct"/>
          </w:tcPr>
          <w:p w14:paraId="23439501" w14:textId="77777777" w:rsidR="009F33CD" w:rsidRDefault="00E40740" w:rsidP="00A63BEB">
            <w:pPr>
              <w:spacing w:after="240" w:line="240" w:lineRule="auto"/>
              <w:jc w:val="center"/>
              <w:rPr>
                <w:rFonts w:cs="Times New Roman"/>
                <w:lang w:val="en-US"/>
              </w:rPr>
            </w:pPr>
            <w:r>
              <w:rPr>
                <w:rFonts w:cs="Times New Roman"/>
                <w:lang w:val="en-US"/>
              </w:rPr>
              <w:t>.062</w:t>
            </w:r>
          </w:p>
        </w:tc>
      </w:tr>
      <w:tr w:rsidR="009F33CD" w14:paraId="5CA8118D" w14:textId="77777777" w:rsidTr="00A63BEB">
        <w:trPr>
          <w:cantSplit/>
        </w:trPr>
        <w:tc>
          <w:tcPr>
            <w:tcW w:w="352" w:type="pct"/>
            <w:vMerge/>
          </w:tcPr>
          <w:p w14:paraId="1B7749BB" w14:textId="77777777" w:rsidR="009F33CD" w:rsidRDefault="009F33CD">
            <w:pPr>
              <w:spacing w:after="240" w:line="240" w:lineRule="auto"/>
              <w:rPr>
                <w:rFonts w:cs="Times New Roman"/>
                <w:lang w:val="en-US"/>
              </w:rPr>
            </w:pPr>
          </w:p>
        </w:tc>
        <w:tc>
          <w:tcPr>
            <w:tcW w:w="1304" w:type="pct"/>
          </w:tcPr>
          <w:p w14:paraId="4A544E72"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3</w:t>
            </w:r>
          </w:p>
        </w:tc>
        <w:tc>
          <w:tcPr>
            <w:tcW w:w="624" w:type="pct"/>
          </w:tcPr>
          <w:p w14:paraId="1F523825" w14:textId="77777777" w:rsidR="009F33CD" w:rsidRDefault="00E40740">
            <w:pPr>
              <w:spacing w:after="240" w:line="240" w:lineRule="auto"/>
              <w:jc w:val="center"/>
              <w:rPr>
                <w:rFonts w:cs="Times New Roman"/>
                <w:lang w:val="en-US"/>
              </w:rPr>
            </w:pPr>
            <w:r>
              <w:rPr>
                <w:rFonts w:cs="Times New Roman"/>
                <w:lang w:val="en-US"/>
              </w:rPr>
              <w:t>.426</w:t>
            </w:r>
          </w:p>
        </w:tc>
        <w:tc>
          <w:tcPr>
            <w:tcW w:w="746" w:type="pct"/>
          </w:tcPr>
          <w:p w14:paraId="304096EB" w14:textId="77777777" w:rsidR="009F33CD" w:rsidRDefault="00E40740">
            <w:pPr>
              <w:spacing w:after="240" w:line="240" w:lineRule="auto"/>
              <w:jc w:val="center"/>
              <w:rPr>
                <w:rFonts w:cs="Times New Roman"/>
                <w:lang w:val="en-US"/>
              </w:rPr>
            </w:pPr>
            <w:r>
              <w:rPr>
                <w:rFonts w:cs="Times New Roman"/>
                <w:lang w:val="en-US"/>
              </w:rPr>
              <w:t>.131</w:t>
            </w:r>
          </w:p>
        </w:tc>
        <w:tc>
          <w:tcPr>
            <w:tcW w:w="824" w:type="pct"/>
          </w:tcPr>
          <w:p w14:paraId="38EA870B" w14:textId="77777777" w:rsidR="009F33CD" w:rsidRDefault="00E40740">
            <w:pPr>
              <w:spacing w:after="240" w:line="240" w:lineRule="auto"/>
              <w:jc w:val="center"/>
              <w:rPr>
                <w:rFonts w:cs="Times New Roman"/>
                <w:lang w:val="en-US"/>
              </w:rPr>
            </w:pPr>
            <w:r>
              <w:rPr>
                <w:rFonts w:cs="Times New Roman"/>
                <w:lang w:val="en-US"/>
              </w:rPr>
              <w:t>.361</w:t>
            </w:r>
          </w:p>
        </w:tc>
        <w:tc>
          <w:tcPr>
            <w:tcW w:w="575" w:type="pct"/>
          </w:tcPr>
          <w:p w14:paraId="184B8A63" w14:textId="77777777" w:rsidR="009F33CD" w:rsidRDefault="00E40740" w:rsidP="00A63BEB">
            <w:pPr>
              <w:spacing w:after="240" w:line="240" w:lineRule="auto"/>
              <w:jc w:val="center"/>
              <w:rPr>
                <w:rFonts w:cs="Times New Roman"/>
                <w:lang w:val="en-US"/>
              </w:rPr>
            </w:pPr>
            <w:r>
              <w:rPr>
                <w:rFonts w:cs="Times New Roman"/>
                <w:lang w:val="en-US"/>
              </w:rPr>
              <w:t>3.256</w:t>
            </w:r>
          </w:p>
        </w:tc>
        <w:tc>
          <w:tcPr>
            <w:tcW w:w="574" w:type="pct"/>
          </w:tcPr>
          <w:p w14:paraId="2508C631" w14:textId="77777777" w:rsidR="009F33CD" w:rsidRDefault="00E40740" w:rsidP="00A63BEB">
            <w:pPr>
              <w:spacing w:after="240" w:line="240" w:lineRule="auto"/>
              <w:jc w:val="center"/>
              <w:rPr>
                <w:rFonts w:cs="Times New Roman"/>
                <w:lang w:val="en-US"/>
              </w:rPr>
            </w:pPr>
            <w:r>
              <w:rPr>
                <w:rFonts w:cs="Times New Roman"/>
                <w:lang w:val="en-US"/>
              </w:rPr>
              <w:t>.001</w:t>
            </w:r>
          </w:p>
        </w:tc>
      </w:tr>
      <w:tr w:rsidR="009F33CD" w14:paraId="06444894" w14:textId="77777777" w:rsidTr="00A63BEB">
        <w:trPr>
          <w:cantSplit/>
        </w:trPr>
        <w:tc>
          <w:tcPr>
            <w:tcW w:w="352" w:type="pct"/>
            <w:vMerge/>
          </w:tcPr>
          <w:p w14:paraId="36B64090" w14:textId="77777777" w:rsidR="009F33CD" w:rsidRDefault="009F33CD">
            <w:pPr>
              <w:spacing w:after="240" w:line="240" w:lineRule="auto"/>
              <w:rPr>
                <w:rFonts w:cs="Times New Roman"/>
                <w:lang w:val="en-US"/>
              </w:rPr>
            </w:pPr>
          </w:p>
        </w:tc>
        <w:tc>
          <w:tcPr>
            <w:tcW w:w="1304" w:type="pct"/>
          </w:tcPr>
          <w:p w14:paraId="08D7B533"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4</w:t>
            </w:r>
          </w:p>
        </w:tc>
        <w:tc>
          <w:tcPr>
            <w:tcW w:w="624" w:type="pct"/>
          </w:tcPr>
          <w:p w14:paraId="564F13AF" w14:textId="77777777" w:rsidR="009F33CD" w:rsidRDefault="00E40740">
            <w:pPr>
              <w:spacing w:after="240" w:line="240" w:lineRule="auto"/>
              <w:jc w:val="center"/>
              <w:rPr>
                <w:rFonts w:cs="Times New Roman"/>
                <w:lang w:val="en-US"/>
              </w:rPr>
            </w:pPr>
            <w:r>
              <w:rPr>
                <w:rFonts w:cs="Times New Roman"/>
                <w:lang w:val="en-US"/>
              </w:rPr>
              <w:t>.179</w:t>
            </w:r>
          </w:p>
        </w:tc>
        <w:tc>
          <w:tcPr>
            <w:tcW w:w="746" w:type="pct"/>
          </w:tcPr>
          <w:p w14:paraId="32B2F638" w14:textId="77777777" w:rsidR="009F33CD" w:rsidRDefault="00E40740">
            <w:pPr>
              <w:spacing w:after="240" w:line="240" w:lineRule="auto"/>
              <w:jc w:val="center"/>
              <w:rPr>
                <w:rFonts w:cs="Times New Roman"/>
                <w:lang w:val="en-US"/>
              </w:rPr>
            </w:pPr>
            <w:r>
              <w:rPr>
                <w:rFonts w:cs="Times New Roman"/>
                <w:lang w:val="en-US"/>
              </w:rPr>
              <w:t>.134</w:t>
            </w:r>
          </w:p>
        </w:tc>
        <w:tc>
          <w:tcPr>
            <w:tcW w:w="824" w:type="pct"/>
          </w:tcPr>
          <w:p w14:paraId="169C8D6D" w14:textId="77777777" w:rsidR="009F33CD" w:rsidRDefault="00E40740">
            <w:pPr>
              <w:spacing w:after="240" w:line="240" w:lineRule="auto"/>
              <w:jc w:val="center"/>
              <w:rPr>
                <w:rFonts w:cs="Times New Roman"/>
                <w:lang w:val="en-US"/>
              </w:rPr>
            </w:pPr>
            <w:r>
              <w:rPr>
                <w:rFonts w:cs="Times New Roman"/>
                <w:lang w:val="en-US"/>
              </w:rPr>
              <w:t>.123</w:t>
            </w:r>
          </w:p>
        </w:tc>
        <w:tc>
          <w:tcPr>
            <w:tcW w:w="575" w:type="pct"/>
          </w:tcPr>
          <w:p w14:paraId="0EEA423A" w14:textId="77777777" w:rsidR="009F33CD" w:rsidRDefault="00E40740" w:rsidP="00A63BEB">
            <w:pPr>
              <w:spacing w:after="240" w:line="240" w:lineRule="auto"/>
              <w:jc w:val="center"/>
              <w:rPr>
                <w:rFonts w:cs="Times New Roman"/>
                <w:lang w:val="en-US"/>
              </w:rPr>
            </w:pPr>
            <w:r>
              <w:rPr>
                <w:rFonts w:cs="Times New Roman"/>
                <w:lang w:val="en-US"/>
              </w:rPr>
              <w:t>1.335</w:t>
            </w:r>
          </w:p>
        </w:tc>
        <w:tc>
          <w:tcPr>
            <w:tcW w:w="574" w:type="pct"/>
          </w:tcPr>
          <w:p w14:paraId="4BFB6451" w14:textId="77777777" w:rsidR="009F33CD" w:rsidRDefault="00E40740" w:rsidP="00A63BEB">
            <w:pPr>
              <w:spacing w:after="240" w:line="240" w:lineRule="auto"/>
              <w:jc w:val="center"/>
              <w:rPr>
                <w:rFonts w:cs="Times New Roman"/>
                <w:lang w:val="en-US"/>
              </w:rPr>
            </w:pPr>
            <w:r>
              <w:rPr>
                <w:rFonts w:cs="Times New Roman"/>
                <w:lang w:val="en-US"/>
              </w:rPr>
              <w:t>.005</w:t>
            </w:r>
          </w:p>
        </w:tc>
      </w:tr>
      <w:tr w:rsidR="009F33CD" w14:paraId="5E3468FD" w14:textId="77777777" w:rsidTr="00A63BEB">
        <w:trPr>
          <w:cantSplit/>
        </w:trPr>
        <w:tc>
          <w:tcPr>
            <w:tcW w:w="352" w:type="pct"/>
            <w:vMerge/>
            <w:tcBorders>
              <w:bottom w:val="single" w:sz="4" w:space="0" w:color="auto"/>
            </w:tcBorders>
          </w:tcPr>
          <w:p w14:paraId="04A0FE61" w14:textId="77777777" w:rsidR="009F33CD" w:rsidRDefault="009F33CD">
            <w:pPr>
              <w:spacing w:after="240" w:line="240" w:lineRule="auto"/>
              <w:rPr>
                <w:rFonts w:cs="Times New Roman"/>
                <w:lang w:val="en-US"/>
              </w:rPr>
            </w:pPr>
          </w:p>
        </w:tc>
        <w:tc>
          <w:tcPr>
            <w:tcW w:w="1304" w:type="pct"/>
          </w:tcPr>
          <w:p w14:paraId="2F4B93F3" w14:textId="77777777" w:rsidR="009F33CD" w:rsidRDefault="00E40740">
            <w:pPr>
              <w:spacing w:after="240" w:line="240" w:lineRule="auto"/>
              <w:rPr>
                <w:rFonts w:cs="Times New Roman"/>
                <w:lang w:val="en-US"/>
              </w:rPr>
            </w:pPr>
            <w:r>
              <w:rPr>
                <w:rFonts w:cs="Times New Roman"/>
              </w:rPr>
              <w:t>GHRM Bureaucratic</w:t>
            </w:r>
          </w:p>
        </w:tc>
        <w:tc>
          <w:tcPr>
            <w:tcW w:w="624" w:type="pct"/>
            <w:tcBorders>
              <w:bottom w:val="single" w:sz="4" w:space="0" w:color="auto"/>
            </w:tcBorders>
          </w:tcPr>
          <w:p w14:paraId="01779A69" w14:textId="77777777" w:rsidR="009F33CD" w:rsidRDefault="00E40740">
            <w:pPr>
              <w:spacing w:after="240" w:line="240" w:lineRule="auto"/>
              <w:jc w:val="center"/>
              <w:rPr>
                <w:rFonts w:cs="Times New Roman"/>
                <w:lang w:val="en-US"/>
              </w:rPr>
            </w:pPr>
            <w:r>
              <w:rPr>
                <w:rFonts w:cs="Times New Roman"/>
                <w:lang w:val="en-US"/>
              </w:rPr>
              <w:t>0.956</w:t>
            </w:r>
          </w:p>
        </w:tc>
        <w:tc>
          <w:tcPr>
            <w:tcW w:w="746" w:type="pct"/>
            <w:tcBorders>
              <w:bottom w:val="single" w:sz="4" w:space="0" w:color="auto"/>
            </w:tcBorders>
          </w:tcPr>
          <w:p w14:paraId="646B6C68" w14:textId="77777777" w:rsidR="009F33CD" w:rsidRDefault="00E40740">
            <w:pPr>
              <w:spacing w:after="240" w:line="240" w:lineRule="auto"/>
              <w:jc w:val="center"/>
              <w:rPr>
                <w:rFonts w:cs="Times New Roman"/>
                <w:lang w:val="en-US"/>
              </w:rPr>
            </w:pPr>
            <w:r>
              <w:rPr>
                <w:rFonts w:cs="Times New Roman"/>
                <w:lang w:val="en-US"/>
              </w:rPr>
              <w:t>.000</w:t>
            </w:r>
          </w:p>
        </w:tc>
        <w:tc>
          <w:tcPr>
            <w:tcW w:w="824" w:type="pct"/>
            <w:tcBorders>
              <w:bottom w:val="single" w:sz="4" w:space="0" w:color="auto"/>
            </w:tcBorders>
          </w:tcPr>
          <w:p w14:paraId="082ACFD1" w14:textId="77777777" w:rsidR="009F33CD" w:rsidRDefault="00E40740">
            <w:pPr>
              <w:spacing w:after="240" w:line="240" w:lineRule="auto"/>
              <w:jc w:val="center"/>
              <w:rPr>
                <w:rFonts w:cs="Times New Roman"/>
                <w:lang w:val="en-US"/>
              </w:rPr>
            </w:pPr>
            <w:r>
              <w:rPr>
                <w:rFonts w:cs="Times New Roman"/>
                <w:lang w:val="en-US"/>
              </w:rPr>
              <w:t>.183</w:t>
            </w:r>
          </w:p>
        </w:tc>
        <w:tc>
          <w:tcPr>
            <w:tcW w:w="575" w:type="pct"/>
            <w:tcBorders>
              <w:bottom w:val="single" w:sz="4" w:space="0" w:color="auto"/>
            </w:tcBorders>
          </w:tcPr>
          <w:p w14:paraId="6D73316E" w14:textId="77777777" w:rsidR="009F33CD" w:rsidRDefault="00E40740" w:rsidP="00A63BEB">
            <w:pPr>
              <w:spacing w:after="240" w:line="240" w:lineRule="auto"/>
              <w:jc w:val="center"/>
              <w:rPr>
                <w:rFonts w:cs="Times New Roman"/>
                <w:lang w:val="en-US"/>
              </w:rPr>
            </w:pPr>
            <w:r>
              <w:rPr>
                <w:rFonts w:cs="Times New Roman"/>
                <w:lang w:val="en-US"/>
              </w:rPr>
              <w:t>1.998</w:t>
            </w:r>
          </w:p>
        </w:tc>
        <w:tc>
          <w:tcPr>
            <w:tcW w:w="574" w:type="pct"/>
            <w:tcBorders>
              <w:bottom w:val="single" w:sz="4" w:space="0" w:color="auto"/>
            </w:tcBorders>
          </w:tcPr>
          <w:p w14:paraId="773C451D" w14:textId="77777777" w:rsidR="009F33CD" w:rsidRDefault="00E40740" w:rsidP="00A63BEB">
            <w:pPr>
              <w:spacing w:after="240" w:line="240" w:lineRule="auto"/>
              <w:jc w:val="center"/>
              <w:rPr>
                <w:rFonts w:cs="Times New Roman"/>
                <w:lang w:val="en-US"/>
              </w:rPr>
            </w:pPr>
            <w:r>
              <w:rPr>
                <w:rFonts w:cs="Times New Roman"/>
                <w:lang w:val="en-US"/>
              </w:rPr>
              <w:t>.002</w:t>
            </w:r>
          </w:p>
        </w:tc>
      </w:tr>
      <w:tr w:rsidR="009F33CD" w14:paraId="4551D83B" w14:textId="77777777">
        <w:trPr>
          <w:cantSplit/>
        </w:trPr>
        <w:tc>
          <w:tcPr>
            <w:tcW w:w="5000" w:type="pct"/>
            <w:gridSpan w:val="7"/>
            <w:tcBorders>
              <w:top w:val="single" w:sz="4" w:space="0" w:color="auto"/>
              <w:bottom w:val="nil"/>
            </w:tcBorders>
          </w:tcPr>
          <w:p w14:paraId="1BAC8AB4" w14:textId="77777777" w:rsidR="009F33CD" w:rsidRDefault="00E40740">
            <w:pPr>
              <w:spacing w:after="240" w:line="240" w:lineRule="auto"/>
              <w:rPr>
                <w:rFonts w:cs="Times New Roman"/>
                <w:lang w:val="en-US"/>
              </w:rPr>
            </w:pPr>
            <w:r>
              <w:rPr>
                <w:rFonts w:cs="Times New Roman"/>
                <w:lang w:val="en-US"/>
              </w:rPr>
              <w:t>a. Dependent Variable: Y= performance of devolved healthcare services</w:t>
            </w:r>
          </w:p>
        </w:tc>
      </w:tr>
    </w:tbl>
    <w:p w14:paraId="6FE13C27" w14:textId="77777777" w:rsidR="009F33CD" w:rsidRDefault="00A63BEB">
      <w:pPr>
        <w:spacing w:after="240"/>
        <w:rPr>
          <w:rFonts w:cs="Times New Roman"/>
          <w:lang w:val="en-US"/>
        </w:rPr>
      </w:pPr>
      <w:r>
        <w:rPr>
          <w:rFonts w:cs="Times New Roman"/>
          <w:lang w:val="en-US"/>
        </w:rPr>
        <w:t>Table 4.49</w:t>
      </w:r>
      <w:r w:rsidR="00E40740">
        <w:rPr>
          <w:rFonts w:cs="Times New Roman"/>
          <w:lang w:val="en-US"/>
        </w:rPr>
        <w:t xml:space="preserve"> presents the regression coefficients for the model moderated by Bureaucratic Management Style. The key findings are: X</w:t>
      </w:r>
      <w:r w:rsidR="00E40740">
        <w:rPr>
          <w:rFonts w:cs="Times New Roman"/>
          <w:vertAlign w:val="subscript"/>
          <w:lang w:val="en-US"/>
        </w:rPr>
        <w:t xml:space="preserve">1 </w:t>
      </w:r>
      <w:r w:rsidR="00E40740">
        <w:rPr>
          <w:rFonts w:cs="Times New Roman"/>
          <w:lang w:val="en-US"/>
        </w:rPr>
        <w:t>(β = .421, p &lt; .001), X</w:t>
      </w:r>
      <w:r w:rsidR="00E40740">
        <w:rPr>
          <w:rFonts w:cs="Times New Roman"/>
          <w:vertAlign w:val="subscript"/>
          <w:lang w:val="en-US"/>
        </w:rPr>
        <w:t>3</w:t>
      </w:r>
      <w:r w:rsidR="00E40740">
        <w:rPr>
          <w:rFonts w:cs="Times New Roman"/>
          <w:lang w:val="en-US"/>
        </w:rPr>
        <w:t xml:space="preserve"> (β = .361, p = .001), and GHRM-Bureaucratic style (β = .183, p = .002) all have statistically significant effects on performance. Additionally, X</w:t>
      </w:r>
      <w:r w:rsidR="00E40740">
        <w:rPr>
          <w:rFonts w:cs="Times New Roman"/>
          <w:vertAlign w:val="subscript"/>
          <w:lang w:val="en-US"/>
        </w:rPr>
        <w:t>2</w:t>
      </w:r>
      <w:r w:rsidR="00E40740">
        <w:rPr>
          <w:rFonts w:cs="Times New Roman"/>
          <w:lang w:val="en-US"/>
        </w:rPr>
        <w:t xml:space="preserve"> (β = .181, p = .062) is marginally significant, and X</w:t>
      </w:r>
      <w:r w:rsidR="00E40740">
        <w:rPr>
          <w:rFonts w:cs="Times New Roman"/>
          <w:vertAlign w:val="subscript"/>
          <w:lang w:val="en-US"/>
        </w:rPr>
        <w:t xml:space="preserve">4 </w:t>
      </w:r>
      <w:r w:rsidR="00E40740">
        <w:rPr>
          <w:rFonts w:cs="Times New Roman"/>
          <w:lang w:val="en-US"/>
        </w:rPr>
        <w:t>(β = .123, p = .005) also shows a significant effect when the bureaucratic style moderator is included.</w:t>
      </w:r>
    </w:p>
    <w:p w14:paraId="2ECD9383" w14:textId="77777777" w:rsidR="009F33CD" w:rsidRDefault="00E40740">
      <w:pPr>
        <w:spacing w:after="240"/>
        <w:rPr>
          <w:rFonts w:cs="Times New Roman"/>
          <w:lang w:val="en-US"/>
        </w:rPr>
      </w:pPr>
      <w:r>
        <w:rPr>
          <w:rFonts w:cs="Times New Roman"/>
          <w:lang w:val="en-US"/>
        </w:rPr>
        <w:t>Thus, the bureaucratic management style significantly enhances the influence of specific predictors on performance, with X</w:t>
      </w:r>
      <w:r>
        <w:rPr>
          <w:rFonts w:cs="Times New Roman"/>
          <w:vertAlign w:val="subscript"/>
          <w:lang w:val="en-US"/>
        </w:rPr>
        <w:t>1</w:t>
      </w:r>
      <w:r>
        <w:rPr>
          <w:rFonts w:cs="Times New Roman"/>
          <w:lang w:val="en-US"/>
        </w:rPr>
        <w:t xml:space="preserve"> representing a key green human resource management practice affecting the performance of devolved healthcare services in Kenya.</w:t>
      </w:r>
    </w:p>
    <w:p w14:paraId="1FA0DF6F" w14:textId="77777777" w:rsidR="009F33CD" w:rsidRDefault="00E40740">
      <w:pPr>
        <w:pStyle w:val="Heading3"/>
      </w:pPr>
      <w:bookmarkStart w:id="1590" w:name="_Toc185614151"/>
      <w:bookmarkStart w:id="1591" w:name="_Toc188442632"/>
      <w:bookmarkStart w:id="1592" w:name="_Toc187080923"/>
      <w:bookmarkStart w:id="1593" w:name="_Toc188444006"/>
      <w:bookmarkStart w:id="1594" w:name="_Toc224160695"/>
      <w:bookmarkStart w:id="1595" w:name="_Toc224237758"/>
      <w:bookmarkStart w:id="1596" w:name="_Hlk185590975"/>
      <w:r>
        <w:t>4.12.2 Regression Analysis Findings for Moderating Participative Management Style</w:t>
      </w:r>
      <w:bookmarkEnd w:id="1590"/>
      <w:bookmarkEnd w:id="1591"/>
      <w:bookmarkEnd w:id="1592"/>
      <w:bookmarkEnd w:id="1593"/>
      <w:bookmarkEnd w:id="1594"/>
      <w:bookmarkEnd w:id="1595"/>
    </w:p>
    <w:p w14:paraId="79A86CCD" w14:textId="77777777" w:rsidR="009F33CD" w:rsidRDefault="00E40740">
      <w:pPr>
        <w:spacing w:after="240"/>
        <w:rPr>
          <w:rFonts w:cs="Times New Roman"/>
          <w:lang w:val="en-US"/>
        </w:rPr>
      </w:pPr>
      <w:r>
        <w:rPr>
          <w:rFonts w:cs="Times New Roman"/>
        </w:rPr>
        <w:t xml:space="preserve">A multiple regression analysis was conducted to investigate how the participative style of management sub-variable moderated the relationship between GHRM practices and the performance of devolved healthcare services. The main objective was to determine the extent to which the independent variables would affect the dependent variable </w:t>
      </w:r>
      <w:r>
        <w:rPr>
          <w:rFonts w:cs="Times New Roman"/>
        </w:rPr>
        <w:lastRenderedPageBreak/>
        <w:t>when participative style of management is introduced as a moderator in the model. The find</w:t>
      </w:r>
      <w:r w:rsidR="00A63BEB">
        <w:rPr>
          <w:rFonts w:cs="Times New Roman"/>
        </w:rPr>
        <w:t>ings are presented in Table 4.50</w:t>
      </w:r>
    </w:p>
    <w:p w14:paraId="4D62FF9D" w14:textId="77777777" w:rsidR="009F33CD" w:rsidRDefault="00A63BEB">
      <w:pPr>
        <w:pStyle w:val="Heading6"/>
      </w:pPr>
      <w:bookmarkStart w:id="1597" w:name="_Toc224237479"/>
      <w:bookmarkEnd w:id="1596"/>
      <w:r>
        <w:t>Table 4.50</w:t>
      </w:r>
      <w:r w:rsidR="00E40740">
        <w:t>: Model Summary Moderated by Participative Management Style</w:t>
      </w:r>
      <w:bookmarkEnd w:id="1597"/>
      <w:r w:rsidR="00E40740">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50"/>
        <w:gridCol w:w="704"/>
        <w:gridCol w:w="748"/>
        <w:gridCol w:w="1009"/>
        <w:gridCol w:w="1009"/>
        <w:gridCol w:w="1009"/>
        <w:gridCol w:w="768"/>
        <w:gridCol w:w="705"/>
        <w:gridCol w:w="705"/>
        <w:gridCol w:w="1013"/>
      </w:tblGrid>
      <w:tr w:rsidR="009F33CD" w14:paraId="156151BB" w14:textId="77777777" w:rsidTr="00A63BEB">
        <w:trPr>
          <w:cantSplit/>
          <w:trHeight w:val="45"/>
        </w:trPr>
        <w:tc>
          <w:tcPr>
            <w:tcW w:w="334" w:type="pct"/>
            <w:vMerge w:val="restart"/>
            <w:tcBorders>
              <w:top w:val="single" w:sz="4" w:space="0" w:color="auto"/>
              <w:bottom w:val="single" w:sz="4" w:space="0" w:color="auto"/>
            </w:tcBorders>
          </w:tcPr>
          <w:p w14:paraId="69F50FB6"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Model</w:t>
            </w:r>
          </w:p>
        </w:tc>
        <w:tc>
          <w:tcPr>
            <w:tcW w:w="428" w:type="pct"/>
            <w:vMerge w:val="restart"/>
            <w:tcBorders>
              <w:top w:val="single" w:sz="4" w:space="0" w:color="auto"/>
              <w:bottom w:val="single" w:sz="4" w:space="0" w:color="auto"/>
            </w:tcBorders>
          </w:tcPr>
          <w:p w14:paraId="7968A59C"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R</w:t>
            </w:r>
          </w:p>
        </w:tc>
        <w:tc>
          <w:tcPr>
            <w:tcW w:w="455" w:type="pct"/>
            <w:vMerge w:val="restart"/>
            <w:tcBorders>
              <w:top w:val="single" w:sz="4" w:space="0" w:color="auto"/>
              <w:bottom w:val="single" w:sz="4" w:space="0" w:color="auto"/>
            </w:tcBorders>
          </w:tcPr>
          <w:p w14:paraId="3EA65279"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R Square</w:t>
            </w:r>
          </w:p>
        </w:tc>
        <w:tc>
          <w:tcPr>
            <w:tcW w:w="614" w:type="pct"/>
            <w:vMerge w:val="restart"/>
            <w:tcBorders>
              <w:top w:val="single" w:sz="4" w:space="0" w:color="auto"/>
              <w:bottom w:val="single" w:sz="4" w:space="0" w:color="auto"/>
            </w:tcBorders>
          </w:tcPr>
          <w:p w14:paraId="0DB6CF17"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Adjusted R Square</w:t>
            </w:r>
          </w:p>
        </w:tc>
        <w:tc>
          <w:tcPr>
            <w:tcW w:w="614" w:type="pct"/>
            <w:vMerge w:val="restart"/>
            <w:tcBorders>
              <w:top w:val="single" w:sz="4" w:space="0" w:color="auto"/>
              <w:bottom w:val="single" w:sz="4" w:space="0" w:color="auto"/>
            </w:tcBorders>
          </w:tcPr>
          <w:p w14:paraId="393364BF"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Std. Error of the Estimate</w:t>
            </w:r>
          </w:p>
        </w:tc>
        <w:tc>
          <w:tcPr>
            <w:tcW w:w="2555" w:type="pct"/>
            <w:gridSpan w:val="5"/>
            <w:tcBorders>
              <w:top w:val="single" w:sz="4" w:space="0" w:color="auto"/>
              <w:bottom w:val="single" w:sz="4" w:space="0" w:color="auto"/>
            </w:tcBorders>
          </w:tcPr>
          <w:p w14:paraId="03ACC07E" w14:textId="77777777" w:rsidR="009F33CD" w:rsidRDefault="00E40740" w:rsidP="00A63BEB">
            <w:pPr>
              <w:spacing w:after="240" w:line="240" w:lineRule="auto"/>
              <w:jc w:val="center"/>
              <w:rPr>
                <w:rFonts w:cs="Times New Roman"/>
                <w:b/>
                <w:bCs/>
                <w:sz w:val="20"/>
                <w:lang w:val="en-US"/>
              </w:rPr>
            </w:pPr>
            <w:r>
              <w:rPr>
                <w:rFonts w:cs="Times New Roman"/>
                <w:b/>
                <w:bCs/>
                <w:sz w:val="20"/>
                <w:lang w:val="en-US"/>
              </w:rPr>
              <w:t>Change Statistics</w:t>
            </w:r>
          </w:p>
        </w:tc>
      </w:tr>
      <w:tr w:rsidR="009F33CD" w14:paraId="745E37B0" w14:textId="77777777" w:rsidTr="00F75083">
        <w:trPr>
          <w:cantSplit/>
          <w:trHeight w:val="511"/>
        </w:trPr>
        <w:tc>
          <w:tcPr>
            <w:tcW w:w="334" w:type="pct"/>
            <w:vMerge/>
            <w:tcBorders>
              <w:top w:val="single" w:sz="4" w:space="0" w:color="auto"/>
              <w:bottom w:val="single" w:sz="4" w:space="0" w:color="auto"/>
            </w:tcBorders>
            <w:vAlign w:val="bottom"/>
          </w:tcPr>
          <w:p w14:paraId="51893000" w14:textId="77777777" w:rsidR="009F33CD" w:rsidRDefault="009F33CD">
            <w:pPr>
              <w:spacing w:after="240" w:line="240" w:lineRule="auto"/>
              <w:rPr>
                <w:rFonts w:cs="Times New Roman"/>
                <w:b/>
                <w:bCs/>
                <w:sz w:val="20"/>
                <w:lang w:val="en-US"/>
              </w:rPr>
            </w:pPr>
          </w:p>
        </w:tc>
        <w:tc>
          <w:tcPr>
            <w:tcW w:w="428" w:type="pct"/>
            <w:vMerge/>
            <w:tcBorders>
              <w:top w:val="single" w:sz="4" w:space="0" w:color="auto"/>
              <w:bottom w:val="single" w:sz="4" w:space="0" w:color="auto"/>
            </w:tcBorders>
            <w:vAlign w:val="bottom"/>
          </w:tcPr>
          <w:p w14:paraId="17034B44" w14:textId="77777777" w:rsidR="009F33CD" w:rsidRDefault="009F33CD">
            <w:pPr>
              <w:spacing w:after="240" w:line="240" w:lineRule="auto"/>
              <w:rPr>
                <w:rFonts w:cs="Times New Roman"/>
                <w:b/>
                <w:bCs/>
                <w:sz w:val="20"/>
                <w:lang w:val="en-US"/>
              </w:rPr>
            </w:pPr>
          </w:p>
        </w:tc>
        <w:tc>
          <w:tcPr>
            <w:tcW w:w="455" w:type="pct"/>
            <w:vMerge/>
            <w:tcBorders>
              <w:top w:val="single" w:sz="4" w:space="0" w:color="auto"/>
              <w:bottom w:val="single" w:sz="4" w:space="0" w:color="auto"/>
            </w:tcBorders>
            <w:vAlign w:val="bottom"/>
          </w:tcPr>
          <w:p w14:paraId="746B2C51" w14:textId="77777777" w:rsidR="009F33CD" w:rsidRDefault="009F33CD">
            <w:pPr>
              <w:spacing w:after="240" w:line="240" w:lineRule="auto"/>
              <w:rPr>
                <w:rFonts w:cs="Times New Roman"/>
                <w:b/>
                <w:bCs/>
                <w:sz w:val="20"/>
                <w:lang w:val="en-US"/>
              </w:rPr>
            </w:pPr>
          </w:p>
        </w:tc>
        <w:tc>
          <w:tcPr>
            <w:tcW w:w="614" w:type="pct"/>
            <w:vMerge/>
            <w:tcBorders>
              <w:top w:val="single" w:sz="4" w:space="0" w:color="auto"/>
              <w:bottom w:val="single" w:sz="4" w:space="0" w:color="auto"/>
            </w:tcBorders>
            <w:vAlign w:val="bottom"/>
          </w:tcPr>
          <w:p w14:paraId="4E901D9B" w14:textId="77777777" w:rsidR="009F33CD" w:rsidRDefault="009F33CD">
            <w:pPr>
              <w:spacing w:after="240" w:line="240" w:lineRule="auto"/>
              <w:rPr>
                <w:rFonts w:cs="Times New Roman"/>
                <w:b/>
                <w:bCs/>
                <w:sz w:val="20"/>
                <w:lang w:val="en-US"/>
              </w:rPr>
            </w:pPr>
          </w:p>
        </w:tc>
        <w:tc>
          <w:tcPr>
            <w:tcW w:w="614" w:type="pct"/>
            <w:vMerge/>
            <w:tcBorders>
              <w:top w:val="single" w:sz="4" w:space="0" w:color="auto"/>
              <w:bottom w:val="single" w:sz="4" w:space="0" w:color="auto"/>
            </w:tcBorders>
            <w:vAlign w:val="bottom"/>
          </w:tcPr>
          <w:p w14:paraId="09CC98A8" w14:textId="77777777" w:rsidR="009F33CD" w:rsidRDefault="009F33CD">
            <w:pPr>
              <w:spacing w:after="240" w:line="240" w:lineRule="auto"/>
              <w:rPr>
                <w:rFonts w:cs="Times New Roman"/>
                <w:b/>
                <w:bCs/>
                <w:sz w:val="20"/>
                <w:lang w:val="en-US"/>
              </w:rPr>
            </w:pPr>
          </w:p>
        </w:tc>
        <w:tc>
          <w:tcPr>
            <w:tcW w:w="614" w:type="pct"/>
            <w:tcBorders>
              <w:top w:val="single" w:sz="4" w:space="0" w:color="auto"/>
              <w:bottom w:val="single" w:sz="4" w:space="0" w:color="auto"/>
            </w:tcBorders>
            <w:vAlign w:val="bottom"/>
          </w:tcPr>
          <w:p w14:paraId="0909143D" w14:textId="77777777" w:rsidR="009F33CD" w:rsidRDefault="00E40740">
            <w:pPr>
              <w:spacing w:after="240" w:line="240" w:lineRule="auto"/>
              <w:jc w:val="center"/>
              <w:rPr>
                <w:rFonts w:cs="Times New Roman"/>
                <w:b/>
                <w:bCs/>
                <w:sz w:val="20"/>
                <w:lang w:val="en-US"/>
              </w:rPr>
            </w:pPr>
            <w:r>
              <w:rPr>
                <w:rFonts w:cs="Times New Roman"/>
                <w:b/>
                <w:bCs/>
                <w:sz w:val="20"/>
                <w:lang w:val="en-US"/>
              </w:rPr>
              <w:t>R Square Change</w:t>
            </w:r>
          </w:p>
        </w:tc>
        <w:tc>
          <w:tcPr>
            <w:tcW w:w="467" w:type="pct"/>
            <w:tcBorders>
              <w:top w:val="single" w:sz="4" w:space="0" w:color="auto"/>
              <w:bottom w:val="single" w:sz="4" w:space="0" w:color="auto"/>
            </w:tcBorders>
            <w:vAlign w:val="bottom"/>
          </w:tcPr>
          <w:p w14:paraId="3C5A2C45" w14:textId="77777777" w:rsidR="009F33CD" w:rsidRDefault="00E40740">
            <w:pPr>
              <w:spacing w:after="240" w:line="240" w:lineRule="auto"/>
              <w:jc w:val="center"/>
              <w:rPr>
                <w:rFonts w:cs="Times New Roman"/>
                <w:b/>
                <w:bCs/>
                <w:sz w:val="20"/>
                <w:lang w:val="en-US"/>
              </w:rPr>
            </w:pPr>
            <w:r>
              <w:rPr>
                <w:rFonts w:cs="Times New Roman"/>
                <w:b/>
                <w:bCs/>
                <w:sz w:val="20"/>
                <w:lang w:val="en-US"/>
              </w:rPr>
              <w:t>F Change</w:t>
            </w:r>
          </w:p>
        </w:tc>
        <w:tc>
          <w:tcPr>
            <w:tcW w:w="429" w:type="pct"/>
            <w:tcBorders>
              <w:top w:val="single" w:sz="4" w:space="0" w:color="auto"/>
              <w:bottom w:val="single" w:sz="4" w:space="0" w:color="auto"/>
            </w:tcBorders>
            <w:vAlign w:val="bottom"/>
          </w:tcPr>
          <w:p w14:paraId="6A61312D" w14:textId="77777777" w:rsidR="009F33CD" w:rsidRDefault="00E40740">
            <w:pPr>
              <w:spacing w:after="240" w:line="240" w:lineRule="auto"/>
              <w:rPr>
                <w:rFonts w:cs="Times New Roman"/>
                <w:b/>
                <w:bCs/>
                <w:sz w:val="20"/>
                <w:lang w:val="en-US"/>
              </w:rPr>
            </w:pPr>
            <w:r>
              <w:rPr>
                <w:rFonts w:cs="Times New Roman"/>
                <w:b/>
                <w:bCs/>
                <w:sz w:val="20"/>
                <w:lang w:val="en-US"/>
              </w:rPr>
              <w:t>df1</w:t>
            </w:r>
          </w:p>
        </w:tc>
        <w:tc>
          <w:tcPr>
            <w:tcW w:w="429" w:type="pct"/>
            <w:tcBorders>
              <w:top w:val="single" w:sz="4" w:space="0" w:color="auto"/>
              <w:bottom w:val="single" w:sz="4" w:space="0" w:color="auto"/>
            </w:tcBorders>
            <w:vAlign w:val="bottom"/>
          </w:tcPr>
          <w:p w14:paraId="2DA86A95" w14:textId="77777777" w:rsidR="009F33CD" w:rsidRDefault="00E40740">
            <w:pPr>
              <w:spacing w:after="240" w:line="240" w:lineRule="auto"/>
              <w:jc w:val="center"/>
              <w:rPr>
                <w:rFonts w:cs="Times New Roman"/>
                <w:b/>
                <w:bCs/>
                <w:sz w:val="20"/>
                <w:lang w:val="en-US"/>
              </w:rPr>
            </w:pPr>
            <w:r>
              <w:rPr>
                <w:rFonts w:cs="Times New Roman"/>
                <w:b/>
                <w:bCs/>
                <w:sz w:val="20"/>
                <w:lang w:val="en-US"/>
              </w:rPr>
              <w:t>df2</w:t>
            </w:r>
          </w:p>
        </w:tc>
        <w:tc>
          <w:tcPr>
            <w:tcW w:w="616" w:type="pct"/>
            <w:tcBorders>
              <w:top w:val="single" w:sz="4" w:space="0" w:color="auto"/>
              <w:bottom w:val="single" w:sz="4" w:space="0" w:color="auto"/>
            </w:tcBorders>
            <w:vAlign w:val="bottom"/>
          </w:tcPr>
          <w:p w14:paraId="310DAACD" w14:textId="77777777" w:rsidR="009F33CD" w:rsidRDefault="00E40740">
            <w:pPr>
              <w:spacing w:after="240" w:line="240" w:lineRule="auto"/>
              <w:jc w:val="center"/>
              <w:rPr>
                <w:rFonts w:cs="Times New Roman"/>
                <w:b/>
                <w:bCs/>
                <w:sz w:val="20"/>
                <w:lang w:val="en-US"/>
              </w:rPr>
            </w:pPr>
            <w:r>
              <w:rPr>
                <w:rFonts w:cs="Times New Roman"/>
                <w:b/>
                <w:bCs/>
                <w:sz w:val="20"/>
                <w:lang w:val="en-US"/>
              </w:rPr>
              <w:t>Sig. F Change</w:t>
            </w:r>
          </w:p>
        </w:tc>
      </w:tr>
      <w:tr w:rsidR="009F33CD" w14:paraId="3C48C6DE" w14:textId="77777777">
        <w:trPr>
          <w:cantSplit/>
          <w:trHeight w:val="173"/>
        </w:trPr>
        <w:tc>
          <w:tcPr>
            <w:tcW w:w="334" w:type="pct"/>
            <w:tcBorders>
              <w:top w:val="single" w:sz="4" w:space="0" w:color="auto"/>
              <w:bottom w:val="nil"/>
            </w:tcBorders>
          </w:tcPr>
          <w:p w14:paraId="5D8B4423" w14:textId="77777777" w:rsidR="009F33CD" w:rsidRDefault="00E40740">
            <w:pPr>
              <w:spacing w:after="240" w:line="240" w:lineRule="auto"/>
              <w:rPr>
                <w:rFonts w:cs="Times New Roman"/>
                <w:sz w:val="20"/>
                <w:lang w:val="en-US"/>
              </w:rPr>
            </w:pPr>
            <w:r>
              <w:rPr>
                <w:rFonts w:cs="Times New Roman"/>
                <w:sz w:val="20"/>
                <w:lang w:val="en-US"/>
              </w:rPr>
              <w:t>1</w:t>
            </w:r>
          </w:p>
        </w:tc>
        <w:tc>
          <w:tcPr>
            <w:tcW w:w="428" w:type="pct"/>
            <w:tcBorders>
              <w:top w:val="single" w:sz="4" w:space="0" w:color="auto"/>
              <w:bottom w:val="nil"/>
            </w:tcBorders>
          </w:tcPr>
          <w:p w14:paraId="42C1CD74" w14:textId="77777777" w:rsidR="009F33CD" w:rsidRDefault="00E40740">
            <w:pPr>
              <w:spacing w:after="240" w:line="240" w:lineRule="auto"/>
              <w:jc w:val="center"/>
              <w:rPr>
                <w:rFonts w:cs="Times New Roman"/>
                <w:sz w:val="20"/>
                <w:lang w:val="en-US"/>
              </w:rPr>
            </w:pPr>
            <w:r>
              <w:rPr>
                <w:rFonts w:cs="Times New Roman"/>
                <w:sz w:val="20"/>
                <w:lang w:val="en-US"/>
              </w:rPr>
              <w:t>.802</w:t>
            </w:r>
            <w:r>
              <w:rPr>
                <w:rFonts w:cs="Times New Roman"/>
                <w:sz w:val="20"/>
                <w:vertAlign w:val="superscript"/>
                <w:lang w:val="en-US"/>
              </w:rPr>
              <w:t>a</w:t>
            </w:r>
          </w:p>
        </w:tc>
        <w:tc>
          <w:tcPr>
            <w:tcW w:w="455" w:type="pct"/>
            <w:tcBorders>
              <w:top w:val="single" w:sz="4" w:space="0" w:color="auto"/>
              <w:bottom w:val="nil"/>
            </w:tcBorders>
          </w:tcPr>
          <w:p w14:paraId="1FF3B3B5" w14:textId="77777777" w:rsidR="009F33CD" w:rsidRDefault="00E40740">
            <w:pPr>
              <w:spacing w:after="240" w:line="240" w:lineRule="auto"/>
              <w:jc w:val="center"/>
              <w:rPr>
                <w:rFonts w:cs="Times New Roman"/>
                <w:sz w:val="20"/>
                <w:lang w:val="en-US"/>
              </w:rPr>
            </w:pPr>
            <w:r>
              <w:rPr>
                <w:rFonts w:cs="Times New Roman"/>
                <w:sz w:val="20"/>
                <w:lang w:val="en-US"/>
              </w:rPr>
              <w:t>.644</w:t>
            </w:r>
          </w:p>
        </w:tc>
        <w:tc>
          <w:tcPr>
            <w:tcW w:w="614" w:type="pct"/>
            <w:tcBorders>
              <w:top w:val="single" w:sz="4" w:space="0" w:color="auto"/>
              <w:bottom w:val="nil"/>
            </w:tcBorders>
          </w:tcPr>
          <w:p w14:paraId="6341F50D" w14:textId="77777777" w:rsidR="009F33CD" w:rsidRDefault="00E40740">
            <w:pPr>
              <w:spacing w:after="240" w:line="240" w:lineRule="auto"/>
              <w:jc w:val="center"/>
              <w:rPr>
                <w:rFonts w:cs="Times New Roman"/>
                <w:sz w:val="20"/>
                <w:lang w:val="en-US"/>
              </w:rPr>
            </w:pPr>
            <w:r>
              <w:rPr>
                <w:rFonts w:cs="Times New Roman"/>
                <w:sz w:val="20"/>
                <w:lang w:val="en-US"/>
              </w:rPr>
              <w:t>.631</w:t>
            </w:r>
          </w:p>
        </w:tc>
        <w:tc>
          <w:tcPr>
            <w:tcW w:w="614" w:type="pct"/>
            <w:tcBorders>
              <w:top w:val="single" w:sz="4" w:space="0" w:color="auto"/>
              <w:bottom w:val="nil"/>
            </w:tcBorders>
          </w:tcPr>
          <w:p w14:paraId="7462ECCE" w14:textId="77777777" w:rsidR="009F33CD" w:rsidRDefault="00E40740">
            <w:pPr>
              <w:spacing w:after="240" w:line="240" w:lineRule="auto"/>
              <w:jc w:val="center"/>
              <w:rPr>
                <w:rFonts w:cs="Times New Roman"/>
                <w:sz w:val="20"/>
                <w:lang w:val="en-US"/>
              </w:rPr>
            </w:pPr>
            <w:r>
              <w:rPr>
                <w:rFonts w:cs="Times New Roman"/>
                <w:sz w:val="20"/>
                <w:lang w:val="en-US"/>
              </w:rPr>
              <w:t>.56473</w:t>
            </w:r>
          </w:p>
        </w:tc>
        <w:tc>
          <w:tcPr>
            <w:tcW w:w="614" w:type="pct"/>
            <w:tcBorders>
              <w:top w:val="single" w:sz="4" w:space="0" w:color="auto"/>
              <w:bottom w:val="nil"/>
            </w:tcBorders>
          </w:tcPr>
          <w:p w14:paraId="1223890F" w14:textId="77777777" w:rsidR="009F33CD" w:rsidRDefault="00E40740">
            <w:pPr>
              <w:spacing w:after="240" w:line="240" w:lineRule="auto"/>
              <w:jc w:val="center"/>
              <w:rPr>
                <w:rFonts w:cs="Times New Roman"/>
                <w:sz w:val="20"/>
                <w:lang w:val="en-US"/>
              </w:rPr>
            </w:pPr>
            <w:r>
              <w:rPr>
                <w:rFonts w:cs="Times New Roman"/>
                <w:sz w:val="20"/>
                <w:lang w:val="en-US"/>
              </w:rPr>
              <w:t>.644</w:t>
            </w:r>
          </w:p>
        </w:tc>
        <w:tc>
          <w:tcPr>
            <w:tcW w:w="467" w:type="pct"/>
            <w:tcBorders>
              <w:top w:val="single" w:sz="4" w:space="0" w:color="auto"/>
              <w:bottom w:val="nil"/>
            </w:tcBorders>
          </w:tcPr>
          <w:p w14:paraId="784DBF6A" w14:textId="77777777" w:rsidR="009F33CD" w:rsidRDefault="00E40740">
            <w:pPr>
              <w:spacing w:after="240" w:line="240" w:lineRule="auto"/>
              <w:jc w:val="center"/>
              <w:rPr>
                <w:rFonts w:cs="Times New Roman"/>
                <w:sz w:val="20"/>
                <w:lang w:val="en-US"/>
              </w:rPr>
            </w:pPr>
            <w:r>
              <w:rPr>
                <w:rFonts w:cs="Times New Roman"/>
                <w:sz w:val="20"/>
                <w:lang w:val="en-US"/>
              </w:rPr>
              <w:t>51.025</w:t>
            </w:r>
          </w:p>
        </w:tc>
        <w:tc>
          <w:tcPr>
            <w:tcW w:w="429" w:type="pct"/>
            <w:tcBorders>
              <w:top w:val="single" w:sz="4" w:space="0" w:color="auto"/>
              <w:bottom w:val="nil"/>
            </w:tcBorders>
          </w:tcPr>
          <w:p w14:paraId="59B543D6" w14:textId="77777777" w:rsidR="009F33CD" w:rsidRDefault="00E40740">
            <w:pPr>
              <w:spacing w:after="240" w:line="240" w:lineRule="auto"/>
              <w:jc w:val="center"/>
              <w:rPr>
                <w:rFonts w:cs="Times New Roman"/>
                <w:sz w:val="20"/>
                <w:lang w:val="en-US"/>
              </w:rPr>
            </w:pPr>
            <w:r>
              <w:rPr>
                <w:rFonts w:cs="Times New Roman"/>
                <w:sz w:val="20"/>
                <w:lang w:val="en-US"/>
              </w:rPr>
              <w:t>4</w:t>
            </w:r>
          </w:p>
        </w:tc>
        <w:tc>
          <w:tcPr>
            <w:tcW w:w="429" w:type="pct"/>
            <w:tcBorders>
              <w:top w:val="single" w:sz="4" w:space="0" w:color="auto"/>
              <w:bottom w:val="nil"/>
            </w:tcBorders>
          </w:tcPr>
          <w:p w14:paraId="19F84C2D" w14:textId="77777777" w:rsidR="009F33CD" w:rsidRDefault="00E40740">
            <w:pPr>
              <w:spacing w:after="240" w:line="240" w:lineRule="auto"/>
              <w:jc w:val="center"/>
              <w:rPr>
                <w:rFonts w:cs="Times New Roman"/>
                <w:sz w:val="20"/>
                <w:lang w:val="en-US"/>
              </w:rPr>
            </w:pPr>
            <w:r>
              <w:rPr>
                <w:rFonts w:cs="Times New Roman"/>
                <w:sz w:val="20"/>
                <w:lang w:val="en-US"/>
              </w:rPr>
              <w:t>113</w:t>
            </w:r>
          </w:p>
        </w:tc>
        <w:tc>
          <w:tcPr>
            <w:tcW w:w="616" w:type="pct"/>
            <w:tcBorders>
              <w:top w:val="single" w:sz="4" w:space="0" w:color="auto"/>
              <w:bottom w:val="nil"/>
            </w:tcBorders>
          </w:tcPr>
          <w:p w14:paraId="658F0F3F" w14:textId="77777777" w:rsidR="009F33CD" w:rsidRDefault="00E40740">
            <w:pPr>
              <w:spacing w:after="240" w:line="240" w:lineRule="auto"/>
              <w:jc w:val="center"/>
              <w:rPr>
                <w:rFonts w:cs="Times New Roman"/>
                <w:sz w:val="20"/>
                <w:lang w:val="en-US"/>
              </w:rPr>
            </w:pPr>
            <w:r>
              <w:rPr>
                <w:rFonts w:cs="Times New Roman"/>
                <w:sz w:val="20"/>
                <w:lang w:val="en-US"/>
              </w:rPr>
              <w:t>.000</w:t>
            </w:r>
          </w:p>
        </w:tc>
      </w:tr>
      <w:tr w:rsidR="009F33CD" w14:paraId="2BC4EA38" w14:textId="77777777">
        <w:trPr>
          <w:cantSplit/>
          <w:trHeight w:val="181"/>
        </w:trPr>
        <w:tc>
          <w:tcPr>
            <w:tcW w:w="334" w:type="pct"/>
            <w:tcBorders>
              <w:top w:val="nil"/>
              <w:bottom w:val="single" w:sz="4" w:space="0" w:color="auto"/>
            </w:tcBorders>
          </w:tcPr>
          <w:p w14:paraId="4F020A77" w14:textId="77777777" w:rsidR="009F33CD" w:rsidRDefault="00E40740">
            <w:pPr>
              <w:spacing w:after="240" w:line="240" w:lineRule="auto"/>
              <w:rPr>
                <w:rFonts w:cs="Times New Roman"/>
                <w:sz w:val="20"/>
                <w:lang w:val="en-US"/>
              </w:rPr>
            </w:pPr>
            <w:r>
              <w:rPr>
                <w:rFonts w:cs="Times New Roman"/>
                <w:sz w:val="20"/>
                <w:lang w:val="en-US"/>
              </w:rPr>
              <w:t>2</w:t>
            </w:r>
          </w:p>
        </w:tc>
        <w:tc>
          <w:tcPr>
            <w:tcW w:w="428" w:type="pct"/>
            <w:tcBorders>
              <w:top w:val="nil"/>
              <w:bottom w:val="single" w:sz="4" w:space="0" w:color="auto"/>
            </w:tcBorders>
          </w:tcPr>
          <w:p w14:paraId="1C584C94" w14:textId="77777777" w:rsidR="009F33CD" w:rsidRDefault="00E40740">
            <w:pPr>
              <w:spacing w:after="240" w:line="240" w:lineRule="auto"/>
              <w:jc w:val="center"/>
              <w:rPr>
                <w:rFonts w:cs="Times New Roman"/>
                <w:sz w:val="20"/>
                <w:lang w:val="en-US"/>
              </w:rPr>
            </w:pPr>
            <w:r>
              <w:rPr>
                <w:rFonts w:cs="Times New Roman"/>
                <w:sz w:val="20"/>
                <w:lang w:val="en-US"/>
              </w:rPr>
              <w:t>.803</w:t>
            </w:r>
            <w:r>
              <w:rPr>
                <w:rFonts w:cs="Times New Roman"/>
                <w:sz w:val="20"/>
                <w:vertAlign w:val="superscript"/>
                <w:lang w:val="en-US"/>
              </w:rPr>
              <w:t>b</w:t>
            </w:r>
          </w:p>
        </w:tc>
        <w:tc>
          <w:tcPr>
            <w:tcW w:w="455" w:type="pct"/>
            <w:tcBorders>
              <w:top w:val="nil"/>
              <w:bottom w:val="single" w:sz="4" w:space="0" w:color="auto"/>
            </w:tcBorders>
          </w:tcPr>
          <w:p w14:paraId="027E78F9" w14:textId="77777777" w:rsidR="009F33CD" w:rsidRDefault="00E40740">
            <w:pPr>
              <w:spacing w:after="240" w:line="240" w:lineRule="auto"/>
              <w:jc w:val="center"/>
              <w:rPr>
                <w:rFonts w:cs="Times New Roman"/>
                <w:sz w:val="20"/>
                <w:lang w:val="en-US"/>
              </w:rPr>
            </w:pPr>
            <w:r>
              <w:rPr>
                <w:rFonts w:cs="Times New Roman"/>
                <w:sz w:val="20"/>
                <w:lang w:val="en-US"/>
              </w:rPr>
              <w:t>.645</w:t>
            </w:r>
          </w:p>
        </w:tc>
        <w:tc>
          <w:tcPr>
            <w:tcW w:w="614" w:type="pct"/>
            <w:tcBorders>
              <w:top w:val="nil"/>
              <w:bottom w:val="single" w:sz="4" w:space="0" w:color="auto"/>
            </w:tcBorders>
          </w:tcPr>
          <w:p w14:paraId="48F3AC91" w14:textId="77777777" w:rsidR="009F33CD" w:rsidRDefault="00E40740">
            <w:pPr>
              <w:spacing w:after="240" w:line="240" w:lineRule="auto"/>
              <w:jc w:val="center"/>
              <w:rPr>
                <w:rFonts w:cs="Times New Roman"/>
                <w:sz w:val="20"/>
                <w:lang w:val="en-US"/>
              </w:rPr>
            </w:pPr>
            <w:r>
              <w:rPr>
                <w:rFonts w:cs="Times New Roman"/>
                <w:sz w:val="20"/>
                <w:lang w:val="en-US"/>
              </w:rPr>
              <w:t>.629</w:t>
            </w:r>
          </w:p>
        </w:tc>
        <w:tc>
          <w:tcPr>
            <w:tcW w:w="614" w:type="pct"/>
            <w:tcBorders>
              <w:top w:val="nil"/>
              <w:bottom w:val="single" w:sz="4" w:space="0" w:color="auto"/>
            </w:tcBorders>
          </w:tcPr>
          <w:p w14:paraId="473014CA" w14:textId="77777777" w:rsidR="009F33CD" w:rsidRDefault="00E40740">
            <w:pPr>
              <w:spacing w:line="240" w:lineRule="auto"/>
              <w:jc w:val="center"/>
              <w:rPr>
                <w:rFonts w:cs="Times New Roman"/>
                <w:sz w:val="20"/>
                <w:lang w:val="en-US"/>
              </w:rPr>
            </w:pPr>
            <w:r>
              <w:rPr>
                <w:rFonts w:cs="Times New Roman"/>
                <w:sz w:val="20"/>
                <w:lang w:val="en-US"/>
              </w:rPr>
              <w:t>.56606</w:t>
            </w:r>
          </w:p>
        </w:tc>
        <w:tc>
          <w:tcPr>
            <w:tcW w:w="614" w:type="pct"/>
            <w:tcBorders>
              <w:top w:val="nil"/>
              <w:bottom w:val="single" w:sz="4" w:space="0" w:color="auto"/>
            </w:tcBorders>
          </w:tcPr>
          <w:p w14:paraId="1A9A5942" w14:textId="77777777" w:rsidR="009F33CD" w:rsidRDefault="00E40740">
            <w:pPr>
              <w:spacing w:after="240" w:line="240" w:lineRule="auto"/>
              <w:jc w:val="center"/>
              <w:rPr>
                <w:rFonts w:cs="Times New Roman"/>
                <w:sz w:val="20"/>
                <w:lang w:val="en-US"/>
              </w:rPr>
            </w:pPr>
            <w:r>
              <w:rPr>
                <w:rFonts w:cs="Times New Roman"/>
                <w:sz w:val="20"/>
                <w:lang w:val="en-US"/>
              </w:rPr>
              <w:t>.001</w:t>
            </w:r>
          </w:p>
        </w:tc>
        <w:tc>
          <w:tcPr>
            <w:tcW w:w="467" w:type="pct"/>
            <w:tcBorders>
              <w:top w:val="nil"/>
              <w:bottom w:val="single" w:sz="4" w:space="0" w:color="auto"/>
            </w:tcBorders>
          </w:tcPr>
          <w:p w14:paraId="2E5F0495" w14:textId="77777777" w:rsidR="009F33CD" w:rsidRDefault="00E40740">
            <w:pPr>
              <w:spacing w:after="240" w:line="240" w:lineRule="auto"/>
              <w:jc w:val="center"/>
              <w:rPr>
                <w:rFonts w:cs="Times New Roman"/>
                <w:sz w:val="20"/>
                <w:lang w:val="en-US"/>
              </w:rPr>
            </w:pPr>
            <w:r>
              <w:rPr>
                <w:rFonts w:cs="Times New Roman"/>
                <w:sz w:val="20"/>
                <w:lang w:val="en-US"/>
              </w:rPr>
              <w:t>.468</w:t>
            </w:r>
          </w:p>
        </w:tc>
        <w:tc>
          <w:tcPr>
            <w:tcW w:w="429" w:type="pct"/>
            <w:tcBorders>
              <w:top w:val="nil"/>
              <w:bottom w:val="single" w:sz="4" w:space="0" w:color="auto"/>
            </w:tcBorders>
          </w:tcPr>
          <w:p w14:paraId="0E3F862C" w14:textId="77777777" w:rsidR="009F33CD" w:rsidRDefault="00E40740">
            <w:pPr>
              <w:spacing w:after="240" w:line="240" w:lineRule="auto"/>
              <w:jc w:val="center"/>
              <w:rPr>
                <w:rFonts w:cs="Times New Roman"/>
                <w:sz w:val="20"/>
                <w:lang w:val="en-US"/>
              </w:rPr>
            </w:pPr>
            <w:r>
              <w:rPr>
                <w:rFonts w:cs="Times New Roman"/>
                <w:sz w:val="20"/>
                <w:lang w:val="en-US"/>
              </w:rPr>
              <w:t>1</w:t>
            </w:r>
          </w:p>
        </w:tc>
        <w:tc>
          <w:tcPr>
            <w:tcW w:w="429" w:type="pct"/>
            <w:tcBorders>
              <w:top w:val="nil"/>
              <w:bottom w:val="single" w:sz="4" w:space="0" w:color="auto"/>
            </w:tcBorders>
          </w:tcPr>
          <w:p w14:paraId="360B08BF" w14:textId="77777777" w:rsidR="009F33CD" w:rsidRDefault="00E40740">
            <w:pPr>
              <w:spacing w:after="240" w:line="240" w:lineRule="auto"/>
              <w:jc w:val="center"/>
              <w:rPr>
                <w:rFonts w:cs="Times New Roman"/>
                <w:sz w:val="20"/>
                <w:lang w:val="en-US"/>
              </w:rPr>
            </w:pPr>
            <w:r>
              <w:rPr>
                <w:rFonts w:cs="Times New Roman"/>
                <w:sz w:val="20"/>
                <w:lang w:val="en-US"/>
              </w:rPr>
              <w:t>112</w:t>
            </w:r>
          </w:p>
        </w:tc>
        <w:tc>
          <w:tcPr>
            <w:tcW w:w="616" w:type="pct"/>
            <w:tcBorders>
              <w:top w:val="nil"/>
              <w:bottom w:val="single" w:sz="4" w:space="0" w:color="auto"/>
            </w:tcBorders>
          </w:tcPr>
          <w:p w14:paraId="605B5B28" w14:textId="77777777" w:rsidR="009F33CD" w:rsidRDefault="00E40740">
            <w:pPr>
              <w:spacing w:after="240" w:line="240" w:lineRule="auto"/>
              <w:jc w:val="center"/>
              <w:rPr>
                <w:rFonts w:cs="Times New Roman"/>
                <w:sz w:val="20"/>
                <w:lang w:val="en-US"/>
              </w:rPr>
            </w:pPr>
            <w:r>
              <w:rPr>
                <w:rFonts w:cs="Times New Roman"/>
                <w:sz w:val="20"/>
                <w:lang w:val="en-US"/>
              </w:rPr>
              <w:t>.005</w:t>
            </w:r>
          </w:p>
        </w:tc>
      </w:tr>
      <w:tr w:rsidR="009F33CD" w14:paraId="2A68E02A" w14:textId="77777777" w:rsidTr="00F75083">
        <w:trPr>
          <w:cantSplit/>
          <w:trHeight w:val="351"/>
        </w:trPr>
        <w:tc>
          <w:tcPr>
            <w:tcW w:w="5000" w:type="pct"/>
            <w:gridSpan w:val="10"/>
            <w:tcBorders>
              <w:top w:val="single" w:sz="4" w:space="0" w:color="auto"/>
              <w:bottom w:val="nil"/>
            </w:tcBorders>
          </w:tcPr>
          <w:p w14:paraId="3C5A3445" w14:textId="77777777" w:rsidR="009F33CD" w:rsidRDefault="00E40740">
            <w:pPr>
              <w:spacing w:before="0" w:beforeAutospacing="0" w:after="0" w:afterAutospacing="0" w:line="240" w:lineRule="auto"/>
              <w:rPr>
                <w:rFonts w:cs="Times New Roman"/>
                <w:sz w:val="20"/>
                <w:lang w:val="en-US"/>
              </w:rPr>
            </w:pPr>
            <w:r>
              <w:rPr>
                <w:rFonts w:cs="Times New Roman"/>
                <w:sz w:val="20"/>
                <w:lang w:val="en-US"/>
              </w:rPr>
              <w:t xml:space="preserve">a. Predictors: (Constant), </w:t>
            </w:r>
            <w:r>
              <w:rPr>
                <w:rFonts w:cs="Times New Roman"/>
                <w:bCs/>
                <w:sz w:val="20"/>
              </w:rPr>
              <w:t>X</w:t>
            </w:r>
            <w:r>
              <w:rPr>
                <w:rFonts w:cs="Times New Roman"/>
                <w:bCs/>
                <w:sz w:val="20"/>
                <w:vertAlign w:val="subscript"/>
              </w:rPr>
              <w:t>1</w:t>
            </w:r>
            <w:r>
              <w:rPr>
                <w:rFonts w:cs="Times New Roman"/>
                <w:bCs/>
                <w:sz w:val="20"/>
              </w:rPr>
              <w:t>, X</w:t>
            </w:r>
            <w:r>
              <w:rPr>
                <w:rFonts w:cs="Times New Roman"/>
                <w:bCs/>
                <w:sz w:val="20"/>
                <w:vertAlign w:val="subscript"/>
              </w:rPr>
              <w:t>2</w:t>
            </w:r>
            <w:r>
              <w:rPr>
                <w:rFonts w:cs="Times New Roman"/>
                <w:bCs/>
                <w:sz w:val="20"/>
              </w:rPr>
              <w:t>, X</w:t>
            </w:r>
            <w:r>
              <w:rPr>
                <w:rFonts w:cs="Times New Roman"/>
                <w:bCs/>
                <w:sz w:val="20"/>
                <w:vertAlign w:val="subscript"/>
              </w:rPr>
              <w:t>3</w:t>
            </w:r>
            <w:r>
              <w:rPr>
                <w:rFonts w:cs="Times New Roman"/>
                <w:bCs/>
                <w:sz w:val="20"/>
              </w:rPr>
              <w:t>, and X</w:t>
            </w:r>
            <w:r>
              <w:rPr>
                <w:rFonts w:cs="Times New Roman"/>
                <w:bCs/>
                <w:sz w:val="20"/>
                <w:vertAlign w:val="subscript"/>
              </w:rPr>
              <w:t xml:space="preserve">4 </w:t>
            </w:r>
          </w:p>
          <w:p w14:paraId="6B94114E" w14:textId="77777777" w:rsidR="009F33CD" w:rsidRDefault="00E40740">
            <w:pPr>
              <w:spacing w:before="0" w:beforeAutospacing="0" w:after="0" w:afterAutospacing="0" w:line="240" w:lineRule="auto"/>
              <w:rPr>
                <w:rFonts w:cs="Times New Roman"/>
                <w:sz w:val="20"/>
                <w:lang w:val="en-US"/>
              </w:rPr>
            </w:pPr>
            <w:r>
              <w:rPr>
                <w:rFonts w:cs="Times New Roman"/>
                <w:sz w:val="20"/>
                <w:lang w:val="en-US"/>
              </w:rPr>
              <w:t>b. Predictors: (Constant), X</w:t>
            </w:r>
            <w:r>
              <w:rPr>
                <w:rFonts w:cs="Times New Roman"/>
                <w:bCs/>
                <w:sz w:val="20"/>
              </w:rPr>
              <w:t xml:space="preserve"> X</w:t>
            </w:r>
            <w:r>
              <w:rPr>
                <w:rFonts w:cs="Times New Roman"/>
                <w:bCs/>
                <w:sz w:val="20"/>
                <w:vertAlign w:val="subscript"/>
              </w:rPr>
              <w:t>1</w:t>
            </w:r>
            <w:r>
              <w:rPr>
                <w:rFonts w:cs="Times New Roman"/>
                <w:bCs/>
                <w:sz w:val="20"/>
              </w:rPr>
              <w:t>, X</w:t>
            </w:r>
            <w:r>
              <w:rPr>
                <w:rFonts w:cs="Times New Roman"/>
                <w:bCs/>
                <w:sz w:val="20"/>
                <w:vertAlign w:val="subscript"/>
              </w:rPr>
              <w:t>2</w:t>
            </w:r>
            <w:r>
              <w:rPr>
                <w:rFonts w:cs="Times New Roman"/>
                <w:bCs/>
                <w:sz w:val="20"/>
              </w:rPr>
              <w:t>, X</w:t>
            </w:r>
            <w:r>
              <w:rPr>
                <w:rFonts w:cs="Times New Roman"/>
                <w:bCs/>
                <w:sz w:val="20"/>
                <w:vertAlign w:val="subscript"/>
              </w:rPr>
              <w:t>3</w:t>
            </w:r>
            <w:r>
              <w:rPr>
                <w:rFonts w:cs="Times New Roman"/>
                <w:bCs/>
                <w:sz w:val="20"/>
              </w:rPr>
              <w:t>, and X</w:t>
            </w:r>
            <w:r>
              <w:rPr>
                <w:rFonts w:cs="Times New Roman"/>
                <w:bCs/>
                <w:sz w:val="20"/>
                <w:vertAlign w:val="subscript"/>
              </w:rPr>
              <w:t>4</w:t>
            </w:r>
            <w:r>
              <w:rPr>
                <w:rFonts w:cs="Times New Roman"/>
                <w:sz w:val="20"/>
                <w:lang w:val="en-US"/>
              </w:rPr>
              <w:t>, GHR- Participative style</w:t>
            </w:r>
          </w:p>
        </w:tc>
      </w:tr>
    </w:tbl>
    <w:p w14:paraId="146C646E" w14:textId="77777777" w:rsidR="009F33CD" w:rsidRDefault="00A63BEB">
      <w:pPr>
        <w:rPr>
          <w:rFonts w:cs="Times New Roman"/>
          <w:lang w:val="en-US"/>
        </w:rPr>
      </w:pPr>
      <w:r>
        <w:rPr>
          <w:rFonts w:cs="Times New Roman"/>
          <w:lang w:val="en-US"/>
        </w:rPr>
        <w:t>Table 4.50</w:t>
      </w:r>
      <w:r w:rsidR="00E40740">
        <w:rPr>
          <w:rFonts w:cs="Times New Roman"/>
          <w:lang w:val="en-US"/>
        </w:rPr>
        <w:t xml:space="preserve"> shows that the participative management style also significantly moderated the relationship between the green human resource management practices and the performance of devolved healthcare services in Kenya, though the change in R² is much smaller (.001 increase from .644 to .645, F (1, 112) = .468, p = .005). This suggests that the participative management style has a smaller but still significant moderating influence on the relationship between green human resource management practices and the performance of devolved healthcare services in Kenya.</w:t>
      </w:r>
    </w:p>
    <w:p w14:paraId="1D559A24" w14:textId="77777777" w:rsidR="009F33CD" w:rsidRDefault="00A63BEB">
      <w:pPr>
        <w:pStyle w:val="Heading6"/>
      </w:pPr>
      <w:bookmarkStart w:id="1598" w:name="_Toc185614153"/>
      <w:bookmarkStart w:id="1599" w:name="_Toc187080925"/>
      <w:bookmarkStart w:id="1600" w:name="_Toc224237480"/>
      <w:r>
        <w:t>Table 4.51</w:t>
      </w:r>
      <w:r w:rsidR="00E40740">
        <w:t>: Regression Coefficient Findings Moderated by Participative Management Style</w:t>
      </w:r>
      <w:bookmarkEnd w:id="1598"/>
      <w:bookmarkEnd w:id="1599"/>
      <w:bookmarkEnd w:id="1600"/>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41"/>
        <w:gridCol w:w="1802"/>
        <w:gridCol w:w="1152"/>
        <w:gridCol w:w="1152"/>
        <w:gridCol w:w="1320"/>
        <w:gridCol w:w="1087"/>
        <w:gridCol w:w="1166"/>
      </w:tblGrid>
      <w:tr w:rsidR="009F33CD" w14:paraId="3AB74D0F" w14:textId="77777777" w:rsidTr="00A63BEB">
        <w:trPr>
          <w:cantSplit/>
        </w:trPr>
        <w:tc>
          <w:tcPr>
            <w:tcW w:w="1425" w:type="pct"/>
            <w:gridSpan w:val="2"/>
            <w:vMerge w:val="restart"/>
          </w:tcPr>
          <w:p w14:paraId="78072A2C" w14:textId="77777777" w:rsidR="009F33CD" w:rsidRDefault="00E40740" w:rsidP="00A63BEB">
            <w:pPr>
              <w:spacing w:after="240" w:line="240" w:lineRule="auto"/>
              <w:jc w:val="left"/>
              <w:rPr>
                <w:rFonts w:cs="Times New Roman"/>
                <w:b/>
                <w:bCs/>
                <w:sz w:val="22"/>
                <w:szCs w:val="22"/>
                <w:lang w:val="en-US"/>
              </w:rPr>
            </w:pPr>
            <w:r>
              <w:rPr>
                <w:rFonts w:cs="Times New Roman"/>
                <w:b/>
                <w:bCs/>
                <w:sz w:val="22"/>
                <w:szCs w:val="22"/>
                <w:lang w:val="en-US"/>
              </w:rPr>
              <w:t>Model</w:t>
            </w:r>
          </w:p>
        </w:tc>
        <w:tc>
          <w:tcPr>
            <w:tcW w:w="1402" w:type="pct"/>
            <w:gridSpan w:val="2"/>
            <w:tcBorders>
              <w:bottom w:val="single" w:sz="4" w:space="0" w:color="auto"/>
            </w:tcBorders>
            <w:vAlign w:val="bottom"/>
          </w:tcPr>
          <w:p w14:paraId="45E9C4AF" w14:textId="77777777" w:rsidR="009F33CD" w:rsidRDefault="00E40740">
            <w:pPr>
              <w:spacing w:after="240" w:line="240" w:lineRule="auto"/>
              <w:rPr>
                <w:rFonts w:cs="Times New Roman"/>
                <w:b/>
                <w:bCs/>
                <w:sz w:val="22"/>
                <w:szCs w:val="22"/>
                <w:lang w:val="en-US"/>
              </w:rPr>
            </w:pPr>
            <w:r>
              <w:rPr>
                <w:rFonts w:cs="Times New Roman"/>
                <w:b/>
                <w:bCs/>
                <w:sz w:val="22"/>
                <w:szCs w:val="22"/>
                <w:lang w:val="en-US"/>
              </w:rPr>
              <w:t>Unstandardized Coefficients</w:t>
            </w:r>
          </w:p>
        </w:tc>
        <w:tc>
          <w:tcPr>
            <w:tcW w:w="803" w:type="pct"/>
            <w:tcBorders>
              <w:bottom w:val="single" w:sz="4" w:space="0" w:color="auto"/>
            </w:tcBorders>
            <w:vAlign w:val="bottom"/>
          </w:tcPr>
          <w:p w14:paraId="342B3A3A" w14:textId="77777777" w:rsidR="009F33CD" w:rsidRDefault="00E40740">
            <w:pPr>
              <w:spacing w:after="240" w:line="240" w:lineRule="auto"/>
              <w:rPr>
                <w:rFonts w:cs="Times New Roman"/>
                <w:b/>
                <w:bCs/>
                <w:sz w:val="22"/>
                <w:szCs w:val="22"/>
                <w:lang w:val="en-US"/>
              </w:rPr>
            </w:pPr>
            <w:r>
              <w:rPr>
                <w:rFonts w:cs="Times New Roman"/>
                <w:b/>
                <w:bCs/>
                <w:sz w:val="22"/>
                <w:szCs w:val="22"/>
                <w:lang w:val="en-US"/>
              </w:rPr>
              <w:t>Standardized Coefficients</w:t>
            </w:r>
          </w:p>
        </w:tc>
        <w:tc>
          <w:tcPr>
            <w:tcW w:w="661" w:type="pct"/>
            <w:vMerge w:val="restart"/>
          </w:tcPr>
          <w:p w14:paraId="796595F0" w14:textId="77777777" w:rsidR="009F33CD" w:rsidRDefault="00E40740" w:rsidP="00A63BEB">
            <w:pPr>
              <w:spacing w:after="240" w:line="240" w:lineRule="auto"/>
              <w:jc w:val="center"/>
              <w:rPr>
                <w:rFonts w:cs="Times New Roman"/>
                <w:b/>
                <w:bCs/>
                <w:sz w:val="22"/>
                <w:szCs w:val="22"/>
                <w:lang w:val="en-US"/>
              </w:rPr>
            </w:pPr>
            <w:r>
              <w:rPr>
                <w:rFonts w:cs="Times New Roman"/>
                <w:b/>
                <w:bCs/>
                <w:sz w:val="22"/>
                <w:szCs w:val="22"/>
                <w:lang w:val="en-US"/>
              </w:rPr>
              <w:t>T</w:t>
            </w:r>
          </w:p>
        </w:tc>
        <w:tc>
          <w:tcPr>
            <w:tcW w:w="709" w:type="pct"/>
            <w:vMerge w:val="restart"/>
          </w:tcPr>
          <w:p w14:paraId="49361458" w14:textId="77777777" w:rsidR="009F33CD" w:rsidRDefault="00E40740" w:rsidP="00A63BEB">
            <w:pPr>
              <w:spacing w:after="240" w:line="240" w:lineRule="auto"/>
              <w:jc w:val="center"/>
              <w:rPr>
                <w:rFonts w:cs="Times New Roman"/>
                <w:b/>
                <w:bCs/>
                <w:sz w:val="22"/>
                <w:szCs w:val="22"/>
                <w:lang w:val="en-US"/>
              </w:rPr>
            </w:pPr>
            <w:r>
              <w:rPr>
                <w:rFonts w:cs="Times New Roman"/>
                <w:b/>
                <w:bCs/>
                <w:sz w:val="22"/>
                <w:szCs w:val="22"/>
                <w:lang w:val="en-US"/>
              </w:rPr>
              <w:t>Sig.</w:t>
            </w:r>
          </w:p>
        </w:tc>
      </w:tr>
      <w:tr w:rsidR="009F33CD" w14:paraId="5BDFAF3B" w14:textId="77777777" w:rsidTr="00F75083">
        <w:trPr>
          <w:cantSplit/>
        </w:trPr>
        <w:tc>
          <w:tcPr>
            <w:tcW w:w="1425" w:type="pct"/>
            <w:gridSpan w:val="2"/>
            <w:vMerge/>
            <w:tcBorders>
              <w:bottom w:val="single" w:sz="4" w:space="0" w:color="auto"/>
            </w:tcBorders>
            <w:vAlign w:val="bottom"/>
          </w:tcPr>
          <w:p w14:paraId="2514112B" w14:textId="77777777" w:rsidR="009F33CD" w:rsidRDefault="009F33CD">
            <w:pPr>
              <w:spacing w:after="240" w:line="240" w:lineRule="auto"/>
              <w:rPr>
                <w:rFonts w:cs="Times New Roman"/>
                <w:sz w:val="22"/>
                <w:szCs w:val="22"/>
                <w:lang w:val="en-US"/>
              </w:rPr>
            </w:pPr>
          </w:p>
        </w:tc>
        <w:tc>
          <w:tcPr>
            <w:tcW w:w="701" w:type="pct"/>
            <w:tcBorders>
              <w:top w:val="single" w:sz="4" w:space="0" w:color="auto"/>
              <w:bottom w:val="single" w:sz="4" w:space="0" w:color="auto"/>
            </w:tcBorders>
            <w:vAlign w:val="bottom"/>
          </w:tcPr>
          <w:p w14:paraId="0DE3547F"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B</w:t>
            </w:r>
          </w:p>
        </w:tc>
        <w:tc>
          <w:tcPr>
            <w:tcW w:w="701" w:type="pct"/>
            <w:tcBorders>
              <w:top w:val="single" w:sz="4" w:space="0" w:color="auto"/>
              <w:bottom w:val="single" w:sz="4" w:space="0" w:color="auto"/>
            </w:tcBorders>
            <w:vAlign w:val="bottom"/>
          </w:tcPr>
          <w:p w14:paraId="652D569D"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Std. Error</w:t>
            </w:r>
          </w:p>
        </w:tc>
        <w:tc>
          <w:tcPr>
            <w:tcW w:w="803" w:type="pct"/>
            <w:tcBorders>
              <w:top w:val="single" w:sz="4" w:space="0" w:color="auto"/>
              <w:bottom w:val="single" w:sz="4" w:space="0" w:color="auto"/>
            </w:tcBorders>
            <w:vAlign w:val="bottom"/>
          </w:tcPr>
          <w:p w14:paraId="1760B402"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Beta</w:t>
            </w:r>
          </w:p>
        </w:tc>
        <w:tc>
          <w:tcPr>
            <w:tcW w:w="661" w:type="pct"/>
            <w:vMerge/>
            <w:tcBorders>
              <w:bottom w:val="single" w:sz="4" w:space="0" w:color="auto"/>
            </w:tcBorders>
            <w:vAlign w:val="bottom"/>
          </w:tcPr>
          <w:p w14:paraId="73E66493" w14:textId="77777777" w:rsidR="009F33CD" w:rsidRDefault="009F33CD">
            <w:pPr>
              <w:spacing w:after="240" w:line="240" w:lineRule="auto"/>
              <w:rPr>
                <w:rFonts w:cs="Times New Roman"/>
                <w:sz w:val="22"/>
                <w:szCs w:val="22"/>
                <w:lang w:val="en-US"/>
              </w:rPr>
            </w:pPr>
          </w:p>
        </w:tc>
        <w:tc>
          <w:tcPr>
            <w:tcW w:w="709" w:type="pct"/>
            <w:vMerge/>
            <w:tcBorders>
              <w:bottom w:val="single" w:sz="4" w:space="0" w:color="auto"/>
            </w:tcBorders>
            <w:vAlign w:val="bottom"/>
          </w:tcPr>
          <w:p w14:paraId="68AD4FEA" w14:textId="77777777" w:rsidR="009F33CD" w:rsidRDefault="009F33CD">
            <w:pPr>
              <w:spacing w:after="240" w:line="240" w:lineRule="auto"/>
              <w:rPr>
                <w:rFonts w:cs="Times New Roman"/>
                <w:sz w:val="22"/>
                <w:szCs w:val="22"/>
                <w:lang w:val="en-US"/>
              </w:rPr>
            </w:pPr>
          </w:p>
        </w:tc>
      </w:tr>
      <w:tr w:rsidR="009F33CD" w14:paraId="58BF7A14" w14:textId="77777777">
        <w:trPr>
          <w:cantSplit/>
        </w:trPr>
        <w:tc>
          <w:tcPr>
            <w:tcW w:w="329" w:type="pct"/>
            <w:vMerge w:val="restart"/>
            <w:tcBorders>
              <w:top w:val="single" w:sz="4" w:space="0" w:color="auto"/>
              <w:bottom w:val="nil"/>
            </w:tcBorders>
          </w:tcPr>
          <w:p w14:paraId="2F524180" w14:textId="77777777" w:rsidR="009F33CD" w:rsidRDefault="00E40740">
            <w:pPr>
              <w:spacing w:after="240" w:line="240" w:lineRule="auto"/>
              <w:rPr>
                <w:rFonts w:cs="Times New Roman"/>
                <w:sz w:val="22"/>
                <w:szCs w:val="22"/>
                <w:lang w:val="en-US"/>
              </w:rPr>
            </w:pPr>
            <w:r>
              <w:rPr>
                <w:rFonts w:cs="Times New Roman"/>
                <w:sz w:val="22"/>
                <w:szCs w:val="22"/>
                <w:lang w:val="en-US"/>
              </w:rPr>
              <w:t>1</w:t>
            </w:r>
          </w:p>
        </w:tc>
        <w:tc>
          <w:tcPr>
            <w:tcW w:w="1096" w:type="pct"/>
            <w:tcBorders>
              <w:top w:val="single" w:sz="4" w:space="0" w:color="auto"/>
              <w:bottom w:val="nil"/>
            </w:tcBorders>
          </w:tcPr>
          <w:p w14:paraId="01A7A7E4" w14:textId="77777777" w:rsidR="009F33CD" w:rsidRDefault="00E40740">
            <w:pPr>
              <w:spacing w:after="240" w:line="240" w:lineRule="auto"/>
              <w:rPr>
                <w:rFonts w:cs="Times New Roman"/>
                <w:sz w:val="22"/>
                <w:szCs w:val="22"/>
                <w:lang w:val="en-US"/>
              </w:rPr>
            </w:pPr>
            <w:r>
              <w:rPr>
                <w:rFonts w:cs="Times New Roman"/>
                <w:sz w:val="22"/>
                <w:szCs w:val="22"/>
                <w:lang w:val="en-US"/>
              </w:rPr>
              <w:t>(Constant)</w:t>
            </w:r>
          </w:p>
        </w:tc>
        <w:tc>
          <w:tcPr>
            <w:tcW w:w="701" w:type="pct"/>
            <w:tcBorders>
              <w:top w:val="single" w:sz="4" w:space="0" w:color="auto"/>
              <w:bottom w:val="nil"/>
            </w:tcBorders>
          </w:tcPr>
          <w:p w14:paraId="17E087E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.330</w:t>
            </w:r>
          </w:p>
        </w:tc>
        <w:tc>
          <w:tcPr>
            <w:tcW w:w="701" w:type="pct"/>
            <w:tcBorders>
              <w:top w:val="single" w:sz="4" w:space="0" w:color="auto"/>
              <w:bottom w:val="nil"/>
            </w:tcBorders>
          </w:tcPr>
          <w:p w14:paraId="1BC9A978"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.299</w:t>
            </w:r>
          </w:p>
        </w:tc>
        <w:tc>
          <w:tcPr>
            <w:tcW w:w="803" w:type="pct"/>
            <w:tcBorders>
              <w:top w:val="single" w:sz="4" w:space="0" w:color="auto"/>
              <w:bottom w:val="nil"/>
            </w:tcBorders>
            <w:vAlign w:val="center"/>
          </w:tcPr>
          <w:p w14:paraId="227720B2" w14:textId="77777777" w:rsidR="009F33CD" w:rsidRDefault="009F33CD">
            <w:pPr>
              <w:spacing w:after="240" w:line="240" w:lineRule="auto"/>
              <w:jc w:val="center"/>
              <w:rPr>
                <w:rFonts w:cs="Times New Roman"/>
                <w:sz w:val="22"/>
                <w:szCs w:val="22"/>
                <w:lang w:val="en-US"/>
              </w:rPr>
            </w:pPr>
          </w:p>
        </w:tc>
        <w:tc>
          <w:tcPr>
            <w:tcW w:w="661" w:type="pct"/>
            <w:tcBorders>
              <w:top w:val="single" w:sz="4" w:space="0" w:color="auto"/>
              <w:bottom w:val="nil"/>
            </w:tcBorders>
          </w:tcPr>
          <w:p w14:paraId="4F2E226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-1.105</w:t>
            </w:r>
          </w:p>
        </w:tc>
        <w:tc>
          <w:tcPr>
            <w:tcW w:w="709" w:type="pct"/>
            <w:tcBorders>
              <w:top w:val="single" w:sz="4" w:space="0" w:color="auto"/>
              <w:bottom w:val="nil"/>
            </w:tcBorders>
          </w:tcPr>
          <w:p w14:paraId="37EB4B96"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.271</w:t>
            </w:r>
          </w:p>
        </w:tc>
      </w:tr>
      <w:tr w:rsidR="009F33CD" w14:paraId="425F0CE7" w14:textId="77777777">
        <w:trPr>
          <w:cantSplit/>
        </w:trPr>
        <w:tc>
          <w:tcPr>
            <w:tcW w:w="329" w:type="pct"/>
            <w:vMerge/>
            <w:tcBorders>
              <w:top w:val="nil"/>
            </w:tcBorders>
          </w:tcPr>
          <w:p w14:paraId="44BB4122" w14:textId="77777777" w:rsidR="009F33CD" w:rsidRDefault="009F33CD">
            <w:pPr>
              <w:spacing w:after="240" w:line="240" w:lineRule="auto"/>
              <w:rPr>
                <w:rFonts w:cs="Times New Roman"/>
                <w:sz w:val="22"/>
                <w:szCs w:val="22"/>
                <w:lang w:val="en-US"/>
              </w:rPr>
            </w:pPr>
          </w:p>
        </w:tc>
        <w:tc>
          <w:tcPr>
            <w:tcW w:w="1096" w:type="pct"/>
            <w:tcBorders>
              <w:top w:val="nil"/>
            </w:tcBorders>
          </w:tcPr>
          <w:p w14:paraId="5EBE9675"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1</w:t>
            </w:r>
          </w:p>
        </w:tc>
        <w:tc>
          <w:tcPr>
            <w:tcW w:w="701" w:type="pct"/>
            <w:tcBorders>
              <w:top w:val="nil"/>
            </w:tcBorders>
          </w:tcPr>
          <w:p w14:paraId="509EEFED"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.516</w:t>
            </w:r>
          </w:p>
        </w:tc>
        <w:tc>
          <w:tcPr>
            <w:tcW w:w="701" w:type="pct"/>
            <w:tcBorders>
              <w:top w:val="nil"/>
            </w:tcBorders>
          </w:tcPr>
          <w:p w14:paraId="7C6746BD"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.115</w:t>
            </w:r>
          </w:p>
        </w:tc>
        <w:tc>
          <w:tcPr>
            <w:tcW w:w="803" w:type="pct"/>
            <w:tcBorders>
              <w:top w:val="nil"/>
            </w:tcBorders>
          </w:tcPr>
          <w:p w14:paraId="2111B33A"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.381</w:t>
            </w:r>
          </w:p>
        </w:tc>
        <w:tc>
          <w:tcPr>
            <w:tcW w:w="661" w:type="pct"/>
            <w:tcBorders>
              <w:top w:val="nil"/>
            </w:tcBorders>
          </w:tcPr>
          <w:p w14:paraId="3F15879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4.487</w:t>
            </w:r>
          </w:p>
        </w:tc>
        <w:tc>
          <w:tcPr>
            <w:tcW w:w="709" w:type="pct"/>
            <w:tcBorders>
              <w:top w:val="nil"/>
            </w:tcBorders>
          </w:tcPr>
          <w:p w14:paraId="37FEBB2A"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.000</w:t>
            </w:r>
          </w:p>
        </w:tc>
      </w:tr>
      <w:tr w:rsidR="009F33CD" w14:paraId="22360736" w14:textId="77777777">
        <w:trPr>
          <w:cantSplit/>
        </w:trPr>
        <w:tc>
          <w:tcPr>
            <w:tcW w:w="329" w:type="pct"/>
            <w:vMerge/>
          </w:tcPr>
          <w:p w14:paraId="537EE12B" w14:textId="77777777" w:rsidR="009F33CD" w:rsidRDefault="009F33CD">
            <w:pPr>
              <w:spacing w:after="240" w:line="240" w:lineRule="auto"/>
              <w:rPr>
                <w:rFonts w:cs="Times New Roman"/>
                <w:sz w:val="22"/>
                <w:szCs w:val="22"/>
                <w:lang w:val="en-US"/>
              </w:rPr>
            </w:pPr>
          </w:p>
        </w:tc>
        <w:tc>
          <w:tcPr>
            <w:tcW w:w="1096" w:type="pct"/>
          </w:tcPr>
          <w:p w14:paraId="45911400"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2</w:t>
            </w:r>
          </w:p>
        </w:tc>
        <w:tc>
          <w:tcPr>
            <w:tcW w:w="701" w:type="pct"/>
          </w:tcPr>
          <w:p w14:paraId="69B9149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.183</w:t>
            </w:r>
          </w:p>
        </w:tc>
        <w:tc>
          <w:tcPr>
            <w:tcW w:w="701" w:type="pct"/>
          </w:tcPr>
          <w:p w14:paraId="7C5902AE"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.109</w:t>
            </w:r>
          </w:p>
        </w:tc>
        <w:tc>
          <w:tcPr>
            <w:tcW w:w="803" w:type="pct"/>
          </w:tcPr>
          <w:p w14:paraId="7DC8D521"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.160</w:t>
            </w:r>
          </w:p>
        </w:tc>
        <w:tc>
          <w:tcPr>
            <w:tcW w:w="661" w:type="pct"/>
          </w:tcPr>
          <w:p w14:paraId="1CA5400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1.675</w:t>
            </w:r>
          </w:p>
        </w:tc>
        <w:tc>
          <w:tcPr>
            <w:tcW w:w="709" w:type="pct"/>
          </w:tcPr>
          <w:p w14:paraId="0A9571A9"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.007</w:t>
            </w:r>
          </w:p>
        </w:tc>
      </w:tr>
      <w:tr w:rsidR="009F33CD" w14:paraId="5FA0A6DC" w14:textId="77777777">
        <w:trPr>
          <w:cantSplit/>
        </w:trPr>
        <w:tc>
          <w:tcPr>
            <w:tcW w:w="329" w:type="pct"/>
            <w:vMerge/>
          </w:tcPr>
          <w:p w14:paraId="0DBF598B" w14:textId="77777777" w:rsidR="009F33CD" w:rsidRDefault="009F33CD">
            <w:pPr>
              <w:spacing w:after="240" w:line="240" w:lineRule="auto"/>
              <w:rPr>
                <w:rFonts w:cs="Times New Roman"/>
                <w:sz w:val="22"/>
                <w:szCs w:val="22"/>
                <w:lang w:val="en-US"/>
              </w:rPr>
            </w:pPr>
          </w:p>
        </w:tc>
        <w:tc>
          <w:tcPr>
            <w:tcW w:w="1096" w:type="pct"/>
          </w:tcPr>
          <w:p w14:paraId="00DAE272"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3</w:t>
            </w:r>
          </w:p>
        </w:tc>
        <w:tc>
          <w:tcPr>
            <w:tcW w:w="701" w:type="pct"/>
          </w:tcPr>
          <w:p w14:paraId="682DE4B0"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.355</w:t>
            </w:r>
          </w:p>
        </w:tc>
        <w:tc>
          <w:tcPr>
            <w:tcW w:w="701" w:type="pct"/>
          </w:tcPr>
          <w:p w14:paraId="43AB1366"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.122</w:t>
            </w:r>
          </w:p>
        </w:tc>
        <w:tc>
          <w:tcPr>
            <w:tcW w:w="803" w:type="pct"/>
          </w:tcPr>
          <w:p w14:paraId="1513FEB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.301</w:t>
            </w:r>
          </w:p>
        </w:tc>
        <w:tc>
          <w:tcPr>
            <w:tcW w:w="661" w:type="pct"/>
          </w:tcPr>
          <w:p w14:paraId="3B201B2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2.903</w:t>
            </w:r>
          </w:p>
        </w:tc>
        <w:tc>
          <w:tcPr>
            <w:tcW w:w="709" w:type="pct"/>
          </w:tcPr>
          <w:p w14:paraId="59BDC0F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.004</w:t>
            </w:r>
          </w:p>
        </w:tc>
      </w:tr>
      <w:tr w:rsidR="009F33CD" w14:paraId="5D0EAC60" w14:textId="77777777">
        <w:trPr>
          <w:cantSplit/>
          <w:trHeight w:val="60"/>
        </w:trPr>
        <w:tc>
          <w:tcPr>
            <w:tcW w:w="329" w:type="pct"/>
            <w:vMerge/>
          </w:tcPr>
          <w:p w14:paraId="312E2BAD" w14:textId="77777777" w:rsidR="009F33CD" w:rsidRDefault="009F33CD">
            <w:pPr>
              <w:spacing w:after="240" w:line="240" w:lineRule="auto"/>
              <w:rPr>
                <w:rFonts w:cs="Times New Roman"/>
                <w:sz w:val="22"/>
                <w:szCs w:val="22"/>
                <w:lang w:val="en-US"/>
              </w:rPr>
            </w:pPr>
          </w:p>
        </w:tc>
        <w:tc>
          <w:tcPr>
            <w:tcW w:w="1096" w:type="pct"/>
          </w:tcPr>
          <w:p w14:paraId="534E58F3"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4</w:t>
            </w:r>
          </w:p>
        </w:tc>
        <w:tc>
          <w:tcPr>
            <w:tcW w:w="701" w:type="pct"/>
          </w:tcPr>
          <w:p w14:paraId="7FB7389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.185</w:t>
            </w:r>
          </w:p>
        </w:tc>
        <w:tc>
          <w:tcPr>
            <w:tcW w:w="701" w:type="pct"/>
          </w:tcPr>
          <w:p w14:paraId="330302A6"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.118</w:t>
            </w:r>
          </w:p>
        </w:tc>
        <w:tc>
          <w:tcPr>
            <w:tcW w:w="803" w:type="pct"/>
          </w:tcPr>
          <w:p w14:paraId="158975A5"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.058</w:t>
            </w:r>
          </w:p>
        </w:tc>
        <w:tc>
          <w:tcPr>
            <w:tcW w:w="661" w:type="pct"/>
          </w:tcPr>
          <w:p w14:paraId="5572FE8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.715</w:t>
            </w:r>
          </w:p>
        </w:tc>
        <w:tc>
          <w:tcPr>
            <w:tcW w:w="709" w:type="pct"/>
          </w:tcPr>
          <w:p w14:paraId="379B54BD"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.006</w:t>
            </w:r>
          </w:p>
        </w:tc>
      </w:tr>
      <w:tr w:rsidR="009F33CD" w14:paraId="79BE661E" w14:textId="77777777">
        <w:trPr>
          <w:cantSplit/>
        </w:trPr>
        <w:tc>
          <w:tcPr>
            <w:tcW w:w="329" w:type="pct"/>
            <w:vMerge w:val="restart"/>
          </w:tcPr>
          <w:p w14:paraId="16F7D74A" w14:textId="77777777" w:rsidR="009F33CD" w:rsidRDefault="00E40740">
            <w:pPr>
              <w:spacing w:after="240" w:line="240" w:lineRule="auto"/>
              <w:rPr>
                <w:rFonts w:cs="Times New Roman"/>
                <w:sz w:val="22"/>
                <w:szCs w:val="22"/>
                <w:lang w:val="en-US"/>
              </w:rPr>
            </w:pPr>
            <w:r>
              <w:rPr>
                <w:rFonts w:cs="Times New Roman"/>
                <w:sz w:val="22"/>
                <w:szCs w:val="22"/>
                <w:lang w:val="en-US"/>
              </w:rPr>
              <w:t>2</w:t>
            </w:r>
          </w:p>
        </w:tc>
        <w:tc>
          <w:tcPr>
            <w:tcW w:w="1096" w:type="pct"/>
          </w:tcPr>
          <w:p w14:paraId="3D0AE163" w14:textId="77777777" w:rsidR="009F33CD" w:rsidRDefault="00E40740">
            <w:pPr>
              <w:spacing w:after="240" w:line="240" w:lineRule="auto"/>
              <w:rPr>
                <w:rFonts w:cs="Times New Roman"/>
                <w:sz w:val="22"/>
                <w:szCs w:val="22"/>
                <w:lang w:val="en-US"/>
              </w:rPr>
            </w:pPr>
            <w:r>
              <w:rPr>
                <w:rFonts w:cs="Times New Roman"/>
                <w:bCs/>
              </w:rPr>
              <w:t>(Constant)</w:t>
            </w:r>
          </w:p>
        </w:tc>
        <w:tc>
          <w:tcPr>
            <w:tcW w:w="701" w:type="pct"/>
          </w:tcPr>
          <w:p w14:paraId="657572F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-.628</w:t>
            </w:r>
          </w:p>
        </w:tc>
        <w:tc>
          <w:tcPr>
            <w:tcW w:w="701" w:type="pct"/>
          </w:tcPr>
          <w:p w14:paraId="65C7A1E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.528</w:t>
            </w:r>
          </w:p>
        </w:tc>
        <w:tc>
          <w:tcPr>
            <w:tcW w:w="803" w:type="pct"/>
            <w:vAlign w:val="center"/>
          </w:tcPr>
          <w:p w14:paraId="369AFBA7" w14:textId="77777777" w:rsidR="009F33CD" w:rsidRDefault="009F33CD">
            <w:pPr>
              <w:spacing w:after="240" w:line="240" w:lineRule="auto"/>
              <w:jc w:val="center"/>
              <w:rPr>
                <w:rFonts w:cs="Times New Roman"/>
                <w:sz w:val="22"/>
                <w:szCs w:val="22"/>
                <w:lang w:val="en-US"/>
              </w:rPr>
            </w:pPr>
          </w:p>
        </w:tc>
        <w:tc>
          <w:tcPr>
            <w:tcW w:w="661" w:type="pct"/>
          </w:tcPr>
          <w:p w14:paraId="72B4FC3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-1.189</w:t>
            </w:r>
          </w:p>
        </w:tc>
        <w:tc>
          <w:tcPr>
            <w:tcW w:w="709" w:type="pct"/>
          </w:tcPr>
          <w:p w14:paraId="243E012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.237</w:t>
            </w:r>
          </w:p>
        </w:tc>
      </w:tr>
      <w:tr w:rsidR="009F33CD" w14:paraId="279F9887" w14:textId="77777777">
        <w:trPr>
          <w:cantSplit/>
        </w:trPr>
        <w:tc>
          <w:tcPr>
            <w:tcW w:w="329" w:type="pct"/>
            <w:vMerge/>
          </w:tcPr>
          <w:p w14:paraId="186074E7" w14:textId="77777777" w:rsidR="009F33CD" w:rsidRDefault="009F33CD">
            <w:pPr>
              <w:spacing w:after="240" w:line="240" w:lineRule="auto"/>
              <w:rPr>
                <w:rFonts w:cs="Times New Roman"/>
                <w:sz w:val="22"/>
                <w:szCs w:val="22"/>
                <w:lang w:val="en-US"/>
              </w:rPr>
            </w:pPr>
          </w:p>
        </w:tc>
        <w:tc>
          <w:tcPr>
            <w:tcW w:w="1096" w:type="pct"/>
          </w:tcPr>
          <w:p w14:paraId="477179E4"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1</w:t>
            </w:r>
          </w:p>
        </w:tc>
        <w:tc>
          <w:tcPr>
            <w:tcW w:w="701" w:type="pct"/>
          </w:tcPr>
          <w:p w14:paraId="675DED9A"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.549</w:t>
            </w:r>
          </w:p>
        </w:tc>
        <w:tc>
          <w:tcPr>
            <w:tcW w:w="701" w:type="pct"/>
          </w:tcPr>
          <w:p w14:paraId="19711B9E"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.125</w:t>
            </w:r>
          </w:p>
        </w:tc>
        <w:tc>
          <w:tcPr>
            <w:tcW w:w="803" w:type="pct"/>
          </w:tcPr>
          <w:p w14:paraId="233D3ABE"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.405</w:t>
            </w:r>
          </w:p>
        </w:tc>
        <w:tc>
          <w:tcPr>
            <w:tcW w:w="661" w:type="pct"/>
          </w:tcPr>
          <w:p w14:paraId="7F03434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4.391</w:t>
            </w:r>
          </w:p>
        </w:tc>
        <w:tc>
          <w:tcPr>
            <w:tcW w:w="709" w:type="pct"/>
          </w:tcPr>
          <w:p w14:paraId="3B397DE5"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.000</w:t>
            </w:r>
          </w:p>
        </w:tc>
      </w:tr>
      <w:tr w:rsidR="009F33CD" w14:paraId="27DF95BE" w14:textId="77777777">
        <w:trPr>
          <w:cantSplit/>
        </w:trPr>
        <w:tc>
          <w:tcPr>
            <w:tcW w:w="329" w:type="pct"/>
            <w:vMerge/>
          </w:tcPr>
          <w:p w14:paraId="30AB40D2" w14:textId="77777777" w:rsidR="009F33CD" w:rsidRDefault="009F33CD">
            <w:pPr>
              <w:spacing w:after="240" w:line="240" w:lineRule="auto"/>
              <w:rPr>
                <w:rFonts w:cs="Times New Roman"/>
                <w:sz w:val="22"/>
                <w:szCs w:val="22"/>
                <w:lang w:val="en-US"/>
              </w:rPr>
            </w:pPr>
          </w:p>
        </w:tc>
        <w:tc>
          <w:tcPr>
            <w:tcW w:w="1096" w:type="pct"/>
          </w:tcPr>
          <w:p w14:paraId="34E28099"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2</w:t>
            </w:r>
          </w:p>
        </w:tc>
        <w:tc>
          <w:tcPr>
            <w:tcW w:w="701" w:type="pct"/>
          </w:tcPr>
          <w:p w14:paraId="706C2BE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.202</w:t>
            </w:r>
          </w:p>
        </w:tc>
        <w:tc>
          <w:tcPr>
            <w:tcW w:w="701" w:type="pct"/>
          </w:tcPr>
          <w:p w14:paraId="00DDDB5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.113</w:t>
            </w:r>
          </w:p>
        </w:tc>
        <w:tc>
          <w:tcPr>
            <w:tcW w:w="803" w:type="pct"/>
          </w:tcPr>
          <w:p w14:paraId="5A358ED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.176</w:t>
            </w:r>
          </w:p>
        </w:tc>
        <w:tc>
          <w:tcPr>
            <w:tcW w:w="661" w:type="pct"/>
          </w:tcPr>
          <w:p w14:paraId="53B6E62A"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1.788</w:t>
            </w:r>
          </w:p>
        </w:tc>
        <w:tc>
          <w:tcPr>
            <w:tcW w:w="709" w:type="pct"/>
          </w:tcPr>
          <w:p w14:paraId="2AA8C6CE"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.006</w:t>
            </w:r>
          </w:p>
        </w:tc>
      </w:tr>
      <w:tr w:rsidR="009F33CD" w14:paraId="1CC3011F" w14:textId="77777777">
        <w:trPr>
          <w:cantSplit/>
        </w:trPr>
        <w:tc>
          <w:tcPr>
            <w:tcW w:w="329" w:type="pct"/>
            <w:vMerge/>
          </w:tcPr>
          <w:p w14:paraId="478069BF" w14:textId="77777777" w:rsidR="009F33CD" w:rsidRDefault="009F33CD">
            <w:pPr>
              <w:spacing w:after="240" w:line="240" w:lineRule="auto"/>
              <w:rPr>
                <w:rFonts w:cs="Times New Roman"/>
                <w:sz w:val="22"/>
                <w:szCs w:val="22"/>
                <w:lang w:val="en-US"/>
              </w:rPr>
            </w:pPr>
          </w:p>
        </w:tc>
        <w:tc>
          <w:tcPr>
            <w:tcW w:w="1096" w:type="pct"/>
          </w:tcPr>
          <w:p w14:paraId="2465A86B"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3</w:t>
            </w:r>
          </w:p>
        </w:tc>
        <w:tc>
          <w:tcPr>
            <w:tcW w:w="701" w:type="pct"/>
          </w:tcPr>
          <w:p w14:paraId="6AFAD72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.397</w:t>
            </w:r>
          </w:p>
        </w:tc>
        <w:tc>
          <w:tcPr>
            <w:tcW w:w="701" w:type="pct"/>
          </w:tcPr>
          <w:p w14:paraId="341CDB8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.137</w:t>
            </w:r>
          </w:p>
        </w:tc>
        <w:tc>
          <w:tcPr>
            <w:tcW w:w="803" w:type="pct"/>
          </w:tcPr>
          <w:p w14:paraId="521F3E6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.336</w:t>
            </w:r>
          </w:p>
        </w:tc>
        <w:tc>
          <w:tcPr>
            <w:tcW w:w="661" w:type="pct"/>
          </w:tcPr>
          <w:p w14:paraId="13A91C1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2.899</w:t>
            </w:r>
          </w:p>
        </w:tc>
        <w:tc>
          <w:tcPr>
            <w:tcW w:w="709" w:type="pct"/>
          </w:tcPr>
          <w:p w14:paraId="59A7FDDE"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.003</w:t>
            </w:r>
          </w:p>
        </w:tc>
      </w:tr>
      <w:tr w:rsidR="009F33CD" w14:paraId="6FF9C274" w14:textId="77777777">
        <w:trPr>
          <w:cantSplit/>
          <w:trHeight w:val="60"/>
        </w:trPr>
        <w:tc>
          <w:tcPr>
            <w:tcW w:w="329" w:type="pct"/>
            <w:vMerge/>
          </w:tcPr>
          <w:p w14:paraId="000EC314" w14:textId="77777777" w:rsidR="009F33CD" w:rsidRDefault="009F33CD">
            <w:pPr>
              <w:spacing w:after="240" w:line="240" w:lineRule="auto"/>
              <w:rPr>
                <w:rFonts w:cs="Times New Roman"/>
                <w:sz w:val="22"/>
                <w:szCs w:val="22"/>
                <w:lang w:val="en-US"/>
              </w:rPr>
            </w:pPr>
          </w:p>
        </w:tc>
        <w:tc>
          <w:tcPr>
            <w:tcW w:w="1096" w:type="pct"/>
          </w:tcPr>
          <w:p w14:paraId="515E8E50" w14:textId="77777777" w:rsidR="009F33CD" w:rsidRDefault="00E40740">
            <w:pPr>
              <w:spacing w:after="240" w:line="240" w:lineRule="auto"/>
              <w:rPr>
                <w:rFonts w:cs="Times New Roman"/>
                <w:sz w:val="22"/>
                <w:szCs w:val="22"/>
                <w:lang w:val="en-US"/>
              </w:rPr>
            </w:pPr>
            <w:r>
              <w:rPr>
                <w:rFonts w:cs="Times New Roman"/>
                <w:bCs/>
              </w:rPr>
              <w:t>X</w:t>
            </w:r>
            <w:r>
              <w:rPr>
                <w:rFonts w:cs="Times New Roman"/>
                <w:bCs/>
                <w:vertAlign w:val="subscript"/>
              </w:rPr>
              <w:t>4</w:t>
            </w:r>
          </w:p>
        </w:tc>
        <w:tc>
          <w:tcPr>
            <w:tcW w:w="701" w:type="pct"/>
          </w:tcPr>
          <w:p w14:paraId="338667C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.114</w:t>
            </w:r>
          </w:p>
        </w:tc>
        <w:tc>
          <w:tcPr>
            <w:tcW w:w="701" w:type="pct"/>
          </w:tcPr>
          <w:p w14:paraId="46494205"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.126</w:t>
            </w:r>
          </w:p>
        </w:tc>
        <w:tc>
          <w:tcPr>
            <w:tcW w:w="803" w:type="pct"/>
          </w:tcPr>
          <w:p w14:paraId="0376A126"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.078</w:t>
            </w:r>
          </w:p>
        </w:tc>
        <w:tc>
          <w:tcPr>
            <w:tcW w:w="661" w:type="pct"/>
          </w:tcPr>
          <w:p w14:paraId="7910CE6C"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.903</w:t>
            </w:r>
          </w:p>
        </w:tc>
        <w:tc>
          <w:tcPr>
            <w:tcW w:w="709" w:type="pct"/>
          </w:tcPr>
          <w:p w14:paraId="14CBF81A"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.007</w:t>
            </w:r>
          </w:p>
        </w:tc>
      </w:tr>
      <w:tr w:rsidR="009F33CD" w14:paraId="6184C50A" w14:textId="77777777">
        <w:trPr>
          <w:cantSplit/>
        </w:trPr>
        <w:tc>
          <w:tcPr>
            <w:tcW w:w="329" w:type="pct"/>
            <w:vMerge/>
            <w:tcBorders>
              <w:bottom w:val="single" w:sz="4" w:space="0" w:color="auto"/>
            </w:tcBorders>
          </w:tcPr>
          <w:p w14:paraId="5BA5C125" w14:textId="77777777" w:rsidR="009F33CD" w:rsidRDefault="009F33CD">
            <w:pPr>
              <w:spacing w:after="240" w:line="240" w:lineRule="auto"/>
              <w:rPr>
                <w:rFonts w:cs="Times New Roman"/>
                <w:sz w:val="22"/>
                <w:szCs w:val="22"/>
                <w:lang w:val="en-US"/>
              </w:rPr>
            </w:pPr>
          </w:p>
        </w:tc>
        <w:tc>
          <w:tcPr>
            <w:tcW w:w="1096" w:type="pct"/>
          </w:tcPr>
          <w:p w14:paraId="00EF7C97" w14:textId="77777777" w:rsidR="009F33CD" w:rsidRDefault="00E40740">
            <w:pPr>
              <w:spacing w:after="240" w:line="240" w:lineRule="auto"/>
              <w:rPr>
                <w:rFonts w:cs="Times New Roman"/>
                <w:sz w:val="22"/>
                <w:szCs w:val="22"/>
                <w:lang w:val="en-US"/>
              </w:rPr>
            </w:pPr>
            <w:r>
              <w:rPr>
                <w:rFonts w:cs="Times New Roman"/>
                <w:sz w:val="22"/>
                <w:szCs w:val="22"/>
              </w:rPr>
              <w:t>GHRM-Participative</w:t>
            </w:r>
          </w:p>
        </w:tc>
        <w:tc>
          <w:tcPr>
            <w:tcW w:w="701" w:type="pct"/>
            <w:tcBorders>
              <w:bottom w:val="single" w:sz="4" w:space="0" w:color="auto"/>
            </w:tcBorders>
          </w:tcPr>
          <w:p w14:paraId="7E8B5FA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.118</w:t>
            </w:r>
          </w:p>
        </w:tc>
        <w:tc>
          <w:tcPr>
            <w:tcW w:w="701" w:type="pct"/>
            <w:tcBorders>
              <w:bottom w:val="single" w:sz="4" w:space="0" w:color="auto"/>
            </w:tcBorders>
          </w:tcPr>
          <w:p w14:paraId="43E18FB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.000</w:t>
            </w:r>
          </w:p>
        </w:tc>
        <w:tc>
          <w:tcPr>
            <w:tcW w:w="803" w:type="pct"/>
            <w:tcBorders>
              <w:bottom w:val="single" w:sz="4" w:space="0" w:color="auto"/>
            </w:tcBorders>
          </w:tcPr>
          <w:p w14:paraId="3F534336"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.093</w:t>
            </w:r>
          </w:p>
        </w:tc>
        <w:tc>
          <w:tcPr>
            <w:tcW w:w="661" w:type="pct"/>
            <w:tcBorders>
              <w:bottom w:val="single" w:sz="4" w:space="0" w:color="auto"/>
            </w:tcBorders>
          </w:tcPr>
          <w:p w14:paraId="78463F6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.984</w:t>
            </w:r>
          </w:p>
        </w:tc>
        <w:tc>
          <w:tcPr>
            <w:tcW w:w="709" w:type="pct"/>
            <w:tcBorders>
              <w:bottom w:val="single" w:sz="4" w:space="0" w:color="auto"/>
            </w:tcBorders>
          </w:tcPr>
          <w:p w14:paraId="39FAB1D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.005</w:t>
            </w:r>
          </w:p>
        </w:tc>
      </w:tr>
      <w:tr w:rsidR="009F33CD" w14:paraId="263D2776" w14:textId="77777777">
        <w:trPr>
          <w:cantSplit/>
        </w:trPr>
        <w:tc>
          <w:tcPr>
            <w:tcW w:w="5000" w:type="pct"/>
            <w:gridSpan w:val="7"/>
            <w:tcBorders>
              <w:top w:val="single" w:sz="4" w:space="0" w:color="auto"/>
              <w:bottom w:val="nil"/>
            </w:tcBorders>
          </w:tcPr>
          <w:p w14:paraId="3D880539" w14:textId="77777777" w:rsidR="009F33CD" w:rsidRDefault="00E40740">
            <w:pPr>
              <w:spacing w:after="240" w:line="240" w:lineRule="auto"/>
              <w:rPr>
                <w:rFonts w:cs="Times New Roman"/>
                <w:sz w:val="22"/>
                <w:szCs w:val="22"/>
                <w:lang w:val="en-US"/>
              </w:rPr>
            </w:pPr>
            <w:r>
              <w:rPr>
                <w:rFonts w:cs="Times New Roman"/>
                <w:sz w:val="22"/>
                <w:szCs w:val="22"/>
                <w:lang w:val="en-US"/>
              </w:rPr>
              <w:t>a. Dependent Variable: Yi</w:t>
            </w:r>
          </w:p>
        </w:tc>
      </w:tr>
    </w:tbl>
    <w:p w14:paraId="131FA5D9" w14:textId="77777777" w:rsidR="00083B01" w:rsidRDefault="00083B01">
      <w:pPr>
        <w:spacing w:after="240"/>
        <w:rPr>
          <w:rFonts w:cs="Times New Roman"/>
          <w:lang w:val="en-US"/>
        </w:rPr>
      </w:pPr>
    </w:p>
    <w:p w14:paraId="402A305A" w14:textId="77777777" w:rsidR="009F33CD" w:rsidRDefault="00E40740">
      <w:pPr>
        <w:spacing w:after="240"/>
        <w:rPr>
          <w:rFonts w:cs="Times New Roman"/>
          <w:lang w:val="en-US"/>
        </w:rPr>
      </w:pPr>
      <w:r>
        <w:rPr>
          <w:rFonts w:cs="Times New Roman"/>
          <w:lang w:val="en-US"/>
        </w:rPr>
        <w:lastRenderedPageBreak/>
        <w:t>Table 4.5</w:t>
      </w:r>
      <w:r w:rsidR="00A63BEB">
        <w:rPr>
          <w:rFonts w:cs="Times New Roman"/>
          <w:lang w:val="en-US"/>
        </w:rPr>
        <w:t>1</w:t>
      </w:r>
      <w:r>
        <w:rPr>
          <w:rFonts w:cs="Times New Roman"/>
          <w:lang w:val="en-US"/>
        </w:rPr>
        <w:t xml:space="preserve"> reports the regression coefficients for the model moderated by participative management style: X</w:t>
      </w:r>
      <w:r>
        <w:rPr>
          <w:rFonts w:cs="Times New Roman"/>
          <w:vertAlign w:val="subscript"/>
          <w:lang w:val="en-US"/>
        </w:rPr>
        <w:t>1</w:t>
      </w:r>
      <w:r>
        <w:rPr>
          <w:rFonts w:cs="Times New Roman"/>
          <w:lang w:val="en-US"/>
        </w:rPr>
        <w:t xml:space="preserve"> (β = .405, p &lt; .001) and X</w:t>
      </w:r>
      <w:r>
        <w:rPr>
          <w:rFonts w:cs="Times New Roman"/>
          <w:vertAlign w:val="subscript"/>
          <w:lang w:val="en-US"/>
        </w:rPr>
        <w:t>3</w:t>
      </w:r>
      <w:r>
        <w:rPr>
          <w:rFonts w:cs="Times New Roman"/>
          <w:lang w:val="en-US"/>
        </w:rPr>
        <w:t xml:space="preserve"> (β = .336, p = .003) remain statistically significant, and GHRM-Participative (β = .093, p = .005) is also significant. X</w:t>
      </w:r>
      <w:r>
        <w:rPr>
          <w:rFonts w:cs="Times New Roman"/>
          <w:vertAlign w:val="subscript"/>
          <w:lang w:val="en-US"/>
        </w:rPr>
        <w:t>2</w:t>
      </w:r>
      <w:r>
        <w:rPr>
          <w:rFonts w:cs="Times New Roman"/>
          <w:lang w:val="en-US"/>
        </w:rPr>
        <w:t xml:space="preserve"> (β = .176, p = .006) and X</w:t>
      </w:r>
      <w:r>
        <w:rPr>
          <w:rFonts w:cs="Times New Roman"/>
          <w:vertAlign w:val="subscript"/>
          <w:lang w:val="en-US"/>
        </w:rPr>
        <w:t>4</w:t>
      </w:r>
      <w:r>
        <w:rPr>
          <w:rFonts w:cs="Times New Roman"/>
          <w:lang w:val="en-US"/>
        </w:rPr>
        <w:t xml:space="preserve"> (β = .078, p = .007) show modest significance, but the participative style's effect is less noticeable than the bureaucratic style.</w:t>
      </w:r>
    </w:p>
    <w:p w14:paraId="2D8DC137" w14:textId="77777777" w:rsidR="009F33CD" w:rsidRDefault="00E40740">
      <w:pPr>
        <w:pStyle w:val="Heading3"/>
      </w:pPr>
      <w:bookmarkStart w:id="1601" w:name="_Toc187080926"/>
      <w:bookmarkStart w:id="1602" w:name="_Toc188444007"/>
      <w:bookmarkStart w:id="1603" w:name="_Toc188442633"/>
      <w:bookmarkStart w:id="1604" w:name="_Toc185614154"/>
      <w:bookmarkStart w:id="1605" w:name="_Toc224160696"/>
      <w:bookmarkStart w:id="1606" w:name="_Toc224237759"/>
      <w:r>
        <w:t xml:space="preserve">4.12.3 Regression Analysis Findings for Moderating Contingency </w:t>
      </w:r>
      <w:r w:rsidR="00A63BEB">
        <w:t xml:space="preserve">Management </w:t>
      </w:r>
      <w:r>
        <w:t>Style</w:t>
      </w:r>
      <w:bookmarkEnd w:id="1601"/>
      <w:bookmarkEnd w:id="1602"/>
      <w:bookmarkEnd w:id="1603"/>
      <w:bookmarkEnd w:id="1604"/>
      <w:bookmarkEnd w:id="1605"/>
      <w:bookmarkEnd w:id="1606"/>
    </w:p>
    <w:p w14:paraId="323A30A0" w14:textId="77777777" w:rsidR="009F33CD" w:rsidRDefault="00E40740">
      <w:pPr>
        <w:rPr>
          <w:rFonts w:eastAsiaTheme="majorEastAsia" w:cstheme="majorBidi"/>
          <w:b/>
          <w:lang w:val="en-US"/>
        </w:rPr>
      </w:pPr>
      <w:r>
        <w:rPr>
          <w:rFonts w:cs="Times New Roman"/>
        </w:rPr>
        <w:t>A multiple regression analysis was conducted to investigate how the contingency style of management sub-variable moderated the relationship between GHRM practices and the performance of devolved healthcare services. The main objective was to determine the extent to which the independent variables would affect the dependent variable when moderating variable -contingency style of management is introduced in the model. The find</w:t>
      </w:r>
      <w:r w:rsidR="008444FB">
        <w:rPr>
          <w:rFonts w:cs="Times New Roman"/>
        </w:rPr>
        <w:t>ings are presented in Table 4.52</w:t>
      </w:r>
      <w:r>
        <w:rPr>
          <w:rFonts w:cs="Times New Roman"/>
        </w:rPr>
        <w:t>.</w:t>
      </w:r>
      <w:bookmarkStart w:id="1607" w:name="_Toc187080927"/>
      <w:bookmarkStart w:id="1608" w:name="_Toc185614155"/>
    </w:p>
    <w:p w14:paraId="7D683533" w14:textId="77777777" w:rsidR="009F33CD" w:rsidRDefault="008444FB">
      <w:pPr>
        <w:pStyle w:val="Heading6"/>
      </w:pPr>
      <w:bookmarkStart w:id="1609" w:name="_Toc224237481"/>
      <w:r>
        <w:t>Table 4.52</w:t>
      </w:r>
      <w:r w:rsidR="00E40740">
        <w:t>: Model Summary Moderated by Contingency Management Style</w:t>
      </w:r>
      <w:bookmarkEnd w:id="1607"/>
      <w:bookmarkEnd w:id="1608"/>
      <w:bookmarkEnd w:id="1609"/>
      <w:r w:rsidR="00E40740">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99"/>
        <w:gridCol w:w="697"/>
        <w:gridCol w:w="740"/>
        <w:gridCol w:w="1003"/>
        <w:gridCol w:w="1003"/>
        <w:gridCol w:w="1004"/>
        <w:gridCol w:w="762"/>
        <w:gridCol w:w="700"/>
        <w:gridCol w:w="700"/>
        <w:gridCol w:w="1012"/>
      </w:tblGrid>
      <w:tr w:rsidR="009F33CD" w14:paraId="72F8C86B" w14:textId="77777777" w:rsidTr="008444FB">
        <w:trPr>
          <w:cantSplit/>
          <w:trHeight w:val="236"/>
        </w:trPr>
        <w:tc>
          <w:tcPr>
            <w:tcW w:w="5000" w:type="pct"/>
            <w:gridSpan w:val="10"/>
            <w:tcBorders>
              <w:top w:val="nil"/>
              <w:bottom w:val="single" w:sz="4" w:space="0" w:color="auto"/>
            </w:tcBorders>
            <w:vAlign w:val="center"/>
          </w:tcPr>
          <w:p w14:paraId="21CDE5E2" w14:textId="77777777" w:rsidR="009F33CD" w:rsidRDefault="00E40740" w:rsidP="008444FB">
            <w:pPr>
              <w:spacing w:after="240" w:line="240" w:lineRule="auto"/>
              <w:jc w:val="center"/>
              <w:rPr>
                <w:rFonts w:cs="Times New Roman"/>
                <w:sz w:val="22"/>
                <w:szCs w:val="22"/>
                <w:lang w:val="en-US"/>
              </w:rPr>
            </w:pPr>
            <w:r>
              <w:rPr>
                <w:rFonts w:cs="Times New Roman"/>
                <w:b/>
                <w:bCs/>
                <w:sz w:val="22"/>
                <w:szCs w:val="22"/>
                <w:lang w:val="en-US"/>
              </w:rPr>
              <w:t>Model Summary</w:t>
            </w:r>
          </w:p>
        </w:tc>
      </w:tr>
      <w:tr w:rsidR="009F33CD" w14:paraId="6FC31FF4" w14:textId="77777777" w:rsidTr="008444FB">
        <w:trPr>
          <w:cantSplit/>
          <w:trHeight w:val="181"/>
        </w:trPr>
        <w:tc>
          <w:tcPr>
            <w:tcW w:w="350" w:type="pct"/>
            <w:vMerge w:val="restart"/>
            <w:tcBorders>
              <w:top w:val="single" w:sz="4" w:space="0" w:color="auto"/>
            </w:tcBorders>
          </w:tcPr>
          <w:p w14:paraId="4D2DAF59"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Model</w:t>
            </w:r>
          </w:p>
        </w:tc>
        <w:tc>
          <w:tcPr>
            <w:tcW w:w="426" w:type="pct"/>
            <w:vMerge w:val="restart"/>
            <w:tcBorders>
              <w:top w:val="single" w:sz="4" w:space="0" w:color="auto"/>
            </w:tcBorders>
          </w:tcPr>
          <w:p w14:paraId="6CACDA8C"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R</w:t>
            </w:r>
          </w:p>
        </w:tc>
        <w:tc>
          <w:tcPr>
            <w:tcW w:w="452" w:type="pct"/>
            <w:vMerge w:val="restart"/>
            <w:tcBorders>
              <w:top w:val="single" w:sz="4" w:space="0" w:color="auto"/>
            </w:tcBorders>
          </w:tcPr>
          <w:p w14:paraId="3E49184F"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R Square</w:t>
            </w:r>
          </w:p>
        </w:tc>
        <w:tc>
          <w:tcPr>
            <w:tcW w:w="612" w:type="pct"/>
            <w:vMerge w:val="restart"/>
            <w:tcBorders>
              <w:top w:val="single" w:sz="4" w:space="0" w:color="auto"/>
            </w:tcBorders>
          </w:tcPr>
          <w:p w14:paraId="15365476"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Adjusted R Square</w:t>
            </w:r>
          </w:p>
        </w:tc>
        <w:tc>
          <w:tcPr>
            <w:tcW w:w="612" w:type="pct"/>
            <w:vMerge w:val="restart"/>
            <w:tcBorders>
              <w:top w:val="single" w:sz="4" w:space="0" w:color="auto"/>
            </w:tcBorders>
          </w:tcPr>
          <w:p w14:paraId="6052EA76"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Std. Error of the Estimate</w:t>
            </w:r>
          </w:p>
        </w:tc>
        <w:tc>
          <w:tcPr>
            <w:tcW w:w="2548" w:type="pct"/>
            <w:gridSpan w:val="5"/>
            <w:tcBorders>
              <w:top w:val="single" w:sz="4" w:space="0" w:color="auto"/>
              <w:bottom w:val="single" w:sz="4" w:space="0" w:color="auto"/>
            </w:tcBorders>
          </w:tcPr>
          <w:p w14:paraId="67F9A887" w14:textId="77777777" w:rsidR="009F33CD" w:rsidRDefault="00E40740" w:rsidP="008444FB">
            <w:pPr>
              <w:spacing w:after="240" w:line="240" w:lineRule="auto"/>
              <w:jc w:val="center"/>
              <w:rPr>
                <w:rFonts w:cs="Times New Roman"/>
                <w:b/>
                <w:bCs/>
                <w:sz w:val="22"/>
                <w:szCs w:val="22"/>
                <w:lang w:val="en-US"/>
              </w:rPr>
            </w:pPr>
            <w:r>
              <w:rPr>
                <w:rFonts w:cs="Times New Roman"/>
                <w:b/>
                <w:bCs/>
                <w:sz w:val="22"/>
                <w:szCs w:val="22"/>
                <w:lang w:val="en-US"/>
              </w:rPr>
              <w:t>Change Statistics</w:t>
            </w:r>
          </w:p>
        </w:tc>
      </w:tr>
      <w:tr w:rsidR="009F33CD" w14:paraId="1B1958E8" w14:textId="77777777">
        <w:trPr>
          <w:cantSplit/>
          <w:trHeight w:val="529"/>
        </w:trPr>
        <w:tc>
          <w:tcPr>
            <w:tcW w:w="350" w:type="pct"/>
            <w:vMerge/>
            <w:tcBorders>
              <w:top w:val="single" w:sz="4" w:space="0" w:color="auto"/>
              <w:bottom w:val="single" w:sz="4" w:space="0" w:color="auto"/>
            </w:tcBorders>
            <w:vAlign w:val="bottom"/>
          </w:tcPr>
          <w:p w14:paraId="2BADB679" w14:textId="77777777" w:rsidR="009F33CD" w:rsidRDefault="009F33CD">
            <w:pPr>
              <w:spacing w:after="240" w:line="240" w:lineRule="auto"/>
              <w:rPr>
                <w:rFonts w:cs="Times New Roman"/>
                <w:b/>
                <w:bCs/>
                <w:sz w:val="22"/>
                <w:szCs w:val="22"/>
                <w:lang w:val="en-US"/>
              </w:rPr>
            </w:pPr>
          </w:p>
        </w:tc>
        <w:tc>
          <w:tcPr>
            <w:tcW w:w="426" w:type="pct"/>
            <w:vMerge/>
            <w:tcBorders>
              <w:top w:val="single" w:sz="4" w:space="0" w:color="auto"/>
              <w:bottom w:val="single" w:sz="4" w:space="0" w:color="auto"/>
            </w:tcBorders>
            <w:vAlign w:val="bottom"/>
          </w:tcPr>
          <w:p w14:paraId="423E09E9" w14:textId="77777777" w:rsidR="009F33CD" w:rsidRDefault="009F33CD">
            <w:pPr>
              <w:spacing w:after="240" w:line="240" w:lineRule="auto"/>
              <w:jc w:val="center"/>
              <w:rPr>
                <w:rFonts w:cs="Times New Roman"/>
                <w:b/>
                <w:bCs/>
                <w:sz w:val="22"/>
                <w:szCs w:val="22"/>
                <w:lang w:val="en-US"/>
              </w:rPr>
            </w:pPr>
          </w:p>
        </w:tc>
        <w:tc>
          <w:tcPr>
            <w:tcW w:w="452" w:type="pct"/>
            <w:vMerge/>
            <w:tcBorders>
              <w:top w:val="single" w:sz="4" w:space="0" w:color="auto"/>
              <w:bottom w:val="single" w:sz="4" w:space="0" w:color="auto"/>
            </w:tcBorders>
            <w:vAlign w:val="bottom"/>
          </w:tcPr>
          <w:p w14:paraId="610F1432" w14:textId="77777777" w:rsidR="009F33CD" w:rsidRDefault="009F33CD">
            <w:pPr>
              <w:spacing w:after="240" w:line="240" w:lineRule="auto"/>
              <w:jc w:val="center"/>
              <w:rPr>
                <w:rFonts w:cs="Times New Roman"/>
                <w:b/>
                <w:bCs/>
                <w:sz w:val="22"/>
                <w:szCs w:val="22"/>
                <w:lang w:val="en-US"/>
              </w:rPr>
            </w:pPr>
          </w:p>
        </w:tc>
        <w:tc>
          <w:tcPr>
            <w:tcW w:w="612" w:type="pct"/>
            <w:vMerge/>
            <w:tcBorders>
              <w:top w:val="single" w:sz="4" w:space="0" w:color="auto"/>
              <w:bottom w:val="single" w:sz="4" w:space="0" w:color="auto"/>
            </w:tcBorders>
            <w:vAlign w:val="bottom"/>
          </w:tcPr>
          <w:p w14:paraId="1A86B93A" w14:textId="77777777" w:rsidR="009F33CD" w:rsidRDefault="009F33CD">
            <w:pPr>
              <w:spacing w:after="240" w:line="240" w:lineRule="auto"/>
              <w:jc w:val="center"/>
              <w:rPr>
                <w:rFonts w:cs="Times New Roman"/>
                <w:b/>
                <w:bCs/>
                <w:sz w:val="22"/>
                <w:szCs w:val="22"/>
                <w:lang w:val="en-US"/>
              </w:rPr>
            </w:pPr>
          </w:p>
        </w:tc>
        <w:tc>
          <w:tcPr>
            <w:tcW w:w="612" w:type="pct"/>
            <w:vMerge/>
            <w:tcBorders>
              <w:top w:val="single" w:sz="4" w:space="0" w:color="auto"/>
              <w:bottom w:val="single" w:sz="4" w:space="0" w:color="auto"/>
            </w:tcBorders>
            <w:vAlign w:val="bottom"/>
          </w:tcPr>
          <w:p w14:paraId="3D7CB199" w14:textId="77777777" w:rsidR="009F33CD" w:rsidRDefault="009F33CD">
            <w:pPr>
              <w:spacing w:after="240" w:line="240" w:lineRule="auto"/>
              <w:jc w:val="center"/>
              <w:rPr>
                <w:rFonts w:cs="Times New Roman"/>
                <w:b/>
                <w:bCs/>
                <w:sz w:val="22"/>
                <w:szCs w:val="22"/>
                <w:lang w:val="en-US"/>
              </w:rPr>
            </w:pPr>
          </w:p>
        </w:tc>
        <w:tc>
          <w:tcPr>
            <w:tcW w:w="612" w:type="pct"/>
            <w:tcBorders>
              <w:top w:val="single" w:sz="4" w:space="0" w:color="auto"/>
              <w:bottom w:val="single" w:sz="4" w:space="0" w:color="auto"/>
            </w:tcBorders>
            <w:vAlign w:val="bottom"/>
          </w:tcPr>
          <w:p w14:paraId="73B61804"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R Square Change</w:t>
            </w:r>
          </w:p>
        </w:tc>
        <w:tc>
          <w:tcPr>
            <w:tcW w:w="465" w:type="pct"/>
            <w:tcBorders>
              <w:top w:val="single" w:sz="4" w:space="0" w:color="auto"/>
              <w:bottom w:val="single" w:sz="4" w:space="0" w:color="auto"/>
            </w:tcBorders>
            <w:vAlign w:val="bottom"/>
          </w:tcPr>
          <w:p w14:paraId="2BC43EB3"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F Change</w:t>
            </w:r>
          </w:p>
        </w:tc>
        <w:tc>
          <w:tcPr>
            <w:tcW w:w="427" w:type="pct"/>
            <w:tcBorders>
              <w:top w:val="single" w:sz="4" w:space="0" w:color="auto"/>
              <w:bottom w:val="single" w:sz="4" w:space="0" w:color="auto"/>
            </w:tcBorders>
            <w:vAlign w:val="bottom"/>
          </w:tcPr>
          <w:p w14:paraId="22A62C93"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df1</w:t>
            </w:r>
          </w:p>
        </w:tc>
        <w:tc>
          <w:tcPr>
            <w:tcW w:w="427" w:type="pct"/>
            <w:tcBorders>
              <w:top w:val="single" w:sz="4" w:space="0" w:color="auto"/>
              <w:bottom w:val="single" w:sz="4" w:space="0" w:color="auto"/>
            </w:tcBorders>
            <w:vAlign w:val="bottom"/>
          </w:tcPr>
          <w:p w14:paraId="5C08CB2F"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df2</w:t>
            </w:r>
          </w:p>
        </w:tc>
        <w:tc>
          <w:tcPr>
            <w:tcW w:w="616" w:type="pct"/>
            <w:tcBorders>
              <w:top w:val="single" w:sz="4" w:space="0" w:color="auto"/>
              <w:bottom w:val="single" w:sz="4" w:space="0" w:color="auto"/>
            </w:tcBorders>
            <w:vAlign w:val="bottom"/>
          </w:tcPr>
          <w:p w14:paraId="5867A45D" w14:textId="77777777" w:rsidR="009F33CD" w:rsidRDefault="00E40740">
            <w:pPr>
              <w:spacing w:after="240" w:line="240" w:lineRule="auto"/>
              <w:jc w:val="center"/>
              <w:rPr>
                <w:rFonts w:cs="Times New Roman"/>
                <w:b/>
                <w:bCs/>
                <w:sz w:val="22"/>
                <w:szCs w:val="22"/>
                <w:lang w:val="en-US"/>
              </w:rPr>
            </w:pPr>
            <w:r>
              <w:rPr>
                <w:rFonts w:cs="Times New Roman"/>
                <w:b/>
                <w:bCs/>
                <w:sz w:val="22"/>
                <w:szCs w:val="22"/>
                <w:lang w:val="en-US"/>
              </w:rPr>
              <w:t>Sig. F Change</w:t>
            </w:r>
          </w:p>
        </w:tc>
      </w:tr>
      <w:tr w:rsidR="009F33CD" w14:paraId="34F7787D" w14:textId="77777777">
        <w:trPr>
          <w:cantSplit/>
          <w:trHeight w:val="249"/>
        </w:trPr>
        <w:tc>
          <w:tcPr>
            <w:tcW w:w="350" w:type="pct"/>
            <w:tcBorders>
              <w:top w:val="single" w:sz="4" w:space="0" w:color="auto"/>
              <w:bottom w:val="nil"/>
            </w:tcBorders>
          </w:tcPr>
          <w:p w14:paraId="36747CF2" w14:textId="77777777" w:rsidR="009F33CD" w:rsidRDefault="00E40740">
            <w:pPr>
              <w:spacing w:after="240" w:line="240" w:lineRule="auto"/>
              <w:rPr>
                <w:rFonts w:cs="Times New Roman"/>
                <w:sz w:val="22"/>
                <w:szCs w:val="22"/>
                <w:lang w:val="en-US"/>
              </w:rPr>
            </w:pPr>
            <w:r>
              <w:rPr>
                <w:rFonts w:cs="Times New Roman"/>
                <w:sz w:val="22"/>
                <w:szCs w:val="22"/>
                <w:lang w:val="en-US"/>
              </w:rPr>
              <w:t>1</w:t>
            </w:r>
          </w:p>
        </w:tc>
        <w:tc>
          <w:tcPr>
            <w:tcW w:w="426" w:type="pct"/>
            <w:tcBorders>
              <w:top w:val="single" w:sz="4" w:space="0" w:color="auto"/>
              <w:bottom w:val="nil"/>
            </w:tcBorders>
          </w:tcPr>
          <w:p w14:paraId="2DEA206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.801</w:t>
            </w:r>
            <w:r>
              <w:rPr>
                <w:rFonts w:cs="Times New Roman"/>
                <w:sz w:val="22"/>
                <w:szCs w:val="22"/>
                <w:vertAlign w:val="superscript"/>
                <w:lang w:val="en-US"/>
              </w:rPr>
              <w:t>a</w:t>
            </w:r>
          </w:p>
        </w:tc>
        <w:tc>
          <w:tcPr>
            <w:tcW w:w="452" w:type="pct"/>
            <w:tcBorders>
              <w:top w:val="single" w:sz="4" w:space="0" w:color="auto"/>
              <w:bottom w:val="nil"/>
            </w:tcBorders>
          </w:tcPr>
          <w:p w14:paraId="09E952F4"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.642</w:t>
            </w:r>
          </w:p>
        </w:tc>
        <w:tc>
          <w:tcPr>
            <w:tcW w:w="612" w:type="pct"/>
            <w:tcBorders>
              <w:top w:val="single" w:sz="4" w:space="0" w:color="auto"/>
              <w:bottom w:val="nil"/>
            </w:tcBorders>
          </w:tcPr>
          <w:p w14:paraId="57201E1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.641</w:t>
            </w:r>
          </w:p>
        </w:tc>
        <w:tc>
          <w:tcPr>
            <w:tcW w:w="612" w:type="pct"/>
            <w:tcBorders>
              <w:top w:val="single" w:sz="4" w:space="0" w:color="auto"/>
              <w:bottom w:val="nil"/>
            </w:tcBorders>
          </w:tcPr>
          <w:p w14:paraId="062EAB0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.56473</w:t>
            </w:r>
          </w:p>
        </w:tc>
        <w:tc>
          <w:tcPr>
            <w:tcW w:w="612" w:type="pct"/>
            <w:tcBorders>
              <w:top w:val="single" w:sz="4" w:space="0" w:color="auto"/>
              <w:bottom w:val="nil"/>
            </w:tcBorders>
          </w:tcPr>
          <w:p w14:paraId="4763E324"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.644</w:t>
            </w:r>
          </w:p>
        </w:tc>
        <w:tc>
          <w:tcPr>
            <w:tcW w:w="465" w:type="pct"/>
            <w:tcBorders>
              <w:top w:val="single" w:sz="4" w:space="0" w:color="auto"/>
              <w:bottom w:val="nil"/>
            </w:tcBorders>
          </w:tcPr>
          <w:p w14:paraId="5E0DAD60"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51.025</w:t>
            </w:r>
          </w:p>
        </w:tc>
        <w:tc>
          <w:tcPr>
            <w:tcW w:w="427" w:type="pct"/>
            <w:tcBorders>
              <w:top w:val="single" w:sz="4" w:space="0" w:color="auto"/>
              <w:bottom w:val="nil"/>
            </w:tcBorders>
          </w:tcPr>
          <w:p w14:paraId="4DC118C9"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4</w:t>
            </w:r>
          </w:p>
        </w:tc>
        <w:tc>
          <w:tcPr>
            <w:tcW w:w="427" w:type="pct"/>
            <w:tcBorders>
              <w:top w:val="single" w:sz="4" w:space="0" w:color="auto"/>
              <w:bottom w:val="nil"/>
            </w:tcBorders>
          </w:tcPr>
          <w:p w14:paraId="03E0B9D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113</w:t>
            </w:r>
          </w:p>
        </w:tc>
        <w:tc>
          <w:tcPr>
            <w:tcW w:w="616" w:type="pct"/>
            <w:tcBorders>
              <w:top w:val="single" w:sz="4" w:space="0" w:color="auto"/>
              <w:bottom w:val="nil"/>
            </w:tcBorders>
          </w:tcPr>
          <w:p w14:paraId="5F46AA13"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.000</w:t>
            </w:r>
          </w:p>
        </w:tc>
      </w:tr>
      <w:tr w:rsidR="009F33CD" w14:paraId="069D69E6" w14:textId="77777777">
        <w:trPr>
          <w:cantSplit/>
          <w:trHeight w:val="236"/>
        </w:trPr>
        <w:tc>
          <w:tcPr>
            <w:tcW w:w="350" w:type="pct"/>
            <w:tcBorders>
              <w:top w:val="nil"/>
              <w:bottom w:val="single" w:sz="4" w:space="0" w:color="auto"/>
            </w:tcBorders>
          </w:tcPr>
          <w:p w14:paraId="14D6283B" w14:textId="77777777" w:rsidR="009F33CD" w:rsidRDefault="00E40740">
            <w:pPr>
              <w:spacing w:after="240" w:line="240" w:lineRule="auto"/>
              <w:rPr>
                <w:rFonts w:cs="Times New Roman"/>
                <w:sz w:val="22"/>
                <w:szCs w:val="22"/>
                <w:lang w:val="en-US"/>
              </w:rPr>
            </w:pPr>
            <w:r>
              <w:rPr>
                <w:rFonts w:cs="Times New Roman"/>
                <w:sz w:val="22"/>
                <w:szCs w:val="22"/>
                <w:lang w:val="en-US"/>
              </w:rPr>
              <w:t>2</w:t>
            </w:r>
          </w:p>
        </w:tc>
        <w:tc>
          <w:tcPr>
            <w:tcW w:w="426" w:type="pct"/>
            <w:tcBorders>
              <w:top w:val="nil"/>
              <w:bottom w:val="single" w:sz="4" w:space="0" w:color="auto"/>
            </w:tcBorders>
          </w:tcPr>
          <w:p w14:paraId="76D22A95"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.805</w:t>
            </w:r>
            <w:r>
              <w:rPr>
                <w:rFonts w:cs="Times New Roman"/>
                <w:sz w:val="22"/>
                <w:szCs w:val="22"/>
                <w:vertAlign w:val="superscript"/>
                <w:lang w:val="en-US"/>
              </w:rPr>
              <w:t>b</w:t>
            </w:r>
          </w:p>
        </w:tc>
        <w:tc>
          <w:tcPr>
            <w:tcW w:w="452" w:type="pct"/>
            <w:tcBorders>
              <w:top w:val="nil"/>
              <w:bottom w:val="single" w:sz="4" w:space="0" w:color="auto"/>
            </w:tcBorders>
          </w:tcPr>
          <w:p w14:paraId="77B89D72"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.648</w:t>
            </w:r>
          </w:p>
        </w:tc>
        <w:tc>
          <w:tcPr>
            <w:tcW w:w="612" w:type="pct"/>
            <w:tcBorders>
              <w:top w:val="nil"/>
              <w:bottom w:val="single" w:sz="4" w:space="0" w:color="auto"/>
            </w:tcBorders>
          </w:tcPr>
          <w:p w14:paraId="007D206B"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.649</w:t>
            </w:r>
          </w:p>
        </w:tc>
        <w:tc>
          <w:tcPr>
            <w:tcW w:w="612" w:type="pct"/>
            <w:tcBorders>
              <w:top w:val="nil"/>
              <w:bottom w:val="single" w:sz="4" w:space="0" w:color="auto"/>
            </w:tcBorders>
          </w:tcPr>
          <w:p w14:paraId="5B51620A" w14:textId="77777777" w:rsidR="009F33CD" w:rsidRDefault="00E40740">
            <w:pPr>
              <w:spacing w:line="240" w:lineRule="auto"/>
              <w:jc w:val="center"/>
              <w:rPr>
                <w:rFonts w:cs="Times New Roman"/>
                <w:sz w:val="22"/>
                <w:szCs w:val="22"/>
                <w:lang w:val="en-US"/>
              </w:rPr>
            </w:pPr>
            <w:r>
              <w:rPr>
                <w:rFonts w:cs="Times New Roman"/>
                <w:sz w:val="22"/>
                <w:szCs w:val="22"/>
                <w:lang w:val="en-US"/>
              </w:rPr>
              <w:t>.56593</w:t>
            </w:r>
          </w:p>
        </w:tc>
        <w:tc>
          <w:tcPr>
            <w:tcW w:w="612" w:type="pct"/>
            <w:tcBorders>
              <w:top w:val="nil"/>
              <w:bottom w:val="single" w:sz="4" w:space="0" w:color="auto"/>
            </w:tcBorders>
          </w:tcPr>
          <w:p w14:paraId="5C2B0A2D"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.002</w:t>
            </w:r>
          </w:p>
        </w:tc>
        <w:tc>
          <w:tcPr>
            <w:tcW w:w="465" w:type="pct"/>
            <w:tcBorders>
              <w:top w:val="nil"/>
              <w:bottom w:val="single" w:sz="4" w:space="0" w:color="auto"/>
            </w:tcBorders>
          </w:tcPr>
          <w:p w14:paraId="7A323EE7"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.521</w:t>
            </w:r>
          </w:p>
        </w:tc>
        <w:tc>
          <w:tcPr>
            <w:tcW w:w="427" w:type="pct"/>
            <w:tcBorders>
              <w:top w:val="nil"/>
              <w:bottom w:val="single" w:sz="4" w:space="0" w:color="auto"/>
            </w:tcBorders>
          </w:tcPr>
          <w:p w14:paraId="74A42CF5"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w:t>
            </w:r>
          </w:p>
        </w:tc>
        <w:tc>
          <w:tcPr>
            <w:tcW w:w="427" w:type="pct"/>
            <w:tcBorders>
              <w:top w:val="nil"/>
              <w:bottom w:val="single" w:sz="4" w:space="0" w:color="auto"/>
            </w:tcBorders>
          </w:tcPr>
          <w:p w14:paraId="595DBBBF"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112</w:t>
            </w:r>
          </w:p>
        </w:tc>
        <w:tc>
          <w:tcPr>
            <w:tcW w:w="616" w:type="pct"/>
            <w:tcBorders>
              <w:top w:val="nil"/>
              <w:bottom w:val="single" w:sz="4" w:space="0" w:color="auto"/>
            </w:tcBorders>
          </w:tcPr>
          <w:p w14:paraId="7BF87B41" w14:textId="77777777" w:rsidR="009F33CD" w:rsidRDefault="00E40740">
            <w:pPr>
              <w:spacing w:after="240" w:line="240" w:lineRule="auto"/>
              <w:jc w:val="center"/>
              <w:rPr>
                <w:rFonts w:cs="Times New Roman"/>
                <w:sz w:val="22"/>
                <w:szCs w:val="22"/>
                <w:lang w:val="en-US"/>
              </w:rPr>
            </w:pPr>
            <w:r>
              <w:rPr>
                <w:rFonts w:cs="Times New Roman"/>
                <w:sz w:val="22"/>
                <w:szCs w:val="22"/>
                <w:lang w:val="en-US"/>
              </w:rPr>
              <w:t>.0002</w:t>
            </w:r>
          </w:p>
        </w:tc>
      </w:tr>
      <w:tr w:rsidR="009F33CD" w14:paraId="6FE66BC6" w14:textId="77777777">
        <w:trPr>
          <w:cantSplit/>
          <w:trHeight w:val="236"/>
        </w:trPr>
        <w:tc>
          <w:tcPr>
            <w:tcW w:w="5000" w:type="pct"/>
            <w:gridSpan w:val="10"/>
            <w:tcBorders>
              <w:top w:val="single" w:sz="4" w:space="0" w:color="auto"/>
              <w:bottom w:val="nil"/>
            </w:tcBorders>
          </w:tcPr>
          <w:p w14:paraId="5FF444A4" w14:textId="77777777" w:rsidR="009F33CD" w:rsidRDefault="00E40740">
            <w:pPr>
              <w:spacing w:before="0" w:beforeAutospacing="0" w:after="0" w:afterAutospacing="0" w:line="240" w:lineRule="auto"/>
              <w:rPr>
                <w:rFonts w:cs="Times New Roman"/>
                <w:sz w:val="22"/>
                <w:szCs w:val="22"/>
                <w:lang w:val="en-US"/>
              </w:rPr>
            </w:pPr>
            <w:r>
              <w:rPr>
                <w:rFonts w:cs="Times New Roman"/>
                <w:sz w:val="22"/>
                <w:szCs w:val="22"/>
                <w:lang w:val="en-US"/>
              </w:rPr>
              <w:t xml:space="preserve">a. Predictors: (Constant), </w:t>
            </w:r>
            <w:r>
              <w:rPr>
                <w:rFonts w:cs="Times New Roman"/>
                <w:bCs/>
                <w:sz w:val="22"/>
                <w:szCs w:val="22"/>
              </w:rPr>
              <w:t>X</w:t>
            </w:r>
            <w:r>
              <w:rPr>
                <w:rFonts w:cs="Times New Roman"/>
                <w:bCs/>
                <w:sz w:val="22"/>
                <w:szCs w:val="22"/>
                <w:vertAlign w:val="subscript"/>
              </w:rPr>
              <w:t>1</w:t>
            </w:r>
            <w:r>
              <w:rPr>
                <w:rFonts w:cs="Times New Roman"/>
                <w:bCs/>
                <w:sz w:val="22"/>
                <w:szCs w:val="22"/>
              </w:rPr>
              <w:t>, X</w:t>
            </w:r>
            <w:r>
              <w:rPr>
                <w:rFonts w:cs="Times New Roman"/>
                <w:bCs/>
                <w:sz w:val="22"/>
                <w:szCs w:val="22"/>
                <w:vertAlign w:val="subscript"/>
              </w:rPr>
              <w:t>2</w:t>
            </w:r>
            <w:r>
              <w:rPr>
                <w:rFonts w:cs="Times New Roman"/>
                <w:bCs/>
                <w:sz w:val="22"/>
                <w:szCs w:val="22"/>
              </w:rPr>
              <w:t>, X</w:t>
            </w:r>
            <w:r>
              <w:rPr>
                <w:rFonts w:cs="Times New Roman"/>
                <w:bCs/>
                <w:sz w:val="22"/>
                <w:szCs w:val="22"/>
                <w:vertAlign w:val="subscript"/>
              </w:rPr>
              <w:t>3</w:t>
            </w:r>
            <w:r>
              <w:rPr>
                <w:rFonts w:cs="Times New Roman"/>
                <w:bCs/>
                <w:sz w:val="22"/>
                <w:szCs w:val="22"/>
              </w:rPr>
              <w:t>, and X</w:t>
            </w:r>
            <w:r>
              <w:rPr>
                <w:rFonts w:cs="Times New Roman"/>
                <w:bCs/>
                <w:sz w:val="22"/>
                <w:szCs w:val="22"/>
                <w:vertAlign w:val="subscript"/>
              </w:rPr>
              <w:t xml:space="preserve">4 </w:t>
            </w:r>
          </w:p>
          <w:p w14:paraId="38FA283D" w14:textId="77777777" w:rsidR="009F33CD" w:rsidRDefault="00E40740">
            <w:pPr>
              <w:spacing w:before="0" w:beforeAutospacing="0" w:after="0" w:afterAutospacing="0" w:line="240" w:lineRule="auto"/>
              <w:rPr>
                <w:rFonts w:cs="Times New Roman"/>
                <w:sz w:val="22"/>
                <w:szCs w:val="22"/>
                <w:lang w:val="en-US"/>
              </w:rPr>
            </w:pPr>
            <w:r>
              <w:rPr>
                <w:rFonts w:cs="Times New Roman"/>
                <w:sz w:val="22"/>
                <w:szCs w:val="22"/>
                <w:lang w:val="en-US"/>
              </w:rPr>
              <w:t xml:space="preserve">b. Predictors: (Constant), </w:t>
            </w:r>
            <w:r>
              <w:rPr>
                <w:rFonts w:cs="Times New Roman"/>
                <w:bCs/>
                <w:sz w:val="22"/>
                <w:szCs w:val="22"/>
              </w:rPr>
              <w:t>X</w:t>
            </w:r>
            <w:r>
              <w:rPr>
                <w:rFonts w:cs="Times New Roman"/>
                <w:bCs/>
                <w:sz w:val="22"/>
                <w:szCs w:val="22"/>
                <w:vertAlign w:val="subscript"/>
              </w:rPr>
              <w:t>1</w:t>
            </w:r>
            <w:r>
              <w:rPr>
                <w:rFonts w:cs="Times New Roman"/>
                <w:bCs/>
                <w:sz w:val="22"/>
                <w:szCs w:val="22"/>
              </w:rPr>
              <w:t>, X</w:t>
            </w:r>
            <w:r>
              <w:rPr>
                <w:rFonts w:cs="Times New Roman"/>
                <w:bCs/>
                <w:sz w:val="22"/>
                <w:szCs w:val="22"/>
                <w:vertAlign w:val="subscript"/>
              </w:rPr>
              <w:t>2</w:t>
            </w:r>
            <w:r>
              <w:rPr>
                <w:rFonts w:cs="Times New Roman"/>
                <w:bCs/>
                <w:sz w:val="22"/>
                <w:szCs w:val="22"/>
              </w:rPr>
              <w:t>, X</w:t>
            </w:r>
            <w:r>
              <w:rPr>
                <w:rFonts w:cs="Times New Roman"/>
                <w:bCs/>
                <w:sz w:val="22"/>
                <w:szCs w:val="22"/>
                <w:vertAlign w:val="subscript"/>
              </w:rPr>
              <w:t>3</w:t>
            </w:r>
            <w:r>
              <w:rPr>
                <w:rFonts w:cs="Times New Roman"/>
                <w:bCs/>
                <w:sz w:val="22"/>
                <w:szCs w:val="22"/>
              </w:rPr>
              <w:t>, and X</w:t>
            </w:r>
            <w:r>
              <w:rPr>
                <w:rFonts w:cs="Times New Roman"/>
                <w:bCs/>
                <w:sz w:val="22"/>
                <w:szCs w:val="22"/>
                <w:vertAlign w:val="subscript"/>
              </w:rPr>
              <w:t xml:space="preserve">4 </w:t>
            </w:r>
            <w:r>
              <w:rPr>
                <w:rFonts w:cs="Times New Roman"/>
                <w:sz w:val="22"/>
                <w:szCs w:val="22"/>
                <w:lang w:val="en-US"/>
              </w:rPr>
              <w:t>GHRM- Contingency style</w:t>
            </w:r>
          </w:p>
        </w:tc>
      </w:tr>
    </w:tbl>
    <w:p w14:paraId="75C16CEF" w14:textId="77777777" w:rsidR="00F75083" w:rsidRDefault="008444FB">
      <w:pPr>
        <w:rPr>
          <w:rFonts w:cs="Times New Roman"/>
          <w:lang w:val="en-US"/>
        </w:rPr>
      </w:pPr>
      <w:r>
        <w:rPr>
          <w:rFonts w:cs="Times New Roman"/>
          <w:lang w:val="en-US"/>
        </w:rPr>
        <w:t>Table 4.52</w:t>
      </w:r>
      <w:r w:rsidR="00E40740">
        <w:rPr>
          <w:rFonts w:cs="Times New Roman"/>
          <w:lang w:val="en-US"/>
        </w:rPr>
        <w:t xml:space="preserve"> indicates that the contingency management style also has a small but significant moderating effect on the model (R² change = .002, F (1, 112) = .521, p = .0002). However, the increase in R² is minimal, suggesting that its moderating influence is weaker compared to the bureaucratic and participative styles in influencing the relationship between green human resource management practices and the performance of devolved healthcare services in Kenya.</w:t>
      </w:r>
    </w:p>
    <w:p w14:paraId="187CFD25" w14:textId="77777777" w:rsidR="009F33CD" w:rsidRDefault="008444FB">
      <w:pPr>
        <w:pStyle w:val="Heading6"/>
      </w:pPr>
      <w:bookmarkStart w:id="1610" w:name="_Toc187080928"/>
      <w:bookmarkStart w:id="1611" w:name="_Toc185614156"/>
      <w:bookmarkStart w:id="1612" w:name="_Toc224237482"/>
      <w:r>
        <w:lastRenderedPageBreak/>
        <w:t>Table 4.53</w:t>
      </w:r>
      <w:r w:rsidR="00E40740">
        <w:t>: Regression Coefficient Results Moderated by Contingency Management Style</w:t>
      </w:r>
      <w:bookmarkEnd w:id="1610"/>
      <w:bookmarkEnd w:id="1611"/>
      <w:bookmarkEnd w:id="1612"/>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3"/>
        <w:gridCol w:w="1887"/>
        <w:gridCol w:w="1148"/>
        <w:gridCol w:w="1148"/>
        <w:gridCol w:w="2027"/>
        <w:gridCol w:w="699"/>
        <w:gridCol w:w="848"/>
      </w:tblGrid>
      <w:tr w:rsidR="009F33CD" w14:paraId="4CBF89FB" w14:textId="77777777" w:rsidTr="008444FB">
        <w:trPr>
          <w:cantSplit/>
        </w:trPr>
        <w:tc>
          <w:tcPr>
            <w:tcW w:w="1430" w:type="pct"/>
            <w:gridSpan w:val="2"/>
            <w:vMerge w:val="restart"/>
          </w:tcPr>
          <w:p w14:paraId="0E0832B6" w14:textId="77777777" w:rsidR="009F33CD" w:rsidRDefault="00E40740" w:rsidP="008444FB">
            <w:pPr>
              <w:spacing w:after="240" w:line="240" w:lineRule="auto"/>
              <w:jc w:val="left"/>
              <w:rPr>
                <w:rFonts w:cs="Times New Roman"/>
                <w:b/>
                <w:bCs/>
                <w:lang w:val="en-US"/>
              </w:rPr>
            </w:pPr>
            <w:r>
              <w:rPr>
                <w:rFonts w:cs="Times New Roman"/>
                <w:b/>
                <w:bCs/>
                <w:lang w:val="en-US"/>
              </w:rPr>
              <w:t>Model</w:t>
            </w:r>
          </w:p>
        </w:tc>
        <w:tc>
          <w:tcPr>
            <w:tcW w:w="1396" w:type="pct"/>
            <w:gridSpan w:val="2"/>
            <w:tcBorders>
              <w:bottom w:val="single" w:sz="4" w:space="0" w:color="auto"/>
            </w:tcBorders>
            <w:vAlign w:val="bottom"/>
          </w:tcPr>
          <w:p w14:paraId="6B8E216B" w14:textId="77777777" w:rsidR="009F33CD" w:rsidRDefault="00E40740" w:rsidP="00F75083">
            <w:pPr>
              <w:spacing w:after="240" w:line="240" w:lineRule="auto"/>
              <w:jc w:val="center"/>
              <w:rPr>
                <w:rFonts w:cs="Times New Roman"/>
                <w:b/>
                <w:bCs/>
                <w:lang w:val="en-US"/>
              </w:rPr>
            </w:pPr>
            <w:r>
              <w:rPr>
                <w:rFonts w:cs="Times New Roman"/>
                <w:b/>
                <w:bCs/>
                <w:lang w:val="en-US"/>
              </w:rPr>
              <w:t>Unstandardized Coefficients</w:t>
            </w:r>
          </w:p>
        </w:tc>
        <w:tc>
          <w:tcPr>
            <w:tcW w:w="1233" w:type="pct"/>
            <w:tcBorders>
              <w:bottom w:val="single" w:sz="4" w:space="0" w:color="auto"/>
            </w:tcBorders>
            <w:vAlign w:val="bottom"/>
          </w:tcPr>
          <w:p w14:paraId="46A4F3A4" w14:textId="77777777" w:rsidR="009F33CD" w:rsidRDefault="00E40740" w:rsidP="00F75083">
            <w:pPr>
              <w:spacing w:after="240" w:line="240" w:lineRule="auto"/>
              <w:jc w:val="center"/>
              <w:rPr>
                <w:rFonts w:cs="Times New Roman"/>
                <w:b/>
                <w:bCs/>
                <w:lang w:val="en-US"/>
              </w:rPr>
            </w:pPr>
            <w:r>
              <w:rPr>
                <w:rFonts w:cs="Times New Roman"/>
                <w:b/>
                <w:bCs/>
                <w:lang w:val="en-US"/>
              </w:rPr>
              <w:t>Standardized Coefficients</w:t>
            </w:r>
          </w:p>
        </w:tc>
        <w:tc>
          <w:tcPr>
            <w:tcW w:w="425" w:type="pct"/>
            <w:vMerge w:val="restart"/>
          </w:tcPr>
          <w:p w14:paraId="4123B877" w14:textId="77777777" w:rsidR="009F33CD" w:rsidRDefault="00E40740" w:rsidP="008444FB">
            <w:pPr>
              <w:spacing w:after="240" w:line="240" w:lineRule="auto"/>
              <w:jc w:val="center"/>
              <w:rPr>
                <w:rFonts w:cs="Times New Roman"/>
                <w:b/>
                <w:bCs/>
                <w:lang w:val="en-US"/>
              </w:rPr>
            </w:pPr>
            <w:r>
              <w:rPr>
                <w:rFonts w:cs="Times New Roman"/>
                <w:b/>
                <w:bCs/>
                <w:lang w:val="en-US"/>
              </w:rPr>
              <w:t>t</w:t>
            </w:r>
          </w:p>
        </w:tc>
        <w:tc>
          <w:tcPr>
            <w:tcW w:w="517" w:type="pct"/>
            <w:vMerge w:val="restart"/>
          </w:tcPr>
          <w:p w14:paraId="12687790" w14:textId="77777777" w:rsidR="009F33CD" w:rsidRDefault="00E40740" w:rsidP="008444FB">
            <w:pPr>
              <w:spacing w:after="240" w:line="240" w:lineRule="auto"/>
              <w:jc w:val="center"/>
              <w:rPr>
                <w:rFonts w:cs="Times New Roman"/>
                <w:b/>
                <w:bCs/>
                <w:lang w:val="en-US"/>
              </w:rPr>
            </w:pPr>
            <w:r>
              <w:rPr>
                <w:rFonts w:cs="Times New Roman"/>
                <w:b/>
                <w:bCs/>
                <w:lang w:val="en-US"/>
              </w:rPr>
              <w:t>Sig.</w:t>
            </w:r>
          </w:p>
        </w:tc>
      </w:tr>
      <w:tr w:rsidR="009F33CD" w14:paraId="2A83F96E" w14:textId="77777777" w:rsidTr="00F75083">
        <w:trPr>
          <w:cantSplit/>
        </w:trPr>
        <w:tc>
          <w:tcPr>
            <w:tcW w:w="1430" w:type="pct"/>
            <w:gridSpan w:val="2"/>
            <w:vMerge/>
            <w:tcBorders>
              <w:bottom w:val="single" w:sz="4" w:space="0" w:color="auto"/>
            </w:tcBorders>
            <w:vAlign w:val="bottom"/>
          </w:tcPr>
          <w:p w14:paraId="6B1D44A3" w14:textId="77777777" w:rsidR="009F33CD" w:rsidRDefault="009F33CD">
            <w:pPr>
              <w:spacing w:after="240" w:line="240" w:lineRule="auto"/>
              <w:rPr>
                <w:rFonts w:cs="Times New Roman"/>
                <w:lang w:val="en-US"/>
              </w:rPr>
            </w:pPr>
          </w:p>
        </w:tc>
        <w:tc>
          <w:tcPr>
            <w:tcW w:w="698" w:type="pct"/>
            <w:tcBorders>
              <w:top w:val="single" w:sz="4" w:space="0" w:color="auto"/>
              <w:bottom w:val="single" w:sz="4" w:space="0" w:color="auto"/>
            </w:tcBorders>
            <w:vAlign w:val="bottom"/>
          </w:tcPr>
          <w:p w14:paraId="5CDF14FA" w14:textId="77777777" w:rsidR="009F33CD" w:rsidRDefault="00E40740">
            <w:pPr>
              <w:spacing w:after="240" w:line="240" w:lineRule="auto"/>
              <w:jc w:val="center"/>
              <w:rPr>
                <w:rFonts w:cs="Times New Roman"/>
                <w:b/>
                <w:bCs/>
                <w:lang w:val="en-US"/>
              </w:rPr>
            </w:pPr>
            <w:r>
              <w:rPr>
                <w:rFonts w:cs="Times New Roman"/>
                <w:b/>
                <w:bCs/>
                <w:lang w:val="en-US"/>
              </w:rPr>
              <w:t>B</w:t>
            </w:r>
          </w:p>
        </w:tc>
        <w:tc>
          <w:tcPr>
            <w:tcW w:w="698" w:type="pct"/>
            <w:tcBorders>
              <w:top w:val="single" w:sz="4" w:space="0" w:color="auto"/>
              <w:bottom w:val="single" w:sz="4" w:space="0" w:color="auto"/>
            </w:tcBorders>
            <w:vAlign w:val="bottom"/>
          </w:tcPr>
          <w:p w14:paraId="7534AD15" w14:textId="77777777" w:rsidR="009F33CD" w:rsidRDefault="00E40740">
            <w:pPr>
              <w:spacing w:after="240" w:line="240" w:lineRule="auto"/>
              <w:jc w:val="center"/>
              <w:rPr>
                <w:rFonts w:cs="Times New Roman"/>
                <w:b/>
                <w:bCs/>
                <w:lang w:val="en-US"/>
              </w:rPr>
            </w:pPr>
            <w:r>
              <w:rPr>
                <w:rFonts w:cs="Times New Roman"/>
                <w:b/>
                <w:bCs/>
                <w:lang w:val="en-US"/>
              </w:rPr>
              <w:t>Std. Error</w:t>
            </w:r>
          </w:p>
        </w:tc>
        <w:tc>
          <w:tcPr>
            <w:tcW w:w="1233" w:type="pct"/>
            <w:tcBorders>
              <w:top w:val="single" w:sz="4" w:space="0" w:color="auto"/>
              <w:bottom w:val="single" w:sz="4" w:space="0" w:color="auto"/>
            </w:tcBorders>
            <w:vAlign w:val="bottom"/>
          </w:tcPr>
          <w:p w14:paraId="00E0FEE9" w14:textId="77777777" w:rsidR="009F33CD" w:rsidRDefault="00E40740">
            <w:pPr>
              <w:spacing w:after="240" w:line="240" w:lineRule="auto"/>
              <w:jc w:val="center"/>
              <w:rPr>
                <w:rFonts w:cs="Times New Roman"/>
                <w:b/>
                <w:bCs/>
                <w:lang w:val="en-US"/>
              </w:rPr>
            </w:pPr>
            <w:r>
              <w:rPr>
                <w:rFonts w:cs="Times New Roman"/>
                <w:b/>
                <w:bCs/>
                <w:lang w:val="en-US"/>
              </w:rPr>
              <w:t>Beta</w:t>
            </w:r>
          </w:p>
        </w:tc>
        <w:tc>
          <w:tcPr>
            <w:tcW w:w="425" w:type="pct"/>
            <w:vMerge/>
            <w:tcBorders>
              <w:bottom w:val="single" w:sz="4" w:space="0" w:color="auto"/>
            </w:tcBorders>
            <w:vAlign w:val="bottom"/>
          </w:tcPr>
          <w:p w14:paraId="529FE2EC" w14:textId="77777777" w:rsidR="009F33CD" w:rsidRDefault="009F33CD">
            <w:pPr>
              <w:spacing w:after="240" w:line="240" w:lineRule="auto"/>
              <w:jc w:val="center"/>
              <w:rPr>
                <w:rFonts w:cs="Times New Roman"/>
                <w:lang w:val="en-US"/>
              </w:rPr>
            </w:pPr>
          </w:p>
        </w:tc>
        <w:tc>
          <w:tcPr>
            <w:tcW w:w="517" w:type="pct"/>
            <w:vMerge/>
            <w:tcBorders>
              <w:bottom w:val="single" w:sz="4" w:space="0" w:color="auto"/>
            </w:tcBorders>
            <w:vAlign w:val="bottom"/>
          </w:tcPr>
          <w:p w14:paraId="5AD14D01" w14:textId="77777777" w:rsidR="009F33CD" w:rsidRDefault="009F33CD">
            <w:pPr>
              <w:spacing w:after="240" w:line="240" w:lineRule="auto"/>
              <w:jc w:val="center"/>
              <w:rPr>
                <w:rFonts w:cs="Times New Roman"/>
                <w:lang w:val="en-US"/>
              </w:rPr>
            </w:pPr>
          </w:p>
        </w:tc>
      </w:tr>
      <w:tr w:rsidR="009F33CD" w14:paraId="3D790F85" w14:textId="77777777">
        <w:trPr>
          <w:cantSplit/>
        </w:trPr>
        <w:tc>
          <w:tcPr>
            <w:tcW w:w="282" w:type="pct"/>
            <w:vMerge w:val="restart"/>
            <w:tcBorders>
              <w:top w:val="single" w:sz="4" w:space="0" w:color="auto"/>
              <w:bottom w:val="nil"/>
            </w:tcBorders>
          </w:tcPr>
          <w:p w14:paraId="2404B12D" w14:textId="77777777" w:rsidR="009F33CD" w:rsidRDefault="00E40740">
            <w:pPr>
              <w:spacing w:after="240" w:line="240" w:lineRule="auto"/>
              <w:rPr>
                <w:rFonts w:cs="Times New Roman"/>
                <w:lang w:val="en-US"/>
              </w:rPr>
            </w:pPr>
            <w:r>
              <w:rPr>
                <w:rFonts w:cs="Times New Roman"/>
                <w:lang w:val="en-US"/>
              </w:rPr>
              <w:t>1</w:t>
            </w:r>
          </w:p>
        </w:tc>
        <w:tc>
          <w:tcPr>
            <w:tcW w:w="1147" w:type="pct"/>
            <w:tcBorders>
              <w:top w:val="single" w:sz="4" w:space="0" w:color="auto"/>
              <w:bottom w:val="nil"/>
            </w:tcBorders>
          </w:tcPr>
          <w:p w14:paraId="630DD85F" w14:textId="77777777" w:rsidR="009F33CD" w:rsidRDefault="00E40740">
            <w:pPr>
              <w:spacing w:after="240" w:line="240" w:lineRule="auto"/>
              <w:rPr>
                <w:rFonts w:cs="Times New Roman"/>
                <w:lang w:val="en-US"/>
              </w:rPr>
            </w:pPr>
            <w:r>
              <w:rPr>
                <w:rFonts w:cs="Times New Roman"/>
                <w:lang w:val="en-US"/>
              </w:rPr>
              <w:t>(Constant)</w:t>
            </w:r>
          </w:p>
        </w:tc>
        <w:tc>
          <w:tcPr>
            <w:tcW w:w="698" w:type="pct"/>
            <w:tcBorders>
              <w:top w:val="single" w:sz="4" w:space="0" w:color="auto"/>
              <w:bottom w:val="nil"/>
            </w:tcBorders>
          </w:tcPr>
          <w:p w14:paraId="2532AA3A" w14:textId="77777777" w:rsidR="009F33CD" w:rsidRDefault="00E40740">
            <w:pPr>
              <w:spacing w:after="240" w:line="240" w:lineRule="auto"/>
              <w:jc w:val="center"/>
              <w:rPr>
                <w:rFonts w:cs="Times New Roman"/>
                <w:lang w:val="en-US"/>
              </w:rPr>
            </w:pPr>
            <w:r>
              <w:rPr>
                <w:rFonts w:cs="Times New Roman"/>
                <w:lang w:val="en-US"/>
              </w:rPr>
              <w:t>-.330</w:t>
            </w:r>
          </w:p>
        </w:tc>
        <w:tc>
          <w:tcPr>
            <w:tcW w:w="698" w:type="pct"/>
            <w:tcBorders>
              <w:top w:val="single" w:sz="4" w:space="0" w:color="auto"/>
              <w:bottom w:val="nil"/>
            </w:tcBorders>
          </w:tcPr>
          <w:p w14:paraId="23B93443" w14:textId="77777777" w:rsidR="009F33CD" w:rsidRDefault="00E40740">
            <w:pPr>
              <w:spacing w:after="240" w:line="240" w:lineRule="auto"/>
              <w:jc w:val="center"/>
              <w:rPr>
                <w:rFonts w:cs="Times New Roman"/>
                <w:lang w:val="en-US"/>
              </w:rPr>
            </w:pPr>
            <w:r>
              <w:rPr>
                <w:rFonts w:cs="Times New Roman"/>
                <w:lang w:val="en-US"/>
              </w:rPr>
              <w:t>.299</w:t>
            </w:r>
          </w:p>
        </w:tc>
        <w:tc>
          <w:tcPr>
            <w:tcW w:w="1233" w:type="pct"/>
            <w:tcBorders>
              <w:top w:val="single" w:sz="4" w:space="0" w:color="auto"/>
              <w:bottom w:val="nil"/>
            </w:tcBorders>
            <w:vAlign w:val="center"/>
          </w:tcPr>
          <w:p w14:paraId="1316A2DE" w14:textId="77777777" w:rsidR="009F33CD" w:rsidRDefault="009F33CD">
            <w:pPr>
              <w:spacing w:after="240" w:line="240" w:lineRule="auto"/>
              <w:jc w:val="center"/>
              <w:rPr>
                <w:rFonts w:cs="Times New Roman"/>
                <w:lang w:val="en-US"/>
              </w:rPr>
            </w:pPr>
          </w:p>
        </w:tc>
        <w:tc>
          <w:tcPr>
            <w:tcW w:w="425" w:type="pct"/>
            <w:tcBorders>
              <w:top w:val="single" w:sz="4" w:space="0" w:color="auto"/>
              <w:bottom w:val="nil"/>
            </w:tcBorders>
          </w:tcPr>
          <w:p w14:paraId="6672DEC9" w14:textId="77777777" w:rsidR="009F33CD" w:rsidRDefault="00E40740">
            <w:pPr>
              <w:spacing w:after="240" w:line="240" w:lineRule="auto"/>
              <w:jc w:val="center"/>
              <w:rPr>
                <w:rFonts w:cs="Times New Roman"/>
                <w:lang w:val="en-US"/>
              </w:rPr>
            </w:pPr>
            <w:r>
              <w:rPr>
                <w:rFonts w:cs="Times New Roman"/>
                <w:lang w:val="en-US"/>
              </w:rPr>
              <w:t>-1.105</w:t>
            </w:r>
          </w:p>
        </w:tc>
        <w:tc>
          <w:tcPr>
            <w:tcW w:w="517" w:type="pct"/>
            <w:tcBorders>
              <w:top w:val="single" w:sz="4" w:space="0" w:color="auto"/>
              <w:bottom w:val="nil"/>
            </w:tcBorders>
          </w:tcPr>
          <w:p w14:paraId="5FD9B170" w14:textId="77777777" w:rsidR="009F33CD" w:rsidRDefault="00E40740">
            <w:pPr>
              <w:spacing w:after="240" w:line="240" w:lineRule="auto"/>
              <w:jc w:val="center"/>
              <w:rPr>
                <w:rFonts w:cs="Times New Roman"/>
                <w:lang w:val="en-US"/>
              </w:rPr>
            </w:pPr>
            <w:r>
              <w:rPr>
                <w:rFonts w:cs="Times New Roman"/>
                <w:lang w:val="en-US"/>
              </w:rPr>
              <w:t>.271</w:t>
            </w:r>
          </w:p>
        </w:tc>
      </w:tr>
      <w:tr w:rsidR="009F33CD" w14:paraId="63159BFF" w14:textId="77777777">
        <w:trPr>
          <w:cantSplit/>
        </w:trPr>
        <w:tc>
          <w:tcPr>
            <w:tcW w:w="282" w:type="pct"/>
            <w:vMerge/>
            <w:tcBorders>
              <w:top w:val="nil"/>
            </w:tcBorders>
          </w:tcPr>
          <w:p w14:paraId="6855487E" w14:textId="77777777" w:rsidR="009F33CD" w:rsidRDefault="009F33CD">
            <w:pPr>
              <w:spacing w:after="240" w:line="240" w:lineRule="auto"/>
              <w:rPr>
                <w:rFonts w:cs="Times New Roman"/>
                <w:lang w:val="en-US"/>
              </w:rPr>
            </w:pPr>
          </w:p>
        </w:tc>
        <w:tc>
          <w:tcPr>
            <w:tcW w:w="1147" w:type="pct"/>
            <w:tcBorders>
              <w:top w:val="nil"/>
            </w:tcBorders>
          </w:tcPr>
          <w:p w14:paraId="2ACAE82F"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1</w:t>
            </w:r>
          </w:p>
        </w:tc>
        <w:tc>
          <w:tcPr>
            <w:tcW w:w="698" w:type="pct"/>
            <w:tcBorders>
              <w:top w:val="nil"/>
            </w:tcBorders>
          </w:tcPr>
          <w:p w14:paraId="453A27D1" w14:textId="77777777" w:rsidR="009F33CD" w:rsidRDefault="00E40740">
            <w:pPr>
              <w:spacing w:after="240" w:line="240" w:lineRule="auto"/>
              <w:jc w:val="center"/>
              <w:rPr>
                <w:rFonts w:cs="Times New Roman"/>
                <w:lang w:val="en-US"/>
              </w:rPr>
            </w:pPr>
            <w:r>
              <w:rPr>
                <w:rFonts w:cs="Times New Roman"/>
                <w:lang w:val="en-US"/>
              </w:rPr>
              <w:t>.516</w:t>
            </w:r>
          </w:p>
        </w:tc>
        <w:tc>
          <w:tcPr>
            <w:tcW w:w="698" w:type="pct"/>
            <w:tcBorders>
              <w:top w:val="nil"/>
            </w:tcBorders>
          </w:tcPr>
          <w:p w14:paraId="63166779" w14:textId="77777777" w:rsidR="009F33CD" w:rsidRDefault="00E40740">
            <w:pPr>
              <w:spacing w:after="240" w:line="240" w:lineRule="auto"/>
              <w:jc w:val="center"/>
              <w:rPr>
                <w:rFonts w:cs="Times New Roman"/>
                <w:lang w:val="en-US"/>
              </w:rPr>
            </w:pPr>
            <w:r>
              <w:rPr>
                <w:rFonts w:cs="Times New Roman"/>
                <w:lang w:val="en-US"/>
              </w:rPr>
              <w:t>.115</w:t>
            </w:r>
          </w:p>
        </w:tc>
        <w:tc>
          <w:tcPr>
            <w:tcW w:w="1233" w:type="pct"/>
            <w:tcBorders>
              <w:top w:val="nil"/>
            </w:tcBorders>
          </w:tcPr>
          <w:p w14:paraId="6D8C7208" w14:textId="77777777" w:rsidR="009F33CD" w:rsidRDefault="00E40740">
            <w:pPr>
              <w:spacing w:after="240" w:line="240" w:lineRule="auto"/>
              <w:jc w:val="center"/>
              <w:rPr>
                <w:rFonts w:cs="Times New Roman"/>
                <w:lang w:val="en-US"/>
              </w:rPr>
            </w:pPr>
            <w:r>
              <w:rPr>
                <w:rFonts w:cs="Times New Roman"/>
                <w:lang w:val="en-US"/>
              </w:rPr>
              <w:t>.381</w:t>
            </w:r>
          </w:p>
        </w:tc>
        <w:tc>
          <w:tcPr>
            <w:tcW w:w="425" w:type="pct"/>
            <w:tcBorders>
              <w:top w:val="nil"/>
            </w:tcBorders>
          </w:tcPr>
          <w:p w14:paraId="3FFF9E62" w14:textId="77777777" w:rsidR="009F33CD" w:rsidRDefault="00E40740">
            <w:pPr>
              <w:spacing w:after="240" w:line="240" w:lineRule="auto"/>
              <w:jc w:val="center"/>
              <w:rPr>
                <w:rFonts w:cs="Times New Roman"/>
                <w:lang w:val="en-US"/>
              </w:rPr>
            </w:pPr>
            <w:r>
              <w:rPr>
                <w:rFonts w:cs="Times New Roman"/>
                <w:lang w:val="en-US"/>
              </w:rPr>
              <w:t>4.487</w:t>
            </w:r>
          </w:p>
        </w:tc>
        <w:tc>
          <w:tcPr>
            <w:tcW w:w="517" w:type="pct"/>
            <w:tcBorders>
              <w:top w:val="nil"/>
            </w:tcBorders>
          </w:tcPr>
          <w:p w14:paraId="4C6BEAA5" w14:textId="77777777" w:rsidR="009F33CD" w:rsidRDefault="00E40740">
            <w:pPr>
              <w:spacing w:after="240" w:line="240" w:lineRule="auto"/>
              <w:jc w:val="center"/>
              <w:rPr>
                <w:rFonts w:cs="Times New Roman"/>
                <w:lang w:val="en-US"/>
              </w:rPr>
            </w:pPr>
            <w:r>
              <w:rPr>
                <w:rFonts w:cs="Times New Roman"/>
                <w:lang w:val="en-US"/>
              </w:rPr>
              <w:t>.000</w:t>
            </w:r>
          </w:p>
        </w:tc>
      </w:tr>
      <w:tr w:rsidR="009F33CD" w14:paraId="2C461B43" w14:textId="77777777">
        <w:trPr>
          <w:cantSplit/>
        </w:trPr>
        <w:tc>
          <w:tcPr>
            <w:tcW w:w="282" w:type="pct"/>
            <w:vMerge/>
          </w:tcPr>
          <w:p w14:paraId="4F0E8098" w14:textId="77777777" w:rsidR="009F33CD" w:rsidRDefault="009F33CD">
            <w:pPr>
              <w:spacing w:after="240" w:line="240" w:lineRule="auto"/>
              <w:rPr>
                <w:rFonts w:cs="Times New Roman"/>
                <w:lang w:val="en-US"/>
              </w:rPr>
            </w:pPr>
          </w:p>
        </w:tc>
        <w:tc>
          <w:tcPr>
            <w:tcW w:w="1147" w:type="pct"/>
          </w:tcPr>
          <w:p w14:paraId="7A6823D4"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2</w:t>
            </w:r>
          </w:p>
        </w:tc>
        <w:tc>
          <w:tcPr>
            <w:tcW w:w="698" w:type="pct"/>
          </w:tcPr>
          <w:p w14:paraId="08336957" w14:textId="77777777" w:rsidR="009F33CD" w:rsidRDefault="00E40740">
            <w:pPr>
              <w:spacing w:after="240" w:line="240" w:lineRule="auto"/>
              <w:jc w:val="center"/>
              <w:rPr>
                <w:rFonts w:cs="Times New Roman"/>
                <w:lang w:val="en-US"/>
              </w:rPr>
            </w:pPr>
            <w:r>
              <w:rPr>
                <w:rFonts w:cs="Times New Roman"/>
                <w:lang w:val="en-US"/>
              </w:rPr>
              <w:t>.183</w:t>
            </w:r>
          </w:p>
        </w:tc>
        <w:tc>
          <w:tcPr>
            <w:tcW w:w="698" w:type="pct"/>
          </w:tcPr>
          <w:p w14:paraId="375CE2AE" w14:textId="77777777" w:rsidR="009F33CD" w:rsidRDefault="00E40740">
            <w:pPr>
              <w:spacing w:after="240" w:line="240" w:lineRule="auto"/>
              <w:jc w:val="center"/>
              <w:rPr>
                <w:rFonts w:cs="Times New Roman"/>
                <w:lang w:val="en-US"/>
              </w:rPr>
            </w:pPr>
            <w:r>
              <w:rPr>
                <w:rFonts w:cs="Times New Roman"/>
                <w:lang w:val="en-US"/>
              </w:rPr>
              <w:t>.109</w:t>
            </w:r>
          </w:p>
        </w:tc>
        <w:tc>
          <w:tcPr>
            <w:tcW w:w="1233" w:type="pct"/>
          </w:tcPr>
          <w:p w14:paraId="01711045" w14:textId="77777777" w:rsidR="009F33CD" w:rsidRDefault="00E40740">
            <w:pPr>
              <w:spacing w:after="240" w:line="240" w:lineRule="auto"/>
              <w:jc w:val="center"/>
              <w:rPr>
                <w:rFonts w:cs="Times New Roman"/>
                <w:lang w:val="en-US"/>
              </w:rPr>
            </w:pPr>
            <w:r>
              <w:rPr>
                <w:rFonts w:cs="Times New Roman"/>
                <w:lang w:val="en-US"/>
              </w:rPr>
              <w:t>.160</w:t>
            </w:r>
          </w:p>
        </w:tc>
        <w:tc>
          <w:tcPr>
            <w:tcW w:w="425" w:type="pct"/>
          </w:tcPr>
          <w:p w14:paraId="6989DF7C" w14:textId="77777777" w:rsidR="009F33CD" w:rsidRDefault="00E40740">
            <w:pPr>
              <w:spacing w:after="240" w:line="240" w:lineRule="auto"/>
              <w:jc w:val="center"/>
              <w:rPr>
                <w:rFonts w:cs="Times New Roman"/>
                <w:lang w:val="en-US"/>
              </w:rPr>
            </w:pPr>
            <w:r>
              <w:rPr>
                <w:rFonts w:cs="Times New Roman"/>
                <w:lang w:val="en-US"/>
              </w:rPr>
              <w:t>1.675</w:t>
            </w:r>
          </w:p>
        </w:tc>
        <w:tc>
          <w:tcPr>
            <w:tcW w:w="517" w:type="pct"/>
          </w:tcPr>
          <w:p w14:paraId="694F8FA2" w14:textId="77777777" w:rsidR="009F33CD" w:rsidRDefault="00E40740">
            <w:pPr>
              <w:spacing w:after="240" w:line="240" w:lineRule="auto"/>
              <w:jc w:val="center"/>
              <w:rPr>
                <w:rFonts w:cs="Times New Roman"/>
                <w:lang w:val="en-US"/>
              </w:rPr>
            </w:pPr>
            <w:r>
              <w:rPr>
                <w:rFonts w:cs="Times New Roman"/>
                <w:lang w:val="en-US"/>
              </w:rPr>
              <w:t>.097</w:t>
            </w:r>
          </w:p>
        </w:tc>
      </w:tr>
      <w:tr w:rsidR="009F33CD" w14:paraId="518AFFB1" w14:textId="77777777">
        <w:trPr>
          <w:cantSplit/>
        </w:trPr>
        <w:tc>
          <w:tcPr>
            <w:tcW w:w="282" w:type="pct"/>
            <w:vMerge/>
          </w:tcPr>
          <w:p w14:paraId="189091EA" w14:textId="77777777" w:rsidR="009F33CD" w:rsidRDefault="009F33CD">
            <w:pPr>
              <w:spacing w:after="240" w:line="240" w:lineRule="auto"/>
              <w:rPr>
                <w:rFonts w:cs="Times New Roman"/>
                <w:lang w:val="en-US"/>
              </w:rPr>
            </w:pPr>
          </w:p>
        </w:tc>
        <w:tc>
          <w:tcPr>
            <w:tcW w:w="1147" w:type="pct"/>
          </w:tcPr>
          <w:p w14:paraId="7D3A76CD"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3</w:t>
            </w:r>
          </w:p>
        </w:tc>
        <w:tc>
          <w:tcPr>
            <w:tcW w:w="698" w:type="pct"/>
          </w:tcPr>
          <w:p w14:paraId="46EC8A89" w14:textId="77777777" w:rsidR="009F33CD" w:rsidRDefault="00E40740">
            <w:pPr>
              <w:spacing w:after="240" w:line="240" w:lineRule="auto"/>
              <w:jc w:val="center"/>
              <w:rPr>
                <w:rFonts w:cs="Times New Roman"/>
                <w:lang w:val="en-US"/>
              </w:rPr>
            </w:pPr>
            <w:r>
              <w:rPr>
                <w:rFonts w:cs="Times New Roman"/>
                <w:lang w:val="en-US"/>
              </w:rPr>
              <w:t>.355</w:t>
            </w:r>
          </w:p>
        </w:tc>
        <w:tc>
          <w:tcPr>
            <w:tcW w:w="698" w:type="pct"/>
          </w:tcPr>
          <w:p w14:paraId="7B8B918B" w14:textId="77777777" w:rsidR="009F33CD" w:rsidRDefault="00E40740">
            <w:pPr>
              <w:spacing w:after="240" w:line="240" w:lineRule="auto"/>
              <w:jc w:val="center"/>
              <w:rPr>
                <w:rFonts w:cs="Times New Roman"/>
                <w:lang w:val="en-US"/>
              </w:rPr>
            </w:pPr>
            <w:r>
              <w:rPr>
                <w:rFonts w:cs="Times New Roman"/>
                <w:lang w:val="en-US"/>
              </w:rPr>
              <w:t>.122</w:t>
            </w:r>
          </w:p>
        </w:tc>
        <w:tc>
          <w:tcPr>
            <w:tcW w:w="1233" w:type="pct"/>
          </w:tcPr>
          <w:p w14:paraId="345B714A" w14:textId="77777777" w:rsidR="009F33CD" w:rsidRDefault="00E40740">
            <w:pPr>
              <w:spacing w:after="240" w:line="240" w:lineRule="auto"/>
              <w:jc w:val="center"/>
              <w:rPr>
                <w:rFonts w:cs="Times New Roman"/>
                <w:lang w:val="en-US"/>
              </w:rPr>
            </w:pPr>
            <w:r>
              <w:rPr>
                <w:rFonts w:cs="Times New Roman"/>
                <w:lang w:val="en-US"/>
              </w:rPr>
              <w:t>.301</w:t>
            </w:r>
          </w:p>
        </w:tc>
        <w:tc>
          <w:tcPr>
            <w:tcW w:w="425" w:type="pct"/>
          </w:tcPr>
          <w:p w14:paraId="3315FE06" w14:textId="77777777" w:rsidR="009F33CD" w:rsidRDefault="00E40740">
            <w:pPr>
              <w:spacing w:after="240" w:line="240" w:lineRule="auto"/>
              <w:jc w:val="center"/>
              <w:rPr>
                <w:rFonts w:cs="Times New Roman"/>
                <w:lang w:val="en-US"/>
              </w:rPr>
            </w:pPr>
            <w:r>
              <w:rPr>
                <w:rFonts w:cs="Times New Roman"/>
                <w:lang w:val="en-US"/>
              </w:rPr>
              <w:t>2.903</w:t>
            </w:r>
          </w:p>
        </w:tc>
        <w:tc>
          <w:tcPr>
            <w:tcW w:w="517" w:type="pct"/>
          </w:tcPr>
          <w:p w14:paraId="6DBEF35C" w14:textId="77777777" w:rsidR="009F33CD" w:rsidRDefault="00E40740">
            <w:pPr>
              <w:spacing w:after="240" w:line="240" w:lineRule="auto"/>
              <w:jc w:val="center"/>
              <w:rPr>
                <w:rFonts w:cs="Times New Roman"/>
                <w:lang w:val="en-US"/>
              </w:rPr>
            </w:pPr>
            <w:r>
              <w:rPr>
                <w:rFonts w:cs="Times New Roman"/>
                <w:lang w:val="en-US"/>
              </w:rPr>
              <w:t>.004</w:t>
            </w:r>
          </w:p>
        </w:tc>
      </w:tr>
      <w:tr w:rsidR="009F33CD" w14:paraId="7D3407A9" w14:textId="77777777">
        <w:trPr>
          <w:cantSplit/>
        </w:trPr>
        <w:tc>
          <w:tcPr>
            <w:tcW w:w="282" w:type="pct"/>
            <w:vMerge/>
          </w:tcPr>
          <w:p w14:paraId="5C7FF919" w14:textId="77777777" w:rsidR="009F33CD" w:rsidRDefault="009F33CD">
            <w:pPr>
              <w:spacing w:after="240" w:line="240" w:lineRule="auto"/>
              <w:rPr>
                <w:rFonts w:cs="Times New Roman"/>
                <w:lang w:val="en-US"/>
              </w:rPr>
            </w:pPr>
          </w:p>
        </w:tc>
        <w:tc>
          <w:tcPr>
            <w:tcW w:w="1147" w:type="pct"/>
          </w:tcPr>
          <w:p w14:paraId="34841F15"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4</w:t>
            </w:r>
          </w:p>
        </w:tc>
        <w:tc>
          <w:tcPr>
            <w:tcW w:w="698" w:type="pct"/>
          </w:tcPr>
          <w:p w14:paraId="4BA92ACA" w14:textId="77777777" w:rsidR="009F33CD" w:rsidRDefault="00E40740">
            <w:pPr>
              <w:spacing w:after="240" w:line="240" w:lineRule="auto"/>
              <w:jc w:val="center"/>
              <w:rPr>
                <w:rFonts w:cs="Times New Roman"/>
                <w:lang w:val="en-US"/>
              </w:rPr>
            </w:pPr>
            <w:r>
              <w:rPr>
                <w:rFonts w:cs="Times New Roman"/>
                <w:lang w:val="en-US"/>
              </w:rPr>
              <w:t>.085</w:t>
            </w:r>
          </w:p>
        </w:tc>
        <w:tc>
          <w:tcPr>
            <w:tcW w:w="698" w:type="pct"/>
          </w:tcPr>
          <w:p w14:paraId="33DB7022" w14:textId="77777777" w:rsidR="009F33CD" w:rsidRDefault="00E40740">
            <w:pPr>
              <w:spacing w:after="240" w:line="240" w:lineRule="auto"/>
              <w:jc w:val="center"/>
              <w:rPr>
                <w:rFonts w:cs="Times New Roman"/>
                <w:lang w:val="en-US"/>
              </w:rPr>
            </w:pPr>
            <w:r>
              <w:rPr>
                <w:rFonts w:cs="Times New Roman"/>
                <w:lang w:val="en-US"/>
              </w:rPr>
              <w:t>.118</w:t>
            </w:r>
          </w:p>
        </w:tc>
        <w:tc>
          <w:tcPr>
            <w:tcW w:w="1233" w:type="pct"/>
          </w:tcPr>
          <w:p w14:paraId="04699FA6" w14:textId="77777777" w:rsidR="009F33CD" w:rsidRDefault="00E40740">
            <w:pPr>
              <w:spacing w:after="240" w:line="240" w:lineRule="auto"/>
              <w:jc w:val="center"/>
              <w:rPr>
                <w:rFonts w:cs="Times New Roman"/>
                <w:lang w:val="en-US"/>
              </w:rPr>
            </w:pPr>
            <w:r>
              <w:rPr>
                <w:rFonts w:cs="Times New Roman"/>
                <w:lang w:val="en-US"/>
              </w:rPr>
              <w:t>.058</w:t>
            </w:r>
          </w:p>
        </w:tc>
        <w:tc>
          <w:tcPr>
            <w:tcW w:w="425" w:type="pct"/>
          </w:tcPr>
          <w:p w14:paraId="631E47DE" w14:textId="77777777" w:rsidR="009F33CD" w:rsidRDefault="00E40740">
            <w:pPr>
              <w:spacing w:after="240" w:line="240" w:lineRule="auto"/>
              <w:jc w:val="center"/>
              <w:rPr>
                <w:rFonts w:cs="Times New Roman"/>
                <w:lang w:val="en-US"/>
              </w:rPr>
            </w:pPr>
            <w:r>
              <w:rPr>
                <w:rFonts w:cs="Times New Roman"/>
                <w:lang w:val="en-US"/>
              </w:rPr>
              <w:t>.715</w:t>
            </w:r>
          </w:p>
        </w:tc>
        <w:tc>
          <w:tcPr>
            <w:tcW w:w="517" w:type="pct"/>
          </w:tcPr>
          <w:p w14:paraId="1BB80211" w14:textId="77777777" w:rsidR="009F33CD" w:rsidRDefault="00E40740">
            <w:pPr>
              <w:spacing w:after="240" w:line="240" w:lineRule="auto"/>
              <w:jc w:val="center"/>
              <w:rPr>
                <w:rFonts w:cs="Times New Roman"/>
                <w:lang w:val="en-US"/>
              </w:rPr>
            </w:pPr>
            <w:r>
              <w:rPr>
                <w:rFonts w:cs="Times New Roman"/>
                <w:lang w:val="en-US"/>
              </w:rPr>
              <w:t>.476</w:t>
            </w:r>
          </w:p>
        </w:tc>
      </w:tr>
      <w:tr w:rsidR="009F33CD" w14:paraId="51622AAC" w14:textId="77777777">
        <w:trPr>
          <w:cantSplit/>
        </w:trPr>
        <w:tc>
          <w:tcPr>
            <w:tcW w:w="282" w:type="pct"/>
            <w:vMerge w:val="restart"/>
          </w:tcPr>
          <w:p w14:paraId="5016D528" w14:textId="77777777" w:rsidR="009F33CD" w:rsidRDefault="00E40740">
            <w:pPr>
              <w:spacing w:after="240" w:line="240" w:lineRule="auto"/>
              <w:rPr>
                <w:rFonts w:cs="Times New Roman"/>
                <w:lang w:val="en-US"/>
              </w:rPr>
            </w:pPr>
            <w:r>
              <w:rPr>
                <w:rFonts w:cs="Times New Roman"/>
                <w:lang w:val="en-US"/>
              </w:rPr>
              <w:t>2</w:t>
            </w:r>
          </w:p>
        </w:tc>
        <w:tc>
          <w:tcPr>
            <w:tcW w:w="1147" w:type="pct"/>
          </w:tcPr>
          <w:p w14:paraId="16FC35A0" w14:textId="77777777" w:rsidR="009F33CD" w:rsidRDefault="00E40740">
            <w:pPr>
              <w:spacing w:after="240" w:line="240" w:lineRule="auto"/>
              <w:rPr>
                <w:rFonts w:cs="Times New Roman"/>
                <w:lang w:val="en-US"/>
              </w:rPr>
            </w:pPr>
            <w:r>
              <w:rPr>
                <w:rFonts w:cs="Times New Roman"/>
                <w:bCs/>
              </w:rPr>
              <w:t>(Constant)</w:t>
            </w:r>
          </w:p>
        </w:tc>
        <w:tc>
          <w:tcPr>
            <w:tcW w:w="698" w:type="pct"/>
          </w:tcPr>
          <w:p w14:paraId="64A209A6" w14:textId="77777777" w:rsidR="009F33CD" w:rsidRDefault="00E40740">
            <w:pPr>
              <w:spacing w:after="240" w:line="240" w:lineRule="auto"/>
              <w:jc w:val="center"/>
              <w:rPr>
                <w:rFonts w:cs="Times New Roman"/>
                <w:lang w:val="en-US"/>
              </w:rPr>
            </w:pPr>
            <w:r>
              <w:rPr>
                <w:rFonts w:cs="Times New Roman"/>
                <w:lang w:val="en-US"/>
              </w:rPr>
              <w:t>-.622</w:t>
            </w:r>
          </w:p>
        </w:tc>
        <w:tc>
          <w:tcPr>
            <w:tcW w:w="698" w:type="pct"/>
          </w:tcPr>
          <w:p w14:paraId="37590CEE" w14:textId="77777777" w:rsidR="009F33CD" w:rsidRDefault="00E40740">
            <w:pPr>
              <w:spacing w:after="240" w:line="240" w:lineRule="auto"/>
              <w:jc w:val="center"/>
              <w:rPr>
                <w:rFonts w:cs="Times New Roman"/>
                <w:lang w:val="en-US"/>
              </w:rPr>
            </w:pPr>
            <w:r>
              <w:rPr>
                <w:rFonts w:cs="Times New Roman"/>
                <w:lang w:val="en-US"/>
              </w:rPr>
              <w:t>.503</w:t>
            </w:r>
          </w:p>
        </w:tc>
        <w:tc>
          <w:tcPr>
            <w:tcW w:w="1233" w:type="pct"/>
            <w:vAlign w:val="center"/>
          </w:tcPr>
          <w:p w14:paraId="6E51E851" w14:textId="77777777" w:rsidR="009F33CD" w:rsidRDefault="009F33CD">
            <w:pPr>
              <w:spacing w:after="240" w:line="240" w:lineRule="auto"/>
              <w:jc w:val="center"/>
              <w:rPr>
                <w:rFonts w:cs="Times New Roman"/>
                <w:lang w:val="en-US"/>
              </w:rPr>
            </w:pPr>
          </w:p>
        </w:tc>
        <w:tc>
          <w:tcPr>
            <w:tcW w:w="425" w:type="pct"/>
          </w:tcPr>
          <w:p w14:paraId="574A4DCE" w14:textId="77777777" w:rsidR="009F33CD" w:rsidRDefault="00E40740">
            <w:pPr>
              <w:spacing w:after="240" w:line="240" w:lineRule="auto"/>
              <w:jc w:val="center"/>
              <w:rPr>
                <w:rFonts w:cs="Times New Roman"/>
                <w:lang w:val="en-US"/>
              </w:rPr>
            </w:pPr>
            <w:r>
              <w:rPr>
                <w:rFonts w:cs="Times New Roman"/>
                <w:lang w:val="en-US"/>
              </w:rPr>
              <w:t>-1.237</w:t>
            </w:r>
          </w:p>
        </w:tc>
        <w:tc>
          <w:tcPr>
            <w:tcW w:w="517" w:type="pct"/>
          </w:tcPr>
          <w:p w14:paraId="5897C4B5" w14:textId="77777777" w:rsidR="009F33CD" w:rsidRDefault="00E40740">
            <w:pPr>
              <w:spacing w:after="240" w:line="240" w:lineRule="auto"/>
              <w:jc w:val="center"/>
              <w:rPr>
                <w:rFonts w:cs="Times New Roman"/>
                <w:lang w:val="en-US"/>
              </w:rPr>
            </w:pPr>
            <w:r>
              <w:rPr>
                <w:rFonts w:cs="Times New Roman"/>
                <w:lang w:val="en-US"/>
              </w:rPr>
              <w:t>.219</w:t>
            </w:r>
          </w:p>
        </w:tc>
      </w:tr>
      <w:tr w:rsidR="009F33CD" w14:paraId="7EF2AEF9" w14:textId="77777777">
        <w:trPr>
          <w:cantSplit/>
        </w:trPr>
        <w:tc>
          <w:tcPr>
            <w:tcW w:w="282" w:type="pct"/>
            <w:vMerge/>
          </w:tcPr>
          <w:p w14:paraId="3E0BD6EF" w14:textId="77777777" w:rsidR="009F33CD" w:rsidRDefault="009F33CD">
            <w:pPr>
              <w:spacing w:after="240" w:line="240" w:lineRule="auto"/>
              <w:rPr>
                <w:rFonts w:cs="Times New Roman"/>
                <w:lang w:val="en-US"/>
              </w:rPr>
            </w:pPr>
          </w:p>
        </w:tc>
        <w:tc>
          <w:tcPr>
            <w:tcW w:w="1147" w:type="pct"/>
          </w:tcPr>
          <w:p w14:paraId="67416F7B"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1</w:t>
            </w:r>
          </w:p>
        </w:tc>
        <w:tc>
          <w:tcPr>
            <w:tcW w:w="698" w:type="pct"/>
          </w:tcPr>
          <w:p w14:paraId="545EA7A9" w14:textId="77777777" w:rsidR="009F33CD" w:rsidRDefault="00E40740">
            <w:pPr>
              <w:spacing w:after="240" w:line="240" w:lineRule="auto"/>
              <w:jc w:val="center"/>
              <w:rPr>
                <w:rFonts w:cs="Times New Roman"/>
                <w:lang w:val="en-US"/>
              </w:rPr>
            </w:pPr>
            <w:r>
              <w:rPr>
                <w:rFonts w:cs="Times New Roman"/>
                <w:lang w:val="en-US"/>
              </w:rPr>
              <w:t>.544</w:t>
            </w:r>
          </w:p>
        </w:tc>
        <w:tc>
          <w:tcPr>
            <w:tcW w:w="698" w:type="pct"/>
          </w:tcPr>
          <w:p w14:paraId="4E52E066" w14:textId="77777777" w:rsidR="009F33CD" w:rsidRDefault="00E40740">
            <w:pPr>
              <w:spacing w:after="240" w:line="240" w:lineRule="auto"/>
              <w:jc w:val="center"/>
              <w:rPr>
                <w:rFonts w:cs="Times New Roman"/>
                <w:lang w:val="en-US"/>
              </w:rPr>
            </w:pPr>
            <w:r>
              <w:rPr>
                <w:rFonts w:cs="Times New Roman"/>
                <w:lang w:val="en-US"/>
              </w:rPr>
              <w:t>.122</w:t>
            </w:r>
          </w:p>
        </w:tc>
        <w:tc>
          <w:tcPr>
            <w:tcW w:w="1233" w:type="pct"/>
          </w:tcPr>
          <w:p w14:paraId="5C77995F" w14:textId="77777777" w:rsidR="009F33CD" w:rsidRDefault="00E40740">
            <w:pPr>
              <w:spacing w:after="240" w:line="240" w:lineRule="auto"/>
              <w:jc w:val="center"/>
              <w:rPr>
                <w:rFonts w:cs="Times New Roman"/>
                <w:lang w:val="en-US"/>
              </w:rPr>
            </w:pPr>
            <w:r>
              <w:rPr>
                <w:rFonts w:cs="Times New Roman"/>
                <w:lang w:val="en-US"/>
              </w:rPr>
              <w:t>.402</w:t>
            </w:r>
          </w:p>
        </w:tc>
        <w:tc>
          <w:tcPr>
            <w:tcW w:w="425" w:type="pct"/>
          </w:tcPr>
          <w:p w14:paraId="7343B610" w14:textId="77777777" w:rsidR="009F33CD" w:rsidRDefault="00E40740">
            <w:pPr>
              <w:spacing w:after="240" w:line="240" w:lineRule="auto"/>
              <w:jc w:val="center"/>
              <w:rPr>
                <w:rFonts w:cs="Times New Roman"/>
                <w:lang w:val="en-US"/>
              </w:rPr>
            </w:pPr>
            <w:r>
              <w:rPr>
                <w:rFonts w:cs="Times New Roman"/>
                <w:lang w:val="en-US"/>
              </w:rPr>
              <w:t>4.468</w:t>
            </w:r>
          </w:p>
        </w:tc>
        <w:tc>
          <w:tcPr>
            <w:tcW w:w="517" w:type="pct"/>
          </w:tcPr>
          <w:p w14:paraId="07AC7AE1" w14:textId="77777777" w:rsidR="009F33CD" w:rsidRDefault="00E40740">
            <w:pPr>
              <w:spacing w:after="240" w:line="240" w:lineRule="auto"/>
              <w:jc w:val="center"/>
              <w:rPr>
                <w:rFonts w:cs="Times New Roman"/>
                <w:lang w:val="en-US"/>
              </w:rPr>
            </w:pPr>
            <w:r>
              <w:rPr>
                <w:rFonts w:cs="Times New Roman"/>
                <w:lang w:val="en-US"/>
              </w:rPr>
              <w:t>.000</w:t>
            </w:r>
          </w:p>
        </w:tc>
      </w:tr>
      <w:tr w:rsidR="009F33CD" w14:paraId="70897E4B" w14:textId="77777777">
        <w:trPr>
          <w:cantSplit/>
        </w:trPr>
        <w:tc>
          <w:tcPr>
            <w:tcW w:w="282" w:type="pct"/>
            <w:vMerge/>
          </w:tcPr>
          <w:p w14:paraId="3F2F9139" w14:textId="77777777" w:rsidR="009F33CD" w:rsidRDefault="009F33CD">
            <w:pPr>
              <w:spacing w:after="240" w:line="240" w:lineRule="auto"/>
              <w:rPr>
                <w:rFonts w:cs="Times New Roman"/>
                <w:lang w:val="en-US"/>
              </w:rPr>
            </w:pPr>
          </w:p>
        </w:tc>
        <w:tc>
          <w:tcPr>
            <w:tcW w:w="1147" w:type="pct"/>
          </w:tcPr>
          <w:p w14:paraId="1EE320D5"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2</w:t>
            </w:r>
          </w:p>
        </w:tc>
        <w:tc>
          <w:tcPr>
            <w:tcW w:w="698" w:type="pct"/>
          </w:tcPr>
          <w:p w14:paraId="0A6F5F27" w14:textId="77777777" w:rsidR="009F33CD" w:rsidRDefault="00E40740">
            <w:pPr>
              <w:spacing w:after="240" w:line="240" w:lineRule="auto"/>
              <w:jc w:val="center"/>
              <w:rPr>
                <w:rFonts w:cs="Times New Roman"/>
                <w:lang w:val="en-US"/>
              </w:rPr>
            </w:pPr>
            <w:r>
              <w:rPr>
                <w:rFonts w:cs="Times New Roman"/>
                <w:lang w:val="en-US"/>
              </w:rPr>
              <w:t>.201</w:t>
            </w:r>
          </w:p>
        </w:tc>
        <w:tc>
          <w:tcPr>
            <w:tcW w:w="698" w:type="pct"/>
          </w:tcPr>
          <w:p w14:paraId="6DA2117D" w14:textId="77777777" w:rsidR="009F33CD" w:rsidRDefault="00E40740">
            <w:pPr>
              <w:spacing w:after="240" w:line="240" w:lineRule="auto"/>
              <w:jc w:val="center"/>
              <w:rPr>
                <w:rFonts w:cs="Times New Roman"/>
                <w:lang w:val="en-US"/>
              </w:rPr>
            </w:pPr>
            <w:r>
              <w:rPr>
                <w:rFonts w:cs="Times New Roman"/>
                <w:lang w:val="en-US"/>
              </w:rPr>
              <w:t>.112</w:t>
            </w:r>
          </w:p>
        </w:tc>
        <w:tc>
          <w:tcPr>
            <w:tcW w:w="1233" w:type="pct"/>
          </w:tcPr>
          <w:p w14:paraId="7D85DCB2" w14:textId="77777777" w:rsidR="009F33CD" w:rsidRDefault="00E40740">
            <w:pPr>
              <w:spacing w:after="240" w:line="240" w:lineRule="auto"/>
              <w:jc w:val="center"/>
              <w:rPr>
                <w:rFonts w:cs="Times New Roman"/>
                <w:lang w:val="en-US"/>
              </w:rPr>
            </w:pPr>
            <w:r>
              <w:rPr>
                <w:rFonts w:cs="Times New Roman"/>
                <w:lang w:val="en-US"/>
              </w:rPr>
              <w:t>.175</w:t>
            </w:r>
          </w:p>
        </w:tc>
        <w:tc>
          <w:tcPr>
            <w:tcW w:w="425" w:type="pct"/>
          </w:tcPr>
          <w:p w14:paraId="13709546" w14:textId="77777777" w:rsidR="009F33CD" w:rsidRDefault="00E40740">
            <w:pPr>
              <w:spacing w:after="240" w:line="240" w:lineRule="auto"/>
              <w:jc w:val="center"/>
              <w:rPr>
                <w:rFonts w:cs="Times New Roman"/>
                <w:lang w:val="en-US"/>
              </w:rPr>
            </w:pPr>
            <w:r>
              <w:rPr>
                <w:rFonts w:cs="Times New Roman"/>
                <w:lang w:val="en-US"/>
              </w:rPr>
              <w:t>1.788</w:t>
            </w:r>
          </w:p>
        </w:tc>
        <w:tc>
          <w:tcPr>
            <w:tcW w:w="517" w:type="pct"/>
          </w:tcPr>
          <w:p w14:paraId="611B549A" w14:textId="77777777" w:rsidR="009F33CD" w:rsidRDefault="00E40740">
            <w:pPr>
              <w:spacing w:after="240" w:line="240" w:lineRule="auto"/>
              <w:jc w:val="center"/>
              <w:rPr>
                <w:rFonts w:cs="Times New Roman"/>
                <w:lang w:val="en-US"/>
              </w:rPr>
            </w:pPr>
            <w:r>
              <w:rPr>
                <w:rFonts w:cs="Times New Roman"/>
                <w:lang w:val="en-US"/>
              </w:rPr>
              <w:t>.006</w:t>
            </w:r>
          </w:p>
        </w:tc>
      </w:tr>
      <w:tr w:rsidR="009F33CD" w14:paraId="720C9439" w14:textId="77777777">
        <w:trPr>
          <w:cantSplit/>
        </w:trPr>
        <w:tc>
          <w:tcPr>
            <w:tcW w:w="282" w:type="pct"/>
            <w:vMerge/>
          </w:tcPr>
          <w:p w14:paraId="65BF0818" w14:textId="77777777" w:rsidR="009F33CD" w:rsidRDefault="009F33CD">
            <w:pPr>
              <w:spacing w:after="240" w:line="240" w:lineRule="auto"/>
              <w:rPr>
                <w:rFonts w:cs="Times New Roman"/>
                <w:lang w:val="en-US"/>
              </w:rPr>
            </w:pPr>
          </w:p>
        </w:tc>
        <w:tc>
          <w:tcPr>
            <w:tcW w:w="1147" w:type="pct"/>
          </w:tcPr>
          <w:p w14:paraId="6CA65C81"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3</w:t>
            </w:r>
          </w:p>
        </w:tc>
        <w:tc>
          <w:tcPr>
            <w:tcW w:w="698" w:type="pct"/>
          </w:tcPr>
          <w:p w14:paraId="4537AE42" w14:textId="77777777" w:rsidR="009F33CD" w:rsidRDefault="00E40740">
            <w:pPr>
              <w:spacing w:after="240" w:line="240" w:lineRule="auto"/>
              <w:jc w:val="center"/>
              <w:rPr>
                <w:rFonts w:cs="Times New Roman"/>
                <w:lang w:val="en-US"/>
              </w:rPr>
            </w:pPr>
            <w:r>
              <w:rPr>
                <w:rFonts w:cs="Times New Roman"/>
                <w:lang w:val="en-US"/>
              </w:rPr>
              <w:t>.394</w:t>
            </w:r>
          </w:p>
        </w:tc>
        <w:tc>
          <w:tcPr>
            <w:tcW w:w="698" w:type="pct"/>
          </w:tcPr>
          <w:p w14:paraId="0424FB50" w14:textId="77777777" w:rsidR="009F33CD" w:rsidRDefault="00E40740">
            <w:pPr>
              <w:spacing w:after="240" w:line="240" w:lineRule="auto"/>
              <w:jc w:val="center"/>
              <w:rPr>
                <w:rFonts w:cs="Times New Roman"/>
                <w:lang w:val="en-US"/>
              </w:rPr>
            </w:pPr>
            <w:r>
              <w:rPr>
                <w:rFonts w:cs="Times New Roman"/>
                <w:lang w:val="en-US"/>
              </w:rPr>
              <w:t>.134</w:t>
            </w:r>
          </w:p>
        </w:tc>
        <w:tc>
          <w:tcPr>
            <w:tcW w:w="1233" w:type="pct"/>
          </w:tcPr>
          <w:p w14:paraId="19C9DDAB" w14:textId="77777777" w:rsidR="009F33CD" w:rsidRDefault="00E40740">
            <w:pPr>
              <w:spacing w:after="240" w:line="240" w:lineRule="auto"/>
              <w:jc w:val="center"/>
              <w:rPr>
                <w:rFonts w:cs="Times New Roman"/>
                <w:lang w:val="en-US"/>
              </w:rPr>
            </w:pPr>
            <w:r>
              <w:rPr>
                <w:rFonts w:cs="Times New Roman"/>
                <w:lang w:val="en-US"/>
              </w:rPr>
              <w:t>.334</w:t>
            </w:r>
          </w:p>
        </w:tc>
        <w:tc>
          <w:tcPr>
            <w:tcW w:w="425" w:type="pct"/>
          </w:tcPr>
          <w:p w14:paraId="7049A609" w14:textId="77777777" w:rsidR="009F33CD" w:rsidRDefault="00E40740">
            <w:pPr>
              <w:spacing w:after="240" w:line="240" w:lineRule="auto"/>
              <w:jc w:val="center"/>
              <w:rPr>
                <w:rFonts w:cs="Times New Roman"/>
                <w:lang w:val="en-US"/>
              </w:rPr>
            </w:pPr>
            <w:r>
              <w:rPr>
                <w:rFonts w:cs="Times New Roman"/>
                <w:lang w:val="en-US"/>
              </w:rPr>
              <w:t>2.945</w:t>
            </w:r>
          </w:p>
        </w:tc>
        <w:tc>
          <w:tcPr>
            <w:tcW w:w="517" w:type="pct"/>
          </w:tcPr>
          <w:p w14:paraId="54739AF5" w14:textId="77777777" w:rsidR="009F33CD" w:rsidRDefault="00E40740">
            <w:pPr>
              <w:spacing w:after="240" w:line="240" w:lineRule="auto"/>
              <w:jc w:val="center"/>
              <w:rPr>
                <w:rFonts w:cs="Times New Roman"/>
                <w:lang w:val="en-US"/>
              </w:rPr>
            </w:pPr>
            <w:r>
              <w:rPr>
                <w:rFonts w:cs="Times New Roman"/>
                <w:lang w:val="en-US"/>
              </w:rPr>
              <w:t>.004</w:t>
            </w:r>
          </w:p>
        </w:tc>
      </w:tr>
      <w:tr w:rsidR="009F33CD" w14:paraId="65C10FAC" w14:textId="77777777">
        <w:trPr>
          <w:cantSplit/>
        </w:trPr>
        <w:tc>
          <w:tcPr>
            <w:tcW w:w="282" w:type="pct"/>
            <w:vMerge/>
          </w:tcPr>
          <w:p w14:paraId="679F4C23" w14:textId="77777777" w:rsidR="009F33CD" w:rsidRDefault="009F33CD">
            <w:pPr>
              <w:spacing w:after="240" w:line="240" w:lineRule="auto"/>
              <w:rPr>
                <w:rFonts w:cs="Times New Roman"/>
                <w:lang w:val="en-US"/>
              </w:rPr>
            </w:pPr>
          </w:p>
        </w:tc>
        <w:tc>
          <w:tcPr>
            <w:tcW w:w="1147" w:type="pct"/>
          </w:tcPr>
          <w:p w14:paraId="6538B740" w14:textId="77777777" w:rsidR="009F33CD" w:rsidRDefault="00E40740">
            <w:pPr>
              <w:spacing w:after="240" w:line="240" w:lineRule="auto"/>
              <w:rPr>
                <w:rFonts w:cs="Times New Roman"/>
                <w:lang w:val="en-US"/>
              </w:rPr>
            </w:pPr>
            <w:r>
              <w:rPr>
                <w:rFonts w:cs="Times New Roman"/>
                <w:bCs/>
              </w:rPr>
              <w:t>X</w:t>
            </w:r>
            <w:r>
              <w:rPr>
                <w:rFonts w:cs="Times New Roman"/>
                <w:bCs/>
                <w:vertAlign w:val="subscript"/>
              </w:rPr>
              <w:t>4</w:t>
            </w:r>
          </w:p>
        </w:tc>
        <w:tc>
          <w:tcPr>
            <w:tcW w:w="698" w:type="pct"/>
          </w:tcPr>
          <w:p w14:paraId="4BDAF89A" w14:textId="77777777" w:rsidR="009F33CD" w:rsidRDefault="00E40740">
            <w:pPr>
              <w:spacing w:after="240" w:line="240" w:lineRule="auto"/>
              <w:jc w:val="center"/>
              <w:rPr>
                <w:rFonts w:cs="Times New Roman"/>
                <w:lang w:val="en-US"/>
              </w:rPr>
            </w:pPr>
            <w:r>
              <w:rPr>
                <w:rFonts w:cs="Times New Roman"/>
                <w:lang w:val="en-US"/>
              </w:rPr>
              <w:t>.122</w:t>
            </w:r>
          </w:p>
        </w:tc>
        <w:tc>
          <w:tcPr>
            <w:tcW w:w="698" w:type="pct"/>
          </w:tcPr>
          <w:p w14:paraId="2A800A6E" w14:textId="77777777" w:rsidR="009F33CD" w:rsidRDefault="00E40740">
            <w:pPr>
              <w:spacing w:after="240" w:line="240" w:lineRule="auto"/>
              <w:jc w:val="center"/>
              <w:rPr>
                <w:rFonts w:cs="Times New Roman"/>
                <w:lang w:val="en-US"/>
              </w:rPr>
            </w:pPr>
            <w:r>
              <w:rPr>
                <w:rFonts w:cs="Times New Roman"/>
                <w:lang w:val="en-US"/>
              </w:rPr>
              <w:t>.129</w:t>
            </w:r>
          </w:p>
        </w:tc>
        <w:tc>
          <w:tcPr>
            <w:tcW w:w="1233" w:type="pct"/>
          </w:tcPr>
          <w:p w14:paraId="0D1CF9AD" w14:textId="77777777" w:rsidR="009F33CD" w:rsidRDefault="00E40740">
            <w:pPr>
              <w:spacing w:after="240" w:line="240" w:lineRule="auto"/>
              <w:jc w:val="center"/>
              <w:rPr>
                <w:rFonts w:cs="Times New Roman"/>
                <w:lang w:val="en-US"/>
              </w:rPr>
            </w:pPr>
            <w:r>
              <w:rPr>
                <w:rFonts w:cs="Times New Roman"/>
                <w:lang w:val="en-US"/>
              </w:rPr>
              <w:t>.084</w:t>
            </w:r>
          </w:p>
        </w:tc>
        <w:tc>
          <w:tcPr>
            <w:tcW w:w="425" w:type="pct"/>
          </w:tcPr>
          <w:p w14:paraId="2BA321EA" w14:textId="77777777" w:rsidR="009F33CD" w:rsidRDefault="00E40740">
            <w:pPr>
              <w:spacing w:after="240" w:line="240" w:lineRule="auto"/>
              <w:jc w:val="center"/>
              <w:rPr>
                <w:rFonts w:cs="Times New Roman"/>
                <w:lang w:val="en-US"/>
              </w:rPr>
            </w:pPr>
            <w:r>
              <w:rPr>
                <w:rFonts w:cs="Times New Roman"/>
                <w:lang w:val="en-US"/>
              </w:rPr>
              <w:t>.941</w:t>
            </w:r>
          </w:p>
        </w:tc>
        <w:tc>
          <w:tcPr>
            <w:tcW w:w="517" w:type="pct"/>
          </w:tcPr>
          <w:p w14:paraId="2C58CD19" w14:textId="77777777" w:rsidR="009F33CD" w:rsidRDefault="00E40740">
            <w:pPr>
              <w:spacing w:after="240" w:line="240" w:lineRule="auto"/>
              <w:jc w:val="center"/>
              <w:rPr>
                <w:rFonts w:cs="Times New Roman"/>
                <w:lang w:val="en-US"/>
              </w:rPr>
            </w:pPr>
            <w:r>
              <w:rPr>
                <w:rFonts w:cs="Times New Roman"/>
                <w:lang w:val="en-US"/>
              </w:rPr>
              <w:t>.348</w:t>
            </w:r>
          </w:p>
        </w:tc>
      </w:tr>
      <w:tr w:rsidR="009F33CD" w14:paraId="47C21BDB" w14:textId="77777777">
        <w:trPr>
          <w:cantSplit/>
        </w:trPr>
        <w:tc>
          <w:tcPr>
            <w:tcW w:w="282" w:type="pct"/>
            <w:vMerge/>
            <w:tcBorders>
              <w:bottom w:val="single" w:sz="4" w:space="0" w:color="auto"/>
            </w:tcBorders>
          </w:tcPr>
          <w:p w14:paraId="3A832049" w14:textId="77777777" w:rsidR="009F33CD" w:rsidRDefault="009F33CD">
            <w:pPr>
              <w:spacing w:after="240" w:line="240" w:lineRule="auto"/>
              <w:rPr>
                <w:rFonts w:cs="Times New Roman"/>
                <w:lang w:val="en-US"/>
              </w:rPr>
            </w:pPr>
          </w:p>
        </w:tc>
        <w:tc>
          <w:tcPr>
            <w:tcW w:w="1147" w:type="pct"/>
          </w:tcPr>
          <w:p w14:paraId="537A7273" w14:textId="77777777" w:rsidR="009F33CD" w:rsidRDefault="00E40740">
            <w:pPr>
              <w:spacing w:after="240" w:line="240" w:lineRule="auto"/>
              <w:rPr>
                <w:rFonts w:cs="Times New Roman"/>
                <w:lang w:val="en-US"/>
              </w:rPr>
            </w:pPr>
            <w:r>
              <w:rPr>
                <w:rFonts w:cs="Times New Roman"/>
              </w:rPr>
              <w:t>GHRM- Contingency</w:t>
            </w:r>
          </w:p>
        </w:tc>
        <w:tc>
          <w:tcPr>
            <w:tcW w:w="698" w:type="pct"/>
            <w:tcBorders>
              <w:bottom w:val="single" w:sz="4" w:space="0" w:color="auto"/>
            </w:tcBorders>
          </w:tcPr>
          <w:p w14:paraId="1B858F21" w14:textId="77777777" w:rsidR="009F33CD" w:rsidRDefault="00E40740">
            <w:pPr>
              <w:spacing w:after="240" w:line="240" w:lineRule="auto"/>
              <w:jc w:val="center"/>
              <w:rPr>
                <w:rFonts w:cs="Times New Roman"/>
                <w:lang w:val="en-US"/>
              </w:rPr>
            </w:pPr>
            <w:r>
              <w:rPr>
                <w:rFonts w:cs="Times New Roman"/>
                <w:lang w:val="en-US"/>
              </w:rPr>
              <w:t>.012</w:t>
            </w:r>
          </w:p>
        </w:tc>
        <w:tc>
          <w:tcPr>
            <w:tcW w:w="698" w:type="pct"/>
            <w:tcBorders>
              <w:bottom w:val="single" w:sz="4" w:space="0" w:color="auto"/>
            </w:tcBorders>
          </w:tcPr>
          <w:p w14:paraId="6DD0A74C" w14:textId="77777777" w:rsidR="009F33CD" w:rsidRDefault="00E40740">
            <w:pPr>
              <w:spacing w:after="240" w:line="240" w:lineRule="auto"/>
              <w:jc w:val="center"/>
              <w:rPr>
                <w:rFonts w:cs="Times New Roman"/>
                <w:lang w:val="en-US"/>
              </w:rPr>
            </w:pPr>
            <w:r>
              <w:rPr>
                <w:rFonts w:cs="Times New Roman"/>
                <w:lang w:val="en-US"/>
              </w:rPr>
              <w:t>.000</w:t>
            </w:r>
          </w:p>
        </w:tc>
        <w:tc>
          <w:tcPr>
            <w:tcW w:w="1233" w:type="pct"/>
            <w:tcBorders>
              <w:bottom w:val="single" w:sz="4" w:space="0" w:color="auto"/>
            </w:tcBorders>
          </w:tcPr>
          <w:p w14:paraId="78AF054B" w14:textId="77777777" w:rsidR="009F33CD" w:rsidRDefault="00E40740">
            <w:pPr>
              <w:spacing w:after="240" w:line="240" w:lineRule="auto"/>
              <w:jc w:val="center"/>
              <w:rPr>
                <w:rFonts w:cs="Times New Roman"/>
                <w:lang w:val="en-US"/>
              </w:rPr>
            </w:pPr>
            <w:r>
              <w:rPr>
                <w:rFonts w:cs="Times New Roman"/>
                <w:lang w:val="en-US"/>
              </w:rPr>
              <w:t>-.092</w:t>
            </w:r>
          </w:p>
        </w:tc>
        <w:tc>
          <w:tcPr>
            <w:tcW w:w="425" w:type="pct"/>
            <w:tcBorders>
              <w:bottom w:val="single" w:sz="4" w:space="0" w:color="auto"/>
            </w:tcBorders>
          </w:tcPr>
          <w:p w14:paraId="6D6B03A8" w14:textId="77777777" w:rsidR="009F33CD" w:rsidRDefault="00E40740">
            <w:pPr>
              <w:spacing w:after="240" w:line="240" w:lineRule="auto"/>
              <w:jc w:val="center"/>
              <w:rPr>
                <w:rFonts w:cs="Times New Roman"/>
                <w:lang w:val="en-US"/>
              </w:rPr>
            </w:pPr>
            <w:r>
              <w:rPr>
                <w:rFonts w:cs="Times New Roman"/>
                <w:lang w:val="en-US"/>
              </w:rPr>
              <w:t>.722</w:t>
            </w:r>
          </w:p>
        </w:tc>
        <w:tc>
          <w:tcPr>
            <w:tcW w:w="517" w:type="pct"/>
            <w:tcBorders>
              <w:bottom w:val="single" w:sz="4" w:space="0" w:color="auto"/>
            </w:tcBorders>
          </w:tcPr>
          <w:p w14:paraId="3D783626" w14:textId="77777777" w:rsidR="009F33CD" w:rsidRDefault="00E40740">
            <w:pPr>
              <w:spacing w:after="240" w:line="240" w:lineRule="auto"/>
              <w:jc w:val="center"/>
              <w:rPr>
                <w:rFonts w:cs="Times New Roman"/>
                <w:lang w:val="en-US"/>
              </w:rPr>
            </w:pPr>
            <w:r>
              <w:rPr>
                <w:rFonts w:cs="Times New Roman"/>
                <w:lang w:val="en-US"/>
              </w:rPr>
              <w:t>.472</w:t>
            </w:r>
          </w:p>
        </w:tc>
      </w:tr>
      <w:tr w:rsidR="009F33CD" w14:paraId="0E84F48C" w14:textId="77777777">
        <w:trPr>
          <w:cantSplit/>
        </w:trPr>
        <w:tc>
          <w:tcPr>
            <w:tcW w:w="5000" w:type="pct"/>
            <w:gridSpan w:val="7"/>
            <w:tcBorders>
              <w:top w:val="single" w:sz="4" w:space="0" w:color="auto"/>
              <w:bottom w:val="nil"/>
            </w:tcBorders>
          </w:tcPr>
          <w:p w14:paraId="7CB38868" w14:textId="77777777" w:rsidR="009F33CD" w:rsidRDefault="00E40740">
            <w:pPr>
              <w:spacing w:after="240" w:line="240" w:lineRule="auto"/>
              <w:rPr>
                <w:rFonts w:cs="Times New Roman"/>
                <w:lang w:val="en-US"/>
              </w:rPr>
            </w:pPr>
            <w:r>
              <w:rPr>
                <w:rFonts w:cs="Times New Roman"/>
                <w:lang w:val="en-US"/>
              </w:rPr>
              <w:t>a. Dependent Variable: Yi</w:t>
            </w:r>
          </w:p>
        </w:tc>
      </w:tr>
    </w:tbl>
    <w:p w14:paraId="1DA64E97" w14:textId="77777777" w:rsidR="009F33CD" w:rsidRDefault="00E40740">
      <w:pPr>
        <w:spacing w:after="240"/>
        <w:rPr>
          <w:rFonts w:cs="Times New Roman"/>
          <w:lang w:val="en-US"/>
        </w:rPr>
      </w:pPr>
      <w:r>
        <w:rPr>
          <w:rFonts w:cs="Times New Roman"/>
          <w:lang w:val="en-US"/>
        </w:rPr>
        <w:t>From Table 4.5</w:t>
      </w:r>
      <w:r w:rsidR="008444FB">
        <w:rPr>
          <w:rFonts w:cs="Times New Roman"/>
          <w:lang w:val="en-US"/>
        </w:rPr>
        <w:t>3</w:t>
      </w:r>
      <w:r>
        <w:rPr>
          <w:rFonts w:cs="Times New Roman"/>
          <w:lang w:val="en-US"/>
        </w:rPr>
        <w:t>, the regression coefficients moderated by contingency management style show: that X</w:t>
      </w:r>
      <w:r>
        <w:rPr>
          <w:rFonts w:cs="Times New Roman"/>
          <w:vertAlign w:val="subscript"/>
          <w:lang w:val="en-US"/>
        </w:rPr>
        <w:t>1</w:t>
      </w:r>
      <w:r>
        <w:rPr>
          <w:rFonts w:cs="Times New Roman"/>
          <w:lang w:val="en-US"/>
        </w:rPr>
        <w:t xml:space="preserve"> (β = .402, p &lt; .001) and X</w:t>
      </w:r>
      <w:r>
        <w:rPr>
          <w:rFonts w:cs="Times New Roman"/>
          <w:vertAlign w:val="subscript"/>
          <w:lang w:val="en-US"/>
        </w:rPr>
        <w:t>3</w:t>
      </w:r>
      <w:r>
        <w:rPr>
          <w:rFonts w:cs="Times New Roman"/>
          <w:lang w:val="en-US"/>
        </w:rPr>
        <w:t xml:space="preserve"> (β = .334, p = .004) remain significant, while GHRM- Contingency (β = -.092, p = .472) is not significant, indicating that the contingency style does not have a strong moderating effect. X</w:t>
      </w:r>
      <w:r>
        <w:rPr>
          <w:rFonts w:cs="Times New Roman"/>
          <w:vertAlign w:val="subscript"/>
          <w:lang w:val="en-US"/>
        </w:rPr>
        <w:t>2</w:t>
      </w:r>
      <w:r>
        <w:rPr>
          <w:rFonts w:cs="Times New Roman"/>
          <w:lang w:val="en-US"/>
        </w:rPr>
        <w:t xml:space="preserve"> (β = .175, p = .006) and X</w:t>
      </w:r>
      <w:r>
        <w:rPr>
          <w:rFonts w:cs="Times New Roman"/>
          <w:vertAlign w:val="subscript"/>
          <w:lang w:val="en-US"/>
        </w:rPr>
        <w:t>4</w:t>
      </w:r>
      <w:r>
        <w:rPr>
          <w:rFonts w:cs="Times New Roman"/>
          <w:lang w:val="en-US"/>
        </w:rPr>
        <w:t xml:space="preserve"> (β = .084, p = .348) also show a weak significant influence on the relationship between green human resource management practices and the performance of devolved healthcare services in Kenya.</w:t>
      </w:r>
    </w:p>
    <w:p w14:paraId="1021C562" w14:textId="77777777" w:rsidR="009F33CD" w:rsidRDefault="00E40740">
      <w:pPr>
        <w:rPr>
          <w:rFonts w:cs="Times New Roman"/>
          <w:lang w:val="en-US"/>
        </w:rPr>
      </w:pPr>
      <w:r>
        <w:rPr>
          <w:rFonts w:cs="Times New Roman"/>
          <w:lang w:val="en-US"/>
        </w:rPr>
        <w:t xml:space="preserve">Based on the statistical analysis, bureaucratic management style has the strongest moderating effect on the relationship between green human resource management practices and the performance of devolved healthcare services in Kenya. This is evidenced by the significant increase in R² and the meaningful influence of the Bureaucratic style on several predictors (especially green training and green performance evaluation) in the regression model. While participative management style also demonstrates some moderating influence, its effect is relatively weaker, while contingency management style, although statistically significant in model fit, does not appear to strongly moderate the relationship, especially when considering the lack of significance for the GHRM-Contingency variable. Thus, the bureaucratic </w:t>
      </w:r>
      <w:r>
        <w:rPr>
          <w:rFonts w:cs="Times New Roman"/>
          <w:lang w:val="en-US"/>
        </w:rPr>
        <w:lastRenderedPageBreak/>
        <w:t xml:space="preserve">management style is the most influential in moderating the effect of </w:t>
      </w:r>
      <w:bookmarkStart w:id="1613" w:name="_Hlk185494404"/>
      <w:r>
        <w:rPr>
          <w:rFonts w:cs="Times New Roman"/>
          <w:lang w:val="en-US"/>
        </w:rPr>
        <w:t>green human resource management practices on the performance of devolved healthcare services in Kenya.</w:t>
      </w:r>
      <w:bookmarkEnd w:id="1613"/>
    </w:p>
    <w:p w14:paraId="7A9E01DC" w14:textId="77777777" w:rsidR="009F33CD" w:rsidRDefault="00E40740">
      <w:pPr>
        <w:pStyle w:val="Heading2"/>
        <w:rPr>
          <w:lang w:val="en-GB"/>
        </w:rPr>
      </w:pPr>
      <w:bookmarkStart w:id="1614" w:name="_Toc147950257"/>
      <w:bookmarkStart w:id="1615" w:name="_Toc224237760"/>
      <w:r>
        <w:rPr>
          <w:rFonts w:eastAsia="SimSun"/>
          <w:lang w:val="en-GB"/>
        </w:rPr>
        <w:t xml:space="preserve">4.13 Findings for </w:t>
      </w:r>
      <w:r>
        <w:rPr>
          <w:lang w:val="en-GB"/>
        </w:rPr>
        <w:t>Performance of Devolved Healthcare Services</w:t>
      </w:r>
      <w:bookmarkEnd w:id="1614"/>
      <w:r>
        <w:rPr>
          <w:lang w:val="en-GB"/>
        </w:rPr>
        <w:t xml:space="preserve"> in Kenya</w:t>
      </w:r>
      <w:bookmarkEnd w:id="1615"/>
    </w:p>
    <w:p w14:paraId="1ABA5D25" w14:textId="77777777" w:rsidR="002E7E4A" w:rsidRDefault="00E40740">
      <w:pPr>
        <w:autoSpaceDE/>
        <w:autoSpaceDN/>
        <w:adjustRightInd/>
        <w:spacing w:after="200"/>
        <w:rPr>
          <w:rFonts w:cs="Times New Roman"/>
          <w:bCs/>
          <w:szCs w:val="24"/>
        </w:rPr>
      </w:pPr>
      <w:r>
        <w:rPr>
          <w:rFonts w:eastAsia="TimesNewRomanPSMT"/>
        </w:rPr>
        <w:t xml:space="preserve">The performance of devolved healthcare services is important because it enables a hospital to achieve its desired objectives and enhances environmental sustainability. </w:t>
      </w:r>
      <w:bookmarkStart w:id="1616" w:name="_Hlk174339570"/>
      <w:r>
        <w:rPr>
          <w:rFonts w:cs="Times New Roman"/>
          <w:bCs/>
          <w:szCs w:val="24"/>
        </w:rPr>
        <w:t xml:space="preserve">This section, therefore, requested the respondents to provide their honest opinion on the statements based on the following scale: </w:t>
      </w:r>
      <w:r>
        <w:t>1- Strongly Disagree (SD); 2- Disagree (D); 3- Undecided (UD); 4- Agree (A); and 5- Strongly Agree (SA). The results were anal</w:t>
      </w:r>
      <w:r w:rsidR="008444FB">
        <w:t>yzed and presented in Table 4.54</w:t>
      </w:r>
      <w:r>
        <w:t xml:space="preserve">. </w:t>
      </w:r>
      <w:r>
        <w:rPr>
          <w:rFonts w:cs="Times New Roman"/>
          <w:bCs/>
          <w:szCs w:val="24"/>
        </w:rPr>
        <w:t>The mean (M) and standard deviation (Sd) were applied to describe central tendency and dispersion respectively.</w:t>
      </w:r>
    </w:p>
    <w:p w14:paraId="7A94109B" w14:textId="77777777" w:rsidR="009F33CD" w:rsidRDefault="008444FB">
      <w:pPr>
        <w:pStyle w:val="Heading6"/>
      </w:pPr>
      <w:bookmarkStart w:id="1617" w:name="_Toc185614158"/>
      <w:bookmarkStart w:id="1618" w:name="_Toc178942696"/>
      <w:bookmarkStart w:id="1619" w:name="_Toc139987501"/>
      <w:bookmarkStart w:id="1620" w:name="_Toc178945106"/>
      <w:bookmarkStart w:id="1621" w:name="_Toc187080930"/>
      <w:bookmarkStart w:id="1622" w:name="_Toc147950258"/>
      <w:bookmarkStart w:id="1623" w:name="_Toc165626443"/>
      <w:bookmarkStart w:id="1624" w:name="_Toc139981673"/>
      <w:bookmarkStart w:id="1625" w:name="_Toc139986474"/>
      <w:bookmarkStart w:id="1626" w:name="_Toc147946919"/>
      <w:bookmarkStart w:id="1627" w:name="_Toc224237483"/>
      <w:bookmarkEnd w:id="1616"/>
      <w:r>
        <w:t>Table 4.54</w:t>
      </w:r>
      <w:r w:rsidR="00E40740">
        <w:t>: Performance of Devolved Healthcare Services</w:t>
      </w:r>
      <w:bookmarkEnd w:id="1617"/>
      <w:bookmarkEnd w:id="1618"/>
      <w:bookmarkEnd w:id="1619"/>
      <w:bookmarkEnd w:id="1620"/>
      <w:bookmarkEnd w:id="1621"/>
      <w:bookmarkEnd w:id="1622"/>
      <w:bookmarkEnd w:id="1623"/>
      <w:bookmarkEnd w:id="1624"/>
      <w:bookmarkEnd w:id="1625"/>
      <w:bookmarkEnd w:id="1626"/>
      <w:bookmarkEnd w:id="1627"/>
    </w:p>
    <w:tbl>
      <w:tblPr>
        <w:tblW w:w="5000" w:type="pct"/>
        <w:tblBorders>
          <w:top w:val="single" w:sz="4" w:space="0" w:color="auto"/>
          <w:bottom w:val="single" w:sz="4" w:space="0" w:color="auto"/>
        </w:tblBorders>
        <w:tblLook w:val="04A0" w:firstRow="1" w:lastRow="0" w:firstColumn="1" w:lastColumn="0" w:noHBand="0" w:noVBand="1"/>
      </w:tblPr>
      <w:tblGrid>
        <w:gridCol w:w="3133"/>
        <w:gridCol w:w="766"/>
        <w:gridCol w:w="689"/>
        <w:gridCol w:w="804"/>
        <w:gridCol w:w="804"/>
        <w:gridCol w:w="804"/>
        <w:gridCol w:w="612"/>
        <w:gridCol w:w="608"/>
      </w:tblGrid>
      <w:tr w:rsidR="009F33CD" w14:paraId="4B71254E" w14:textId="77777777">
        <w:trPr>
          <w:trHeight w:val="296"/>
        </w:trPr>
        <w:tc>
          <w:tcPr>
            <w:tcW w:w="1906" w:type="pct"/>
            <w:tcBorders>
              <w:top w:val="single" w:sz="4" w:space="0" w:color="auto"/>
              <w:bottom w:val="single" w:sz="4" w:space="0" w:color="auto"/>
            </w:tcBorders>
          </w:tcPr>
          <w:p w14:paraId="1D4E050B" w14:textId="77777777" w:rsidR="009F33CD" w:rsidRDefault="00E40740">
            <w:pPr>
              <w:spacing w:before="0" w:beforeAutospacing="0" w:after="0" w:afterAutospacing="0" w:line="240" w:lineRule="auto"/>
              <w:rPr>
                <w:rFonts w:eastAsia="TimesNewRomanPSMT" w:cs="Times New Roman"/>
                <w:b/>
                <w:sz w:val="22"/>
                <w:szCs w:val="22"/>
              </w:rPr>
            </w:pPr>
            <w:bookmarkStart w:id="1628" w:name="_Hlk139548361"/>
            <w:r>
              <w:rPr>
                <w:rFonts w:eastAsia="Times New Roman" w:cs="Times New Roman"/>
                <w:b/>
                <w:sz w:val="22"/>
                <w:szCs w:val="22"/>
              </w:rPr>
              <w:t xml:space="preserve">Performance of Healthcare services </w:t>
            </w:r>
            <w:bookmarkEnd w:id="1628"/>
          </w:p>
        </w:tc>
        <w:tc>
          <w:tcPr>
            <w:tcW w:w="466" w:type="pct"/>
            <w:tcBorders>
              <w:top w:val="single" w:sz="4" w:space="0" w:color="auto"/>
              <w:bottom w:val="single" w:sz="4" w:space="0" w:color="auto"/>
            </w:tcBorders>
          </w:tcPr>
          <w:p w14:paraId="55243EDA"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1</w:t>
            </w:r>
          </w:p>
        </w:tc>
        <w:tc>
          <w:tcPr>
            <w:tcW w:w="419" w:type="pct"/>
            <w:tcBorders>
              <w:top w:val="single" w:sz="4" w:space="0" w:color="auto"/>
              <w:bottom w:val="single" w:sz="4" w:space="0" w:color="auto"/>
            </w:tcBorders>
          </w:tcPr>
          <w:p w14:paraId="6A8C1273"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2</w:t>
            </w:r>
          </w:p>
        </w:tc>
        <w:tc>
          <w:tcPr>
            <w:tcW w:w="489" w:type="pct"/>
            <w:tcBorders>
              <w:top w:val="single" w:sz="4" w:space="0" w:color="auto"/>
              <w:bottom w:val="single" w:sz="4" w:space="0" w:color="auto"/>
            </w:tcBorders>
          </w:tcPr>
          <w:p w14:paraId="1AACBD24"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3</w:t>
            </w:r>
          </w:p>
        </w:tc>
        <w:tc>
          <w:tcPr>
            <w:tcW w:w="489" w:type="pct"/>
            <w:tcBorders>
              <w:top w:val="single" w:sz="4" w:space="0" w:color="auto"/>
              <w:bottom w:val="single" w:sz="4" w:space="0" w:color="auto"/>
            </w:tcBorders>
          </w:tcPr>
          <w:p w14:paraId="6FE0CF1D"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4</w:t>
            </w:r>
          </w:p>
        </w:tc>
        <w:tc>
          <w:tcPr>
            <w:tcW w:w="489" w:type="pct"/>
            <w:tcBorders>
              <w:top w:val="single" w:sz="4" w:space="0" w:color="auto"/>
              <w:bottom w:val="single" w:sz="4" w:space="0" w:color="auto"/>
            </w:tcBorders>
          </w:tcPr>
          <w:p w14:paraId="1E767EDA"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5</w:t>
            </w:r>
          </w:p>
        </w:tc>
        <w:tc>
          <w:tcPr>
            <w:tcW w:w="372" w:type="pct"/>
            <w:tcBorders>
              <w:top w:val="single" w:sz="4" w:space="0" w:color="auto"/>
              <w:bottom w:val="single" w:sz="4" w:space="0" w:color="auto"/>
            </w:tcBorders>
          </w:tcPr>
          <w:p w14:paraId="42ED39A7"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M</w:t>
            </w:r>
          </w:p>
        </w:tc>
        <w:tc>
          <w:tcPr>
            <w:tcW w:w="372" w:type="pct"/>
            <w:tcBorders>
              <w:top w:val="single" w:sz="4" w:space="0" w:color="auto"/>
              <w:bottom w:val="single" w:sz="4" w:space="0" w:color="auto"/>
            </w:tcBorders>
          </w:tcPr>
          <w:p w14:paraId="21C987F2" w14:textId="77777777" w:rsidR="009F33CD" w:rsidRDefault="00E40740">
            <w:pPr>
              <w:spacing w:before="0" w:beforeAutospacing="0" w:after="0" w:afterAutospacing="0" w:line="240" w:lineRule="auto"/>
              <w:rPr>
                <w:rFonts w:eastAsia="TimesNewRomanPSMT" w:cs="Times New Roman"/>
                <w:b/>
                <w:sz w:val="22"/>
                <w:szCs w:val="22"/>
              </w:rPr>
            </w:pPr>
            <w:r>
              <w:rPr>
                <w:rFonts w:eastAsia="TimesNewRomanPSMT" w:cs="Times New Roman"/>
                <w:b/>
                <w:sz w:val="22"/>
                <w:szCs w:val="22"/>
              </w:rPr>
              <w:t>Sd</w:t>
            </w:r>
          </w:p>
        </w:tc>
      </w:tr>
      <w:tr w:rsidR="009F33CD" w14:paraId="1FA3D70C" w14:textId="77777777">
        <w:trPr>
          <w:trHeight w:val="260"/>
        </w:trPr>
        <w:tc>
          <w:tcPr>
            <w:tcW w:w="1906" w:type="pct"/>
            <w:tcBorders>
              <w:top w:val="single" w:sz="4" w:space="0" w:color="auto"/>
            </w:tcBorders>
          </w:tcPr>
          <w:p w14:paraId="4EB10BBC" w14:textId="77777777" w:rsidR="009F33CD" w:rsidRDefault="00E40740">
            <w:pPr>
              <w:spacing w:before="0" w:beforeAutospacing="0" w:after="0" w:afterAutospacing="0" w:line="240" w:lineRule="auto"/>
              <w:rPr>
                <w:rFonts w:eastAsia="TimesNewRomanPSMT" w:cs="Times New Roman"/>
                <w:sz w:val="22"/>
                <w:szCs w:val="22"/>
              </w:rPr>
            </w:pPr>
            <w:r>
              <w:rPr>
                <w:rFonts w:eastAsia="Times New Roman" w:cs="Times New Roman"/>
                <w:bCs/>
                <w:sz w:val="22"/>
                <w:szCs w:val="22"/>
              </w:rPr>
              <w:t>The number of patients attended to has increased for the past six years.</w:t>
            </w:r>
          </w:p>
        </w:tc>
        <w:tc>
          <w:tcPr>
            <w:tcW w:w="466" w:type="pct"/>
            <w:tcBorders>
              <w:top w:val="single" w:sz="4" w:space="0" w:color="auto"/>
            </w:tcBorders>
          </w:tcPr>
          <w:p w14:paraId="791C026F"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2.5%</w:t>
            </w:r>
          </w:p>
        </w:tc>
        <w:tc>
          <w:tcPr>
            <w:tcW w:w="419" w:type="pct"/>
            <w:tcBorders>
              <w:top w:val="single" w:sz="4" w:space="0" w:color="auto"/>
            </w:tcBorders>
          </w:tcPr>
          <w:p w14:paraId="4296660B"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1.7%</w:t>
            </w:r>
          </w:p>
        </w:tc>
        <w:tc>
          <w:tcPr>
            <w:tcW w:w="489" w:type="pct"/>
            <w:tcBorders>
              <w:top w:val="single" w:sz="4" w:space="0" w:color="auto"/>
            </w:tcBorders>
          </w:tcPr>
          <w:p w14:paraId="1ED58871"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9.3%</w:t>
            </w:r>
          </w:p>
        </w:tc>
        <w:tc>
          <w:tcPr>
            <w:tcW w:w="489" w:type="pct"/>
            <w:tcBorders>
              <w:top w:val="single" w:sz="4" w:space="0" w:color="auto"/>
            </w:tcBorders>
          </w:tcPr>
          <w:p w14:paraId="00E025BB"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51.7%</w:t>
            </w:r>
          </w:p>
        </w:tc>
        <w:tc>
          <w:tcPr>
            <w:tcW w:w="489" w:type="pct"/>
            <w:tcBorders>
              <w:top w:val="single" w:sz="4" w:space="0" w:color="auto"/>
            </w:tcBorders>
          </w:tcPr>
          <w:p w14:paraId="32141FC5"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34.7%</w:t>
            </w:r>
          </w:p>
        </w:tc>
        <w:tc>
          <w:tcPr>
            <w:tcW w:w="372" w:type="pct"/>
            <w:tcBorders>
              <w:top w:val="single" w:sz="4" w:space="0" w:color="auto"/>
            </w:tcBorders>
          </w:tcPr>
          <w:p w14:paraId="4913A22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4.14</w:t>
            </w:r>
          </w:p>
        </w:tc>
        <w:tc>
          <w:tcPr>
            <w:tcW w:w="372" w:type="pct"/>
            <w:tcBorders>
              <w:top w:val="single" w:sz="4" w:space="0" w:color="auto"/>
            </w:tcBorders>
          </w:tcPr>
          <w:p w14:paraId="1141AD59"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0.85</w:t>
            </w:r>
          </w:p>
        </w:tc>
      </w:tr>
      <w:tr w:rsidR="009F33CD" w14:paraId="6673E550" w14:textId="77777777">
        <w:trPr>
          <w:trHeight w:val="150"/>
        </w:trPr>
        <w:tc>
          <w:tcPr>
            <w:tcW w:w="1906" w:type="pct"/>
          </w:tcPr>
          <w:p w14:paraId="6B7DA52C" w14:textId="77777777" w:rsidR="009F33CD" w:rsidRDefault="00E40740">
            <w:pPr>
              <w:spacing w:before="0" w:beforeAutospacing="0" w:after="0" w:afterAutospacing="0" w:line="240" w:lineRule="auto"/>
              <w:rPr>
                <w:rFonts w:eastAsia="TimesNewRomanPSMT" w:cs="Times New Roman"/>
                <w:sz w:val="22"/>
                <w:szCs w:val="22"/>
              </w:rPr>
            </w:pPr>
            <w:r>
              <w:rPr>
                <w:rFonts w:eastAsia="Times New Roman" w:cs="Times New Roman"/>
                <w:bCs/>
                <w:sz w:val="22"/>
                <w:szCs w:val="22"/>
              </w:rPr>
              <w:t xml:space="preserve"> The eco-friendly processes developed by the hospital reduce the consumption of energy.</w:t>
            </w:r>
          </w:p>
        </w:tc>
        <w:tc>
          <w:tcPr>
            <w:tcW w:w="466" w:type="pct"/>
          </w:tcPr>
          <w:p w14:paraId="4E368391"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4.2%</w:t>
            </w:r>
          </w:p>
        </w:tc>
        <w:tc>
          <w:tcPr>
            <w:tcW w:w="419" w:type="pct"/>
          </w:tcPr>
          <w:p w14:paraId="1C6231D0"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3.4%</w:t>
            </w:r>
          </w:p>
        </w:tc>
        <w:tc>
          <w:tcPr>
            <w:tcW w:w="489" w:type="pct"/>
          </w:tcPr>
          <w:p w14:paraId="7E1DADC2"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6.8%</w:t>
            </w:r>
          </w:p>
        </w:tc>
        <w:tc>
          <w:tcPr>
            <w:tcW w:w="489" w:type="pct"/>
          </w:tcPr>
          <w:p w14:paraId="539FEA54"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54.2%</w:t>
            </w:r>
          </w:p>
        </w:tc>
        <w:tc>
          <w:tcPr>
            <w:tcW w:w="489" w:type="pct"/>
          </w:tcPr>
          <w:p w14:paraId="38ED8649"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31.4%</w:t>
            </w:r>
          </w:p>
        </w:tc>
        <w:tc>
          <w:tcPr>
            <w:tcW w:w="372" w:type="pct"/>
          </w:tcPr>
          <w:p w14:paraId="0B457C55"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4.05</w:t>
            </w:r>
          </w:p>
        </w:tc>
        <w:tc>
          <w:tcPr>
            <w:tcW w:w="372" w:type="pct"/>
          </w:tcPr>
          <w:p w14:paraId="03BF8C3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0.95</w:t>
            </w:r>
          </w:p>
        </w:tc>
      </w:tr>
      <w:tr w:rsidR="009F33CD" w14:paraId="7B66E975" w14:textId="77777777">
        <w:trPr>
          <w:trHeight w:val="441"/>
        </w:trPr>
        <w:tc>
          <w:tcPr>
            <w:tcW w:w="1906" w:type="pct"/>
          </w:tcPr>
          <w:p w14:paraId="07311026" w14:textId="77777777" w:rsidR="009F33CD" w:rsidRDefault="00E40740">
            <w:pPr>
              <w:spacing w:before="0" w:beforeAutospacing="0" w:after="0" w:afterAutospacing="0" w:line="240" w:lineRule="auto"/>
              <w:rPr>
                <w:rFonts w:eastAsia="TimesNewRomanPSMT" w:cs="Times New Roman"/>
                <w:sz w:val="22"/>
                <w:szCs w:val="22"/>
              </w:rPr>
            </w:pPr>
            <w:r>
              <w:rPr>
                <w:rFonts w:eastAsia="Times New Roman" w:cs="Times New Roman"/>
                <w:bCs/>
                <w:sz w:val="22"/>
                <w:szCs w:val="22"/>
              </w:rPr>
              <w:t>Hospital clients are satisfied with the provision of eco-friendly healthcare services.</w:t>
            </w:r>
          </w:p>
        </w:tc>
        <w:tc>
          <w:tcPr>
            <w:tcW w:w="466" w:type="pct"/>
          </w:tcPr>
          <w:p w14:paraId="00452C5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2.5%</w:t>
            </w:r>
          </w:p>
        </w:tc>
        <w:tc>
          <w:tcPr>
            <w:tcW w:w="419" w:type="pct"/>
          </w:tcPr>
          <w:p w14:paraId="78C3CC37"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w:t>
            </w:r>
          </w:p>
        </w:tc>
        <w:tc>
          <w:tcPr>
            <w:tcW w:w="489" w:type="pct"/>
          </w:tcPr>
          <w:p w14:paraId="0A7E516C"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11.9%</w:t>
            </w:r>
          </w:p>
        </w:tc>
        <w:tc>
          <w:tcPr>
            <w:tcW w:w="489" w:type="pct"/>
          </w:tcPr>
          <w:p w14:paraId="2B064C44"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46.6%</w:t>
            </w:r>
          </w:p>
        </w:tc>
        <w:tc>
          <w:tcPr>
            <w:tcW w:w="489" w:type="pct"/>
          </w:tcPr>
          <w:p w14:paraId="2BA890BD"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39%</w:t>
            </w:r>
          </w:p>
        </w:tc>
        <w:tc>
          <w:tcPr>
            <w:tcW w:w="372" w:type="pct"/>
          </w:tcPr>
          <w:p w14:paraId="7CC579CC"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4.19</w:t>
            </w:r>
          </w:p>
        </w:tc>
        <w:tc>
          <w:tcPr>
            <w:tcW w:w="372" w:type="pct"/>
          </w:tcPr>
          <w:p w14:paraId="3EDE90D4"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0.84</w:t>
            </w:r>
          </w:p>
        </w:tc>
      </w:tr>
      <w:tr w:rsidR="009F33CD" w14:paraId="3829D53A" w14:textId="77777777">
        <w:trPr>
          <w:trHeight w:val="846"/>
        </w:trPr>
        <w:tc>
          <w:tcPr>
            <w:tcW w:w="1906" w:type="pct"/>
          </w:tcPr>
          <w:p w14:paraId="3617228B" w14:textId="77777777" w:rsidR="009F33CD" w:rsidRDefault="00E40740">
            <w:pPr>
              <w:spacing w:before="0" w:beforeAutospacing="0" w:after="0" w:afterAutospacing="0" w:line="240" w:lineRule="auto"/>
              <w:rPr>
                <w:rFonts w:eastAsia="Calibri" w:cs="Times New Roman"/>
                <w:color w:val="000000"/>
                <w:sz w:val="22"/>
                <w:szCs w:val="22"/>
              </w:rPr>
            </w:pPr>
            <w:bookmarkStart w:id="1629" w:name="_Hlk183588144"/>
            <w:r>
              <w:rPr>
                <w:rFonts w:eastAsia="Times New Roman" w:cs="Times New Roman"/>
                <w:bCs/>
                <w:sz w:val="22"/>
                <w:szCs w:val="22"/>
              </w:rPr>
              <w:t>The hospital encourages use of electronic payment system (for example, M-pesa) for healthcare services as it improves client satisfaction.</w:t>
            </w:r>
            <w:bookmarkEnd w:id="1629"/>
          </w:p>
        </w:tc>
        <w:tc>
          <w:tcPr>
            <w:tcW w:w="466" w:type="pct"/>
          </w:tcPr>
          <w:p w14:paraId="3094FDD9"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1.7%</w:t>
            </w:r>
          </w:p>
        </w:tc>
        <w:tc>
          <w:tcPr>
            <w:tcW w:w="419" w:type="pct"/>
          </w:tcPr>
          <w:p w14:paraId="5EDB2F05"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4.2%</w:t>
            </w:r>
          </w:p>
        </w:tc>
        <w:tc>
          <w:tcPr>
            <w:tcW w:w="489" w:type="pct"/>
          </w:tcPr>
          <w:p w14:paraId="19A7ADB5"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15.3%</w:t>
            </w:r>
          </w:p>
        </w:tc>
        <w:tc>
          <w:tcPr>
            <w:tcW w:w="489" w:type="pct"/>
          </w:tcPr>
          <w:p w14:paraId="50BFB8E4"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45.8%</w:t>
            </w:r>
          </w:p>
        </w:tc>
        <w:tc>
          <w:tcPr>
            <w:tcW w:w="489" w:type="pct"/>
          </w:tcPr>
          <w:p w14:paraId="6624EF3F"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33.4%</w:t>
            </w:r>
          </w:p>
        </w:tc>
        <w:tc>
          <w:tcPr>
            <w:tcW w:w="372" w:type="pct"/>
          </w:tcPr>
          <w:p w14:paraId="31FB3DB9"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4.03</w:t>
            </w:r>
          </w:p>
        </w:tc>
        <w:tc>
          <w:tcPr>
            <w:tcW w:w="372" w:type="pct"/>
          </w:tcPr>
          <w:p w14:paraId="0E7BA306"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0.90</w:t>
            </w:r>
          </w:p>
        </w:tc>
      </w:tr>
      <w:tr w:rsidR="009F33CD" w14:paraId="5704AFB5" w14:textId="77777777">
        <w:trPr>
          <w:trHeight w:val="493"/>
        </w:trPr>
        <w:tc>
          <w:tcPr>
            <w:tcW w:w="1906" w:type="pct"/>
          </w:tcPr>
          <w:p w14:paraId="37E5E6D1" w14:textId="77777777" w:rsidR="009F33CD" w:rsidRDefault="00E40740">
            <w:pPr>
              <w:spacing w:before="0" w:beforeAutospacing="0" w:after="0" w:afterAutospacing="0" w:line="240" w:lineRule="auto"/>
              <w:rPr>
                <w:rFonts w:eastAsia="Calibri" w:cs="Times New Roman"/>
                <w:color w:val="000000"/>
                <w:sz w:val="22"/>
                <w:szCs w:val="22"/>
              </w:rPr>
            </w:pPr>
            <w:r>
              <w:rPr>
                <w:rFonts w:eastAsia="Times New Roman" w:cs="Times New Roman"/>
                <w:bCs/>
                <w:sz w:val="22"/>
                <w:szCs w:val="22"/>
              </w:rPr>
              <w:t>Management supports use of eco-friendly Electronic-resources and web materials.</w:t>
            </w:r>
          </w:p>
        </w:tc>
        <w:tc>
          <w:tcPr>
            <w:tcW w:w="466" w:type="pct"/>
          </w:tcPr>
          <w:p w14:paraId="09D4A41D"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w:t>
            </w:r>
          </w:p>
        </w:tc>
        <w:tc>
          <w:tcPr>
            <w:tcW w:w="419" w:type="pct"/>
          </w:tcPr>
          <w:p w14:paraId="3DA8AB40"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0.8%</w:t>
            </w:r>
          </w:p>
        </w:tc>
        <w:tc>
          <w:tcPr>
            <w:tcW w:w="489" w:type="pct"/>
          </w:tcPr>
          <w:p w14:paraId="0ABE915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9.3%</w:t>
            </w:r>
          </w:p>
        </w:tc>
        <w:tc>
          <w:tcPr>
            <w:tcW w:w="489" w:type="pct"/>
          </w:tcPr>
          <w:p w14:paraId="4BDB71D4"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50%</w:t>
            </w:r>
          </w:p>
        </w:tc>
        <w:tc>
          <w:tcPr>
            <w:tcW w:w="489" w:type="pct"/>
          </w:tcPr>
          <w:p w14:paraId="3CAAB213"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39.8%</w:t>
            </w:r>
          </w:p>
        </w:tc>
        <w:tc>
          <w:tcPr>
            <w:tcW w:w="372" w:type="pct"/>
          </w:tcPr>
          <w:p w14:paraId="7B7E577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4.29</w:t>
            </w:r>
          </w:p>
        </w:tc>
        <w:tc>
          <w:tcPr>
            <w:tcW w:w="372" w:type="pct"/>
          </w:tcPr>
          <w:p w14:paraId="38EF7FC0"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0.67</w:t>
            </w:r>
          </w:p>
        </w:tc>
      </w:tr>
      <w:tr w:rsidR="009F33CD" w14:paraId="25FB8FF9" w14:textId="77777777">
        <w:trPr>
          <w:trHeight w:val="501"/>
        </w:trPr>
        <w:tc>
          <w:tcPr>
            <w:tcW w:w="1906" w:type="pct"/>
          </w:tcPr>
          <w:p w14:paraId="69D58D1D" w14:textId="77777777" w:rsidR="009F33CD" w:rsidRDefault="00E40740">
            <w:pPr>
              <w:spacing w:before="0" w:beforeAutospacing="0" w:after="0" w:afterAutospacing="0" w:line="240" w:lineRule="auto"/>
              <w:rPr>
                <w:rFonts w:eastAsia="Calibri" w:cs="Times New Roman"/>
                <w:sz w:val="22"/>
                <w:szCs w:val="22"/>
              </w:rPr>
            </w:pPr>
            <w:r>
              <w:rPr>
                <w:rFonts w:eastAsia="Times New Roman" w:cs="Times New Roman"/>
                <w:bCs/>
                <w:sz w:val="22"/>
                <w:szCs w:val="22"/>
              </w:rPr>
              <w:t>Revenue collection in this hospital has increased for the past six years.</w:t>
            </w:r>
          </w:p>
        </w:tc>
        <w:tc>
          <w:tcPr>
            <w:tcW w:w="466" w:type="pct"/>
          </w:tcPr>
          <w:p w14:paraId="409393FC"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0.8%</w:t>
            </w:r>
          </w:p>
        </w:tc>
        <w:tc>
          <w:tcPr>
            <w:tcW w:w="419" w:type="pct"/>
          </w:tcPr>
          <w:p w14:paraId="78A10D73"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5.1%</w:t>
            </w:r>
          </w:p>
        </w:tc>
        <w:tc>
          <w:tcPr>
            <w:tcW w:w="489" w:type="pct"/>
          </w:tcPr>
          <w:p w14:paraId="558DEBFD"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16.1%</w:t>
            </w:r>
          </w:p>
        </w:tc>
        <w:tc>
          <w:tcPr>
            <w:tcW w:w="489" w:type="pct"/>
          </w:tcPr>
          <w:p w14:paraId="40A32273"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44.9%</w:t>
            </w:r>
          </w:p>
        </w:tc>
        <w:tc>
          <w:tcPr>
            <w:tcW w:w="489" w:type="pct"/>
          </w:tcPr>
          <w:p w14:paraId="4D6D71F0"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33.1%</w:t>
            </w:r>
          </w:p>
        </w:tc>
        <w:tc>
          <w:tcPr>
            <w:tcW w:w="372" w:type="pct"/>
          </w:tcPr>
          <w:p w14:paraId="7AB8EE0F"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4.04</w:t>
            </w:r>
          </w:p>
        </w:tc>
        <w:tc>
          <w:tcPr>
            <w:tcW w:w="372" w:type="pct"/>
          </w:tcPr>
          <w:p w14:paraId="2391A88B"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0.88</w:t>
            </w:r>
          </w:p>
        </w:tc>
      </w:tr>
      <w:tr w:rsidR="009F33CD" w14:paraId="39863080" w14:textId="77777777">
        <w:trPr>
          <w:trHeight w:val="793"/>
        </w:trPr>
        <w:tc>
          <w:tcPr>
            <w:tcW w:w="1906" w:type="pct"/>
          </w:tcPr>
          <w:p w14:paraId="3ECF1521" w14:textId="77777777" w:rsidR="009F33CD" w:rsidRDefault="00E40740">
            <w:pPr>
              <w:spacing w:before="0" w:beforeAutospacing="0" w:after="0" w:afterAutospacing="0" w:line="240" w:lineRule="auto"/>
              <w:rPr>
                <w:rFonts w:eastAsia="TimesNewRomanPSMT" w:cs="Times New Roman"/>
                <w:sz w:val="22"/>
                <w:szCs w:val="22"/>
              </w:rPr>
            </w:pPr>
            <w:r>
              <w:rPr>
                <w:rFonts w:eastAsia="Times New Roman" w:cs="Times New Roman"/>
                <w:bCs/>
                <w:sz w:val="22"/>
                <w:szCs w:val="22"/>
              </w:rPr>
              <w:t>The green operations developed by the hospital effectively reduce the emission of hazardous substances.</w:t>
            </w:r>
          </w:p>
        </w:tc>
        <w:tc>
          <w:tcPr>
            <w:tcW w:w="466" w:type="pct"/>
          </w:tcPr>
          <w:p w14:paraId="296A6C61"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3.4%</w:t>
            </w:r>
          </w:p>
        </w:tc>
        <w:tc>
          <w:tcPr>
            <w:tcW w:w="419" w:type="pct"/>
          </w:tcPr>
          <w:p w14:paraId="72CC9376"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1.7%</w:t>
            </w:r>
          </w:p>
        </w:tc>
        <w:tc>
          <w:tcPr>
            <w:tcW w:w="489" w:type="pct"/>
          </w:tcPr>
          <w:p w14:paraId="2D4207FC"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7.6%</w:t>
            </w:r>
          </w:p>
        </w:tc>
        <w:tc>
          <w:tcPr>
            <w:tcW w:w="489" w:type="pct"/>
          </w:tcPr>
          <w:p w14:paraId="59391A99"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47.5%</w:t>
            </w:r>
          </w:p>
        </w:tc>
        <w:tc>
          <w:tcPr>
            <w:tcW w:w="489" w:type="pct"/>
          </w:tcPr>
          <w:p w14:paraId="7EBE476E"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39.8%</w:t>
            </w:r>
          </w:p>
        </w:tc>
        <w:tc>
          <w:tcPr>
            <w:tcW w:w="372" w:type="pct"/>
          </w:tcPr>
          <w:p w14:paraId="64C73DB8"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4.19</w:t>
            </w:r>
          </w:p>
        </w:tc>
        <w:tc>
          <w:tcPr>
            <w:tcW w:w="372" w:type="pct"/>
          </w:tcPr>
          <w:p w14:paraId="4A97B84D" w14:textId="77777777" w:rsidR="009F33CD" w:rsidRDefault="00E40740">
            <w:pPr>
              <w:spacing w:before="0" w:beforeAutospacing="0" w:after="0" w:afterAutospacing="0" w:line="240" w:lineRule="auto"/>
              <w:rPr>
                <w:rFonts w:eastAsia="TimesNewRomanPSMT" w:cs="Times New Roman"/>
                <w:sz w:val="22"/>
                <w:szCs w:val="22"/>
              </w:rPr>
            </w:pPr>
            <w:r>
              <w:rPr>
                <w:rFonts w:eastAsia="TimesNewRomanPSMT" w:cs="Times New Roman"/>
                <w:sz w:val="22"/>
                <w:szCs w:val="22"/>
              </w:rPr>
              <w:t>0.91</w:t>
            </w:r>
          </w:p>
        </w:tc>
      </w:tr>
    </w:tbl>
    <w:p w14:paraId="6BFF5FC3" w14:textId="77777777" w:rsidR="009F33CD" w:rsidRDefault="008444FB">
      <w:pPr>
        <w:adjustRightInd/>
        <w:spacing w:after="200"/>
        <w:rPr>
          <w:rFonts w:eastAsia="Times New Roman" w:cs="Times New Roman"/>
          <w:bCs/>
          <w:szCs w:val="24"/>
        </w:rPr>
      </w:pPr>
      <w:r>
        <w:rPr>
          <w:rFonts w:cs="Times New Roman"/>
          <w:bCs/>
          <w:szCs w:val="24"/>
        </w:rPr>
        <w:lastRenderedPageBreak/>
        <w:t>The findings in Table 4.54</w:t>
      </w:r>
      <w:r w:rsidR="00E40740">
        <w:rPr>
          <w:rFonts w:cs="Times New Roman"/>
          <w:bCs/>
          <w:szCs w:val="24"/>
        </w:rPr>
        <w:t xml:space="preserve"> show that the majority of respondents, 86.4% (M = 4.14, Sd = 0.85), agreed with the statement that the hospital had seen an increase in the number of patients receiving treatment over the past six years. This suggests that the hospital's efforts in digitization may have played a crucial role in this growth. Digitization in healthcare can lead to improved patient management, streamlined processes, and enhanced access to medical records and services.</w:t>
      </w:r>
      <w:r w:rsidR="00E40740">
        <w:rPr>
          <w:rFonts w:eastAsia="Times New Roman" w:cs="Times New Roman"/>
          <w:szCs w:val="24"/>
        </w:rPr>
        <w:t xml:space="preserve"> </w:t>
      </w:r>
      <w:r w:rsidR="00E40740">
        <w:rPr>
          <w:rFonts w:eastAsia="Times New Roman" w:cs="Times New Roman"/>
          <w:bCs/>
          <w:szCs w:val="24"/>
        </w:rPr>
        <w:t>The increase in patient numbers could be attributed to the hospital's adoption of digital tools and technologies, which likely made it easier for patients to access care, schedule appointments, and receive timely treatments. Additionally, digitization can improve the efficiency of healthcare delivery, reduce waiting times, and enhance overall patient satisfaction, contributing to the observed increase in patient treatment numbers as an indicator of performance.</w:t>
      </w:r>
    </w:p>
    <w:p w14:paraId="3F099DB2" w14:textId="77777777" w:rsidR="009F33CD" w:rsidRDefault="00E40740">
      <w:pPr>
        <w:adjustRightInd/>
        <w:rPr>
          <w:rFonts w:eastAsia="Times New Roman" w:cs="Times New Roman"/>
          <w:szCs w:val="24"/>
        </w:rPr>
      </w:pPr>
      <w:r>
        <w:rPr>
          <w:rFonts w:eastAsia="Times New Roman" w:cs="Times New Roman"/>
          <w:szCs w:val="24"/>
        </w:rPr>
        <w:t xml:space="preserve">The result agreed with that of Omune and Nyang’au (2021) who found that green human resource management practices significantly positively affected employee performance at Kenyan public universities. </w:t>
      </w:r>
      <w:r>
        <w:rPr>
          <w:rFonts w:cs="Times New Roman"/>
          <w:bCs/>
          <w:szCs w:val="24"/>
        </w:rPr>
        <w:t xml:space="preserve">The remaining 9.3% were undecided, while 4.2% disagreed with the statement. The employees who disagreed or remained undecided imply they are not aware of increased patient numbers or lack access to information. </w:t>
      </w:r>
    </w:p>
    <w:p w14:paraId="6EF39831" w14:textId="77777777" w:rsidR="009F33CD" w:rsidRDefault="00E40740">
      <w:pPr>
        <w:autoSpaceDE/>
        <w:autoSpaceDN/>
        <w:adjustRightInd/>
        <w:spacing w:after="200"/>
        <w:rPr>
          <w:rFonts w:cs="Times New Roman"/>
          <w:bCs/>
          <w:szCs w:val="24"/>
        </w:rPr>
      </w:pPr>
      <w:r>
        <w:rPr>
          <w:rFonts w:cs="Times New Roman"/>
          <w:bCs/>
          <w:szCs w:val="24"/>
        </w:rPr>
        <w:t xml:space="preserve">On whether the hospital has implemented eco-friendly processes that decrease energy consumption, the majority of the respondents, 85.6% (M=4.05, Sd=0.95) agreed with the statement. This result shows that a significant majority believe that the Level Five Hospitals are effectively implementing eco-friendly processes to reduce negative environmental effects such as energy consumption and align healthcare institutions with global sustainability goals. This high level of agreement suggests that these initiatives are well-recognized and appreciated by the staff. The results of the mean indicate that respondents rated their agreement quite high. The standard deviation (Sd=0.95) shows some moderate variability in responses, indicating a consistent agreement among respondents. Further, eco-friendly processes imply that hospitals are proactively committed to sustainability and operational efficiency by adopting practices that reduce energy consumption such as putting off electricity light and electronic equipment when not in use. </w:t>
      </w:r>
    </w:p>
    <w:p w14:paraId="12228A89" w14:textId="77777777" w:rsidR="009F33CD" w:rsidRDefault="00E40740">
      <w:pPr>
        <w:autoSpaceDE/>
        <w:autoSpaceDN/>
        <w:adjustRightInd/>
        <w:spacing w:after="200"/>
        <w:rPr>
          <w:rFonts w:cs="Times New Roman"/>
          <w:bCs/>
          <w:szCs w:val="24"/>
        </w:rPr>
      </w:pPr>
      <w:r>
        <w:rPr>
          <w:rFonts w:cs="Times New Roman"/>
          <w:szCs w:val="24"/>
        </w:rPr>
        <w:lastRenderedPageBreak/>
        <w:t xml:space="preserve">A recent study that supports this finding is that of Ren </w:t>
      </w:r>
      <w:r>
        <w:rPr>
          <w:rFonts w:cs="Times New Roman"/>
          <w:i/>
          <w:iCs/>
          <w:szCs w:val="24"/>
        </w:rPr>
        <w:t>et al</w:t>
      </w:r>
      <w:r>
        <w:rPr>
          <w:rFonts w:cs="Times New Roman"/>
          <w:szCs w:val="24"/>
        </w:rPr>
        <w:t xml:space="preserve"> (2018) who argued that an effective approach to organization sustainability requires employee compliance to formal rules and accept to voluntarily engage in green initiatives such as lowering the consumption of energy and paper and use of stairs in place of elevators.</w:t>
      </w:r>
      <w:r>
        <w:rPr>
          <w:rFonts w:cs="Times New Roman"/>
          <w:bCs/>
          <w:szCs w:val="24"/>
        </w:rPr>
        <w:t xml:space="preserve"> Of other respondents, 6.8% were undecided, and 7.6% of the respondents disagreed with the statement.</w:t>
      </w:r>
      <w:r>
        <w:t xml:space="preserve"> T</w:t>
      </w:r>
      <w:r>
        <w:rPr>
          <w:rFonts w:cs="Times New Roman"/>
          <w:bCs/>
          <w:szCs w:val="24"/>
        </w:rPr>
        <w:t xml:space="preserve">his finding suggests that while there is a strong belief in the implementation of eco-friendly processes, there is still a small segment of the population that is either unsure or </w:t>
      </w:r>
      <w:r w:rsidR="001C3D4C">
        <w:rPr>
          <w:rFonts w:cs="Times New Roman"/>
          <w:bCs/>
          <w:szCs w:val="24"/>
        </w:rPr>
        <w:t>sceptical</w:t>
      </w:r>
      <w:r>
        <w:rPr>
          <w:rFonts w:cs="Times New Roman"/>
          <w:bCs/>
          <w:szCs w:val="24"/>
        </w:rPr>
        <w:t>, which could be addressed through targeted initiatives to increase awareness and engagement.</w:t>
      </w:r>
    </w:p>
    <w:p w14:paraId="522971A0" w14:textId="77777777" w:rsidR="009F33CD" w:rsidRDefault="00E40740">
      <w:pPr>
        <w:spacing w:after="240"/>
        <w:rPr>
          <w:rFonts w:cs="Times New Roman"/>
          <w:bCs/>
          <w:szCs w:val="24"/>
        </w:rPr>
      </w:pPr>
      <w:r>
        <w:rPr>
          <w:rFonts w:cs="Times New Roman"/>
          <w:bCs/>
          <w:szCs w:val="24"/>
        </w:rPr>
        <w:t xml:space="preserve">Hospital clients are satisfied with the provision of eco-friendly healthcare services according to 85.6% (M=4.19, Sd=0.84) of the respondents who agreed with the statement. This implies that the hospitals are successfully implementing eco-friendly practices that are appreciated by their clients. This finding suggests that Level Five hospitals are making significant efforts to provide eco-friendly healthcare services, which is likely to have positive implications for both client satisfaction and environmental sustainability. This finding agrees with that of Kruse </w:t>
      </w:r>
      <w:r>
        <w:rPr>
          <w:rFonts w:cs="Times New Roman"/>
          <w:bCs/>
          <w:i/>
          <w:iCs/>
          <w:szCs w:val="24"/>
        </w:rPr>
        <w:t>et al</w:t>
      </w:r>
      <w:r>
        <w:rPr>
          <w:rFonts w:cs="Times New Roman"/>
          <w:bCs/>
          <w:szCs w:val="24"/>
        </w:rPr>
        <w:t>. (2017) who found that telehealth provided satisfaction to patients through improved outcomes, preferred modality, ease of use, low cost, improved communication, and reduced travel time. The other respondents 1.9% of the respondents were undecided, while the remaining 2.5% disagreed with the statement.</w:t>
      </w:r>
      <w:r>
        <w:rPr>
          <w:bCs/>
        </w:rPr>
        <w:t xml:space="preserve"> </w:t>
      </w:r>
      <w:r>
        <w:rPr>
          <w:rFonts w:cs="Times New Roman"/>
          <w:bCs/>
          <w:szCs w:val="24"/>
        </w:rPr>
        <w:t xml:space="preserve">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and this could be addressed through targeted initiatives to increase awareness and engagement. </w:t>
      </w:r>
    </w:p>
    <w:p w14:paraId="1AF8E862" w14:textId="77777777" w:rsidR="009F33CD" w:rsidRDefault="00E40740">
      <w:pPr>
        <w:spacing w:after="240"/>
        <w:rPr>
          <w:rFonts w:cs="Times New Roman"/>
          <w:bCs/>
          <w:szCs w:val="24"/>
        </w:rPr>
      </w:pPr>
      <w:r>
        <w:rPr>
          <w:rFonts w:cs="Times New Roman"/>
          <w:bCs/>
          <w:szCs w:val="24"/>
        </w:rPr>
        <w:t>The majority of respondents 79.2% agreed with the statement that the hospital encourages the use of electronic payment systems (for example, M-pesa) for healthcare services as it improves client satisfaction. This finding suggests that the hospital is making significant efforts to encourage the use of electronic payment systems, which is likely to have positive implications for both client satisfaction and revenue collection.</w:t>
      </w:r>
      <w:r>
        <w:t xml:space="preserve"> Additionally, t</w:t>
      </w:r>
      <w:r>
        <w:rPr>
          <w:rFonts w:cs="Times New Roman"/>
          <w:bCs/>
          <w:szCs w:val="24"/>
        </w:rPr>
        <w:t xml:space="preserve">his implies that the hospital is leveraging digital payment platforms like M-Pesa to improve client satisfaction and revenue collection. This reflects management's commitment to modernizing payment methods, making </w:t>
      </w:r>
      <w:r>
        <w:rPr>
          <w:rFonts w:cs="Times New Roman"/>
          <w:bCs/>
          <w:szCs w:val="24"/>
        </w:rPr>
        <w:lastRenderedPageBreak/>
        <w:t xml:space="preserve">transactions more convenient and efficient for clients, while improving employee performance.  This finding is consistent with that of Mwita (2019) who posits that organizations that are able and willing to practice GHRM are likely to attract more clients and comply with ethical and legal requirements. Respondents, 15.3% were undecided, while 5.9% of the respondents disagreed with the statement.  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and this could be addressed through targeted initiatives to increase awareness and engagement</w:t>
      </w:r>
    </w:p>
    <w:p w14:paraId="59F7C899" w14:textId="77777777" w:rsidR="009F33CD" w:rsidRDefault="00E40740">
      <w:pPr>
        <w:spacing w:after="240"/>
        <w:rPr>
          <w:rFonts w:cs="Times New Roman"/>
          <w:bCs/>
          <w:szCs w:val="24"/>
        </w:rPr>
      </w:pPr>
      <w:r>
        <w:rPr>
          <w:rFonts w:cs="Times New Roman"/>
          <w:bCs/>
          <w:szCs w:val="24"/>
        </w:rPr>
        <w:t>Further, the majority of the respondents 89.8% (M=4.29, Sd=0.67) agreed that the hospital management strongly encourages the use of online or electronic resources that are environmentally friendly. This means that employees efficiently access their HRM services online through their portals and hospital websites. This reduces the cost of printing paper and minimizes carbon emissions.</w:t>
      </w:r>
      <w:r>
        <w:t xml:space="preserve"> This finding concurs with that of </w:t>
      </w:r>
      <w:bookmarkStart w:id="1630" w:name="_Hlk175251309"/>
      <w:r>
        <w:rPr>
          <w:bCs/>
        </w:rPr>
        <w:t>Ahmad (2015) who opined that e-business and e-learning have converted ordinary offices into Paperless offices that have minimum use of paper or have eliminated the use of paper by changing all important official paper documents into automated documents and workflows</w:t>
      </w:r>
      <w:bookmarkEnd w:id="1630"/>
      <w:r>
        <w:rPr>
          <w:bCs/>
        </w:rPr>
        <w:t xml:space="preserve">. </w:t>
      </w:r>
      <w:r>
        <w:rPr>
          <w:rFonts w:cs="Times New Roman"/>
          <w:bCs/>
          <w:szCs w:val="24"/>
        </w:rPr>
        <w:t>Of other respondents 9.3% were undecided, and the remaining 0.8% of the respondents disagreed with the statement.</w:t>
      </w:r>
      <w:r>
        <w:rPr>
          <w:bCs/>
        </w:rPr>
        <w:t xml:space="preserve"> </w:t>
      </w:r>
      <w:r>
        <w:rPr>
          <w:rFonts w:cs="Times New Roman"/>
          <w:bCs/>
          <w:szCs w:val="24"/>
        </w:rPr>
        <w:t xml:space="preserve">This finding of a small segment of (undecided and disagreed) respondents implies that they are either unsure or </w:t>
      </w:r>
      <w:r w:rsidR="001C3D4C">
        <w:rPr>
          <w:rFonts w:cs="Times New Roman"/>
          <w:bCs/>
          <w:szCs w:val="24"/>
        </w:rPr>
        <w:t>sceptical</w:t>
      </w:r>
      <w:r>
        <w:rPr>
          <w:rFonts w:cs="Times New Roman"/>
          <w:bCs/>
          <w:szCs w:val="24"/>
        </w:rPr>
        <w:t xml:space="preserve"> about the statement and this could be addressed through targeted initiatives to increase awareness and engagement. </w:t>
      </w:r>
    </w:p>
    <w:p w14:paraId="11D77CFC" w14:textId="77777777" w:rsidR="009F33CD" w:rsidRDefault="00E40740">
      <w:pPr>
        <w:spacing w:after="240"/>
        <w:rPr>
          <w:rFonts w:cs="Times New Roman"/>
          <w:bCs/>
          <w:szCs w:val="24"/>
        </w:rPr>
      </w:pPr>
      <w:r>
        <w:rPr>
          <w:rFonts w:cs="Times New Roman"/>
          <w:bCs/>
          <w:szCs w:val="24"/>
        </w:rPr>
        <w:t xml:space="preserve">As per 78% (M=4.04, Sd=0.88) of the respondents, the hospital's revenue has consistently increased for the last six years due to its implementation of green performance initiatives. This finding implies that the use of electronic payment systems lowers fraud and improves efficiency which at the same time increases revenue collection. This result was supported by </w:t>
      </w:r>
      <w:r>
        <w:t xml:space="preserve">Mutisya et al. (2019) who alluded that management in public hospitals should be effective to improve revenue collection. The hospital with more revenue will be allocated more expenditure resources as they are perceived to be performing better. </w:t>
      </w:r>
      <w:r>
        <w:rPr>
          <w:rFonts w:cs="Times New Roman"/>
          <w:bCs/>
          <w:szCs w:val="24"/>
        </w:rPr>
        <w:t xml:space="preserve">Other respondents 16.1% were undecided suggesting a lack of awareness or insufficient information about the eco-friendly processes being implemented, 5.9% of the respondents disagreed with the statement. </w:t>
      </w:r>
    </w:p>
    <w:p w14:paraId="12E29C80" w14:textId="77777777" w:rsidR="009F33CD" w:rsidRDefault="00E40740">
      <w:pPr>
        <w:spacing w:after="240"/>
        <w:rPr>
          <w:rFonts w:cs="Times New Roman"/>
          <w:bCs/>
          <w:szCs w:val="24"/>
        </w:rPr>
      </w:pPr>
      <w:r>
        <w:rPr>
          <w:rFonts w:cs="Times New Roman"/>
          <w:bCs/>
          <w:szCs w:val="24"/>
        </w:rPr>
        <w:lastRenderedPageBreak/>
        <w:t xml:space="preserve">Finally, the majority of the respondents 87.3% (M=4.19, Sd=0.91) agreed that the hospital has implemented environmentally friendly practices that efficiently minimize the release of harmful substances. This finding implies that environmentally friendly practices usually lead to more efficient use of resources, such as energy and water, and can result in cost savings for the hospital, and improved operational efficiency. Further, when employees see that their hospital is taking meaningful steps toward sustainability, it boosts employee morale and engagement. This suggests that environmentally friendly practices ensure that employees are safe and in good health to consistently provide healthcare services. This finding is supported by Hameed </w:t>
      </w:r>
      <w:r>
        <w:rPr>
          <w:rFonts w:cs="Times New Roman"/>
          <w:bCs/>
          <w:i/>
          <w:szCs w:val="24"/>
        </w:rPr>
        <w:t>et al.</w:t>
      </w:r>
      <w:r>
        <w:rPr>
          <w:rFonts w:cs="Times New Roman"/>
          <w:bCs/>
          <w:szCs w:val="24"/>
        </w:rPr>
        <w:t xml:space="preserve"> (2020) who opined that green safety and health is very important in promoting the safety and health of employees while at the same time providing a green environment that has less stress and reduced harmful effects. </w:t>
      </w:r>
      <w:r>
        <w:rPr>
          <w:rFonts w:cs="Times New Roman"/>
        </w:rPr>
        <w:t>Green occupational safety and health practices tend to reduce harmful consequences in order to avoid health concerns and improve the well-being of employees (WHO, 2012).</w:t>
      </w:r>
      <w:r>
        <w:rPr>
          <w:rFonts w:cs="Times New Roman"/>
          <w:bCs/>
          <w:szCs w:val="24"/>
        </w:rPr>
        <w:t xml:space="preserve"> Other respondents 7.6% were undecided, and 5.1% of the respondents disagreed with the statement. The study finding implies that the standard deviation value is closely dispersed around the mean. </w:t>
      </w:r>
    </w:p>
    <w:p w14:paraId="1A9AA2E2" w14:textId="77777777" w:rsidR="009F33CD" w:rsidRDefault="00E40740">
      <w:pPr>
        <w:spacing w:after="240"/>
        <w:rPr>
          <w:bCs/>
        </w:rPr>
      </w:pPr>
      <w:r>
        <w:rPr>
          <w:bCs/>
        </w:rPr>
        <w:t>In addition to the above, respondents were asked to</w:t>
      </w:r>
      <w:r>
        <w:rPr>
          <w:rFonts w:eastAsia="TimesNewRomanPSMT"/>
        </w:rPr>
        <w:t xml:space="preserve"> </w:t>
      </w:r>
      <w:r>
        <w:rPr>
          <w:bCs/>
        </w:rPr>
        <w:t>suggest possible ways in which performance can be improved in devolved healthcare services. In making their suggestions, 47 responses were recorded, arranged in themes, analyzed using Content analy</w:t>
      </w:r>
      <w:r w:rsidR="008444FB">
        <w:rPr>
          <w:bCs/>
        </w:rPr>
        <w:t>sis, and presented in Table 4.55</w:t>
      </w:r>
      <w:r>
        <w:rPr>
          <w:bCs/>
        </w:rPr>
        <w:t>.</w:t>
      </w:r>
    </w:p>
    <w:p w14:paraId="39677D69" w14:textId="77777777" w:rsidR="009F33CD" w:rsidRDefault="008444FB">
      <w:pPr>
        <w:pStyle w:val="Heading6"/>
      </w:pPr>
      <w:bookmarkStart w:id="1631" w:name="_Toc185614159"/>
      <w:bookmarkStart w:id="1632" w:name="_Toc187080931"/>
      <w:bookmarkStart w:id="1633" w:name="_Toc178945107"/>
      <w:bookmarkStart w:id="1634" w:name="_Toc178942697"/>
      <w:bookmarkStart w:id="1635" w:name="_Toc224237484"/>
      <w:r>
        <w:t>Table 4.55</w:t>
      </w:r>
      <w:r w:rsidR="00E40740">
        <w:t>: Suggestions for Improvement of Performance of Devolved Healthcare Services</w:t>
      </w:r>
      <w:bookmarkEnd w:id="1631"/>
      <w:bookmarkEnd w:id="1632"/>
      <w:bookmarkEnd w:id="1633"/>
      <w:bookmarkEnd w:id="1634"/>
      <w:bookmarkEnd w:id="1635"/>
    </w:p>
    <w:tbl>
      <w:tblPr>
        <w:tblW w:w="5000" w:type="pct"/>
        <w:tblCellMar>
          <w:right w:w="115" w:type="dxa"/>
        </w:tblCellMar>
        <w:tblLook w:val="04A0" w:firstRow="1" w:lastRow="0" w:firstColumn="1" w:lastColumn="0" w:noHBand="0" w:noVBand="1"/>
      </w:tblPr>
      <w:tblGrid>
        <w:gridCol w:w="4664"/>
        <w:gridCol w:w="1698"/>
        <w:gridCol w:w="1858"/>
      </w:tblGrid>
      <w:tr w:rsidR="009F33CD" w14:paraId="6013E87F" w14:textId="77777777">
        <w:trPr>
          <w:trHeight w:val="294"/>
        </w:trPr>
        <w:tc>
          <w:tcPr>
            <w:tcW w:w="2837" w:type="pct"/>
            <w:tcBorders>
              <w:top w:val="single" w:sz="4" w:space="0" w:color="auto"/>
              <w:left w:val="nil"/>
              <w:bottom w:val="single" w:sz="4" w:space="0" w:color="000000"/>
              <w:right w:val="nil"/>
            </w:tcBorders>
          </w:tcPr>
          <w:p w14:paraId="5242FFA8" w14:textId="77777777" w:rsidR="009F33CD" w:rsidRDefault="00E40740">
            <w:pPr>
              <w:spacing w:before="0" w:beforeAutospacing="0" w:after="0" w:afterAutospacing="0" w:line="240" w:lineRule="auto"/>
              <w:rPr>
                <w:bCs/>
              </w:rPr>
            </w:pPr>
            <w:r>
              <w:rPr>
                <w:b/>
                <w:bCs/>
              </w:rPr>
              <w:t xml:space="preserve">Responses  </w:t>
            </w:r>
          </w:p>
        </w:tc>
        <w:tc>
          <w:tcPr>
            <w:tcW w:w="1033" w:type="pct"/>
            <w:tcBorders>
              <w:top w:val="single" w:sz="4" w:space="0" w:color="auto"/>
              <w:left w:val="nil"/>
              <w:bottom w:val="single" w:sz="4" w:space="0" w:color="000000"/>
              <w:right w:val="nil"/>
            </w:tcBorders>
          </w:tcPr>
          <w:p w14:paraId="6F56BA0D" w14:textId="77777777" w:rsidR="009F33CD" w:rsidRDefault="00E40740" w:rsidP="00F75083">
            <w:pPr>
              <w:spacing w:before="0" w:beforeAutospacing="0" w:after="0" w:afterAutospacing="0" w:line="240" w:lineRule="auto"/>
              <w:jc w:val="center"/>
              <w:rPr>
                <w:bCs/>
              </w:rPr>
            </w:pPr>
            <w:r>
              <w:rPr>
                <w:b/>
                <w:bCs/>
              </w:rPr>
              <w:t>Frequency</w:t>
            </w:r>
          </w:p>
        </w:tc>
        <w:tc>
          <w:tcPr>
            <w:tcW w:w="1130" w:type="pct"/>
            <w:tcBorders>
              <w:top w:val="single" w:sz="4" w:space="0" w:color="auto"/>
              <w:left w:val="nil"/>
              <w:bottom w:val="single" w:sz="4" w:space="0" w:color="000000"/>
              <w:right w:val="nil"/>
            </w:tcBorders>
          </w:tcPr>
          <w:p w14:paraId="6D2C85BF" w14:textId="77777777" w:rsidR="009F33CD" w:rsidRDefault="00E40740" w:rsidP="00F75083">
            <w:pPr>
              <w:spacing w:before="0" w:beforeAutospacing="0" w:after="0" w:afterAutospacing="0" w:line="240" w:lineRule="auto"/>
              <w:jc w:val="center"/>
              <w:rPr>
                <w:bCs/>
              </w:rPr>
            </w:pPr>
            <w:r>
              <w:rPr>
                <w:b/>
                <w:bCs/>
              </w:rPr>
              <w:t>Percentage</w:t>
            </w:r>
          </w:p>
        </w:tc>
      </w:tr>
      <w:tr w:rsidR="009F33CD" w14:paraId="543FAF24" w14:textId="77777777">
        <w:trPr>
          <w:trHeight w:val="279"/>
        </w:trPr>
        <w:tc>
          <w:tcPr>
            <w:tcW w:w="2837" w:type="pct"/>
            <w:tcBorders>
              <w:top w:val="single" w:sz="4" w:space="0" w:color="000000"/>
              <w:left w:val="nil"/>
              <w:bottom w:val="nil"/>
              <w:right w:val="nil"/>
            </w:tcBorders>
          </w:tcPr>
          <w:p w14:paraId="76CB3091" w14:textId="77777777" w:rsidR="009F33CD" w:rsidRDefault="00E40740">
            <w:pPr>
              <w:spacing w:before="0" w:beforeAutospacing="0" w:after="0" w:afterAutospacing="0" w:line="240" w:lineRule="auto"/>
              <w:rPr>
                <w:bCs/>
              </w:rPr>
            </w:pPr>
            <w:r>
              <w:rPr>
                <w:bCs/>
              </w:rPr>
              <w:t xml:space="preserve">Implement evidence-based customer and employee satisfaction survey  </w:t>
            </w:r>
          </w:p>
        </w:tc>
        <w:tc>
          <w:tcPr>
            <w:tcW w:w="1033" w:type="pct"/>
            <w:tcBorders>
              <w:top w:val="single" w:sz="4" w:space="0" w:color="000000"/>
              <w:left w:val="nil"/>
              <w:bottom w:val="nil"/>
              <w:right w:val="nil"/>
            </w:tcBorders>
          </w:tcPr>
          <w:p w14:paraId="6C13221C" w14:textId="77777777" w:rsidR="009F33CD" w:rsidRDefault="00E40740" w:rsidP="00F75083">
            <w:pPr>
              <w:spacing w:before="0" w:beforeAutospacing="0" w:after="0" w:afterAutospacing="0" w:line="240" w:lineRule="auto"/>
              <w:jc w:val="center"/>
              <w:rPr>
                <w:bCs/>
              </w:rPr>
            </w:pPr>
            <w:r>
              <w:rPr>
                <w:bCs/>
              </w:rPr>
              <w:t>26</w:t>
            </w:r>
          </w:p>
        </w:tc>
        <w:tc>
          <w:tcPr>
            <w:tcW w:w="1130" w:type="pct"/>
            <w:tcBorders>
              <w:top w:val="single" w:sz="4" w:space="0" w:color="000000"/>
              <w:left w:val="nil"/>
              <w:bottom w:val="nil"/>
              <w:right w:val="nil"/>
            </w:tcBorders>
          </w:tcPr>
          <w:p w14:paraId="35107AB1" w14:textId="77777777" w:rsidR="009F33CD" w:rsidRDefault="00E40740" w:rsidP="00F75083">
            <w:pPr>
              <w:spacing w:before="0" w:beforeAutospacing="0" w:after="0" w:afterAutospacing="0" w:line="240" w:lineRule="auto"/>
              <w:jc w:val="center"/>
              <w:rPr>
                <w:bCs/>
              </w:rPr>
            </w:pPr>
            <w:r>
              <w:rPr>
                <w:bCs/>
              </w:rPr>
              <w:t>55.3</w:t>
            </w:r>
          </w:p>
        </w:tc>
      </w:tr>
      <w:tr w:rsidR="009F33CD" w14:paraId="365F9354" w14:textId="77777777">
        <w:trPr>
          <w:trHeight w:val="834"/>
        </w:trPr>
        <w:tc>
          <w:tcPr>
            <w:tcW w:w="2837" w:type="pct"/>
            <w:tcBorders>
              <w:top w:val="nil"/>
              <w:left w:val="nil"/>
              <w:bottom w:val="nil"/>
              <w:right w:val="nil"/>
            </w:tcBorders>
          </w:tcPr>
          <w:p w14:paraId="2A2EE5ED" w14:textId="77777777" w:rsidR="009F33CD" w:rsidRDefault="00E40740">
            <w:pPr>
              <w:spacing w:before="0" w:beforeAutospacing="0" w:after="0" w:afterAutospacing="0" w:line="240" w:lineRule="auto"/>
              <w:rPr>
                <w:bCs/>
              </w:rPr>
            </w:pPr>
            <w:r>
              <w:rPr>
                <w:bCs/>
              </w:rPr>
              <w:t xml:space="preserve">There is </w:t>
            </w:r>
            <w:bookmarkStart w:id="1636" w:name="_Hlk174291042"/>
            <w:r>
              <w:rPr>
                <w:bCs/>
              </w:rPr>
              <w:t xml:space="preserve">need to enhance set of rules and procedures about green environment </w:t>
            </w:r>
            <w:bookmarkEnd w:id="1636"/>
            <w:r>
              <w:rPr>
                <w:bCs/>
              </w:rPr>
              <w:t xml:space="preserve">and increase the number of health professionals.  </w:t>
            </w:r>
          </w:p>
        </w:tc>
        <w:tc>
          <w:tcPr>
            <w:tcW w:w="1033" w:type="pct"/>
            <w:tcBorders>
              <w:top w:val="nil"/>
              <w:left w:val="nil"/>
              <w:bottom w:val="nil"/>
              <w:right w:val="nil"/>
            </w:tcBorders>
          </w:tcPr>
          <w:p w14:paraId="64377383" w14:textId="77777777" w:rsidR="009F33CD" w:rsidRDefault="00E40740" w:rsidP="00F75083">
            <w:pPr>
              <w:spacing w:before="0" w:beforeAutospacing="0" w:after="0" w:afterAutospacing="0" w:line="240" w:lineRule="auto"/>
              <w:jc w:val="center"/>
              <w:rPr>
                <w:bCs/>
              </w:rPr>
            </w:pPr>
            <w:r>
              <w:rPr>
                <w:bCs/>
              </w:rPr>
              <w:t>9</w:t>
            </w:r>
          </w:p>
        </w:tc>
        <w:tc>
          <w:tcPr>
            <w:tcW w:w="1130" w:type="pct"/>
            <w:tcBorders>
              <w:top w:val="nil"/>
              <w:left w:val="nil"/>
              <w:bottom w:val="nil"/>
              <w:right w:val="nil"/>
            </w:tcBorders>
          </w:tcPr>
          <w:p w14:paraId="3E574E31" w14:textId="77777777" w:rsidR="009F33CD" w:rsidRDefault="00E40740" w:rsidP="00F75083">
            <w:pPr>
              <w:spacing w:before="0" w:beforeAutospacing="0" w:after="0" w:afterAutospacing="0" w:line="240" w:lineRule="auto"/>
              <w:jc w:val="center"/>
              <w:rPr>
                <w:bCs/>
              </w:rPr>
            </w:pPr>
            <w:r>
              <w:rPr>
                <w:bCs/>
              </w:rPr>
              <w:t>19.2</w:t>
            </w:r>
          </w:p>
        </w:tc>
      </w:tr>
      <w:tr w:rsidR="009F33CD" w14:paraId="24684527" w14:textId="77777777" w:rsidTr="00F75083">
        <w:trPr>
          <w:trHeight w:val="451"/>
        </w:trPr>
        <w:tc>
          <w:tcPr>
            <w:tcW w:w="2837" w:type="pct"/>
            <w:tcBorders>
              <w:top w:val="nil"/>
              <w:left w:val="nil"/>
              <w:right w:val="nil"/>
            </w:tcBorders>
          </w:tcPr>
          <w:p w14:paraId="0BA3DC14" w14:textId="77777777" w:rsidR="009F33CD" w:rsidRDefault="00E40740">
            <w:pPr>
              <w:spacing w:before="0" w:beforeAutospacing="0" w:after="0" w:afterAutospacing="0" w:line="240" w:lineRule="auto"/>
              <w:rPr>
                <w:bCs/>
              </w:rPr>
            </w:pPr>
            <w:bookmarkStart w:id="1637" w:name="_Hlk174291105"/>
            <w:r>
              <w:rPr>
                <w:bCs/>
              </w:rPr>
              <w:t xml:space="preserve">Install computers in all service centers and provide backup in case of power outage  </w:t>
            </w:r>
            <w:bookmarkEnd w:id="1637"/>
          </w:p>
        </w:tc>
        <w:tc>
          <w:tcPr>
            <w:tcW w:w="1033" w:type="pct"/>
            <w:tcBorders>
              <w:top w:val="nil"/>
              <w:left w:val="nil"/>
              <w:right w:val="nil"/>
            </w:tcBorders>
          </w:tcPr>
          <w:p w14:paraId="283EA796" w14:textId="77777777" w:rsidR="009F33CD" w:rsidRDefault="00E40740" w:rsidP="00F75083">
            <w:pPr>
              <w:spacing w:before="0" w:beforeAutospacing="0" w:after="0" w:afterAutospacing="0" w:line="240" w:lineRule="auto"/>
              <w:jc w:val="center"/>
              <w:rPr>
                <w:bCs/>
              </w:rPr>
            </w:pPr>
            <w:r>
              <w:rPr>
                <w:bCs/>
              </w:rPr>
              <w:t>12</w:t>
            </w:r>
          </w:p>
        </w:tc>
        <w:tc>
          <w:tcPr>
            <w:tcW w:w="1130" w:type="pct"/>
            <w:tcBorders>
              <w:top w:val="nil"/>
              <w:left w:val="nil"/>
              <w:right w:val="nil"/>
            </w:tcBorders>
          </w:tcPr>
          <w:p w14:paraId="06AFE170" w14:textId="77777777" w:rsidR="009F33CD" w:rsidRDefault="00E40740" w:rsidP="00F75083">
            <w:pPr>
              <w:spacing w:before="0" w:beforeAutospacing="0" w:after="0" w:afterAutospacing="0" w:line="240" w:lineRule="auto"/>
              <w:jc w:val="center"/>
              <w:rPr>
                <w:bCs/>
              </w:rPr>
            </w:pPr>
            <w:r>
              <w:rPr>
                <w:bCs/>
              </w:rPr>
              <w:t>25.5</w:t>
            </w:r>
          </w:p>
        </w:tc>
      </w:tr>
      <w:tr w:rsidR="009F33CD" w14:paraId="17317B07" w14:textId="77777777" w:rsidTr="00F75083">
        <w:trPr>
          <w:trHeight w:val="45"/>
        </w:trPr>
        <w:tc>
          <w:tcPr>
            <w:tcW w:w="2837" w:type="pct"/>
            <w:tcBorders>
              <w:left w:val="nil"/>
              <w:bottom w:val="single" w:sz="4" w:space="0" w:color="000000"/>
              <w:right w:val="nil"/>
            </w:tcBorders>
          </w:tcPr>
          <w:p w14:paraId="4F31BD3D" w14:textId="77777777" w:rsidR="009F33CD" w:rsidRDefault="00E40740">
            <w:pPr>
              <w:spacing w:before="0" w:beforeAutospacing="0" w:after="0" w:afterAutospacing="0" w:line="240" w:lineRule="auto"/>
              <w:rPr>
                <w:bCs/>
              </w:rPr>
            </w:pPr>
            <w:r>
              <w:rPr>
                <w:b/>
                <w:bCs/>
              </w:rPr>
              <w:t xml:space="preserve">Total  </w:t>
            </w:r>
          </w:p>
        </w:tc>
        <w:tc>
          <w:tcPr>
            <w:tcW w:w="1033" w:type="pct"/>
            <w:tcBorders>
              <w:left w:val="nil"/>
              <w:bottom w:val="single" w:sz="4" w:space="0" w:color="000000"/>
              <w:right w:val="nil"/>
            </w:tcBorders>
          </w:tcPr>
          <w:p w14:paraId="42359F5B" w14:textId="77777777" w:rsidR="009F33CD" w:rsidRDefault="00E40740" w:rsidP="00F75083">
            <w:pPr>
              <w:spacing w:before="0" w:beforeAutospacing="0" w:after="0" w:afterAutospacing="0" w:line="240" w:lineRule="auto"/>
              <w:jc w:val="center"/>
              <w:rPr>
                <w:bCs/>
              </w:rPr>
            </w:pPr>
            <w:r>
              <w:rPr>
                <w:b/>
                <w:bCs/>
              </w:rPr>
              <w:t>47</w:t>
            </w:r>
          </w:p>
        </w:tc>
        <w:tc>
          <w:tcPr>
            <w:tcW w:w="1130" w:type="pct"/>
            <w:tcBorders>
              <w:left w:val="nil"/>
              <w:bottom w:val="single" w:sz="4" w:space="0" w:color="000000"/>
              <w:right w:val="nil"/>
            </w:tcBorders>
          </w:tcPr>
          <w:p w14:paraId="1E2F49DE" w14:textId="77777777" w:rsidR="009F33CD" w:rsidRDefault="00E40740" w:rsidP="00F75083">
            <w:pPr>
              <w:spacing w:before="0" w:beforeAutospacing="0" w:after="0" w:afterAutospacing="0" w:line="240" w:lineRule="auto"/>
              <w:jc w:val="center"/>
              <w:rPr>
                <w:bCs/>
              </w:rPr>
            </w:pPr>
            <w:r>
              <w:rPr>
                <w:b/>
                <w:bCs/>
              </w:rPr>
              <w:t>100.00</w:t>
            </w:r>
          </w:p>
        </w:tc>
      </w:tr>
    </w:tbl>
    <w:p w14:paraId="604989EB" w14:textId="77777777" w:rsidR="009F33CD" w:rsidRDefault="00E40740">
      <w:pPr>
        <w:spacing w:before="240"/>
      </w:pPr>
      <w:r>
        <w:lastRenderedPageBreak/>
        <w:t>The findings</w:t>
      </w:r>
      <w:r w:rsidR="008444FB">
        <w:t xml:space="preserve"> in Table 4.55</w:t>
      </w:r>
      <w:r>
        <w:t xml:space="preserve">, the majority representing 55.3% proposed the implementation of an evidence-based customer and employee satisfaction survey. The finding implies that employees in devolved healthcare services can perform better if an evidence-based customer and employee satisfaction survey is carried out. This finding is supported by a past study carried out </w:t>
      </w:r>
      <w:r>
        <w:rPr>
          <w:rFonts w:cs="Times New Roman"/>
          <w:color w:val="212121"/>
          <w:szCs w:val="24"/>
          <w:shd w:val="clear" w:color="auto" w:fill="FFFFFF"/>
        </w:rPr>
        <w:t>by Al-Abri (2014) who recommended that healthcare managers should efficiently allocate resources that improve service delivery and enhance patient satisfaction</w:t>
      </w:r>
      <w:r>
        <w:rPr>
          <w:rFonts w:ascii="Cambria" w:hAnsi="Cambria"/>
          <w:color w:val="212121"/>
          <w:sz w:val="26"/>
          <w:szCs w:val="26"/>
          <w:shd w:val="clear" w:color="auto" w:fill="FFFFFF"/>
        </w:rPr>
        <w:t>.</w:t>
      </w:r>
      <w:r>
        <w:t xml:space="preserve"> 19.2% suggested the need </w:t>
      </w:r>
      <w:r>
        <w:rPr>
          <w:bCs/>
        </w:rPr>
        <w:t xml:space="preserve">to enhance a set of rules and procedures for a green environment </w:t>
      </w:r>
      <w:r>
        <w:t xml:space="preserve">to increase the number of health professionals, and 25.5% suggested the </w:t>
      </w:r>
      <w:r>
        <w:rPr>
          <w:bCs/>
        </w:rPr>
        <w:t>Installation of computers in all service centers and providing backup in case of a power outage</w:t>
      </w:r>
      <w:r>
        <w:t xml:space="preserve">. These results agree with findings from interviews of key informants who argued that the hospitals do not conduct customer satisfaction surveys but rely on complaints/ compliments books to assess the areas to improve and those that the hospital has excelled in. </w:t>
      </w:r>
    </w:p>
    <w:p w14:paraId="003CD611" w14:textId="77777777" w:rsidR="009F33CD" w:rsidRDefault="00E40740">
      <w:pPr>
        <w:spacing w:before="240"/>
      </w:pPr>
      <w:r>
        <w:t>Further, document analysis conducted on the current study found no records of client satisfaction indices for the past six years, but the hospitals largely depend on compliment/ complaint books to assess customer requirements. There was, however, clear evidence in the compliment/ complaint book on particular actions the hospitals’ managements have taken regarding complaints or compliments from their customers. A document analysis guide was used in this study to check and collect secondary data from records about the performance of devolved healthcare services in Kenya. The study collected secondary data from the Health Information Department to analyze the trend of the number of patients attended for the past six years (2014-2019). The Level Five Hospitals provided the data which was combined per year, analy</w:t>
      </w:r>
      <w:r w:rsidR="008444FB">
        <w:t>zed, and displayed in Table 4.56</w:t>
      </w:r>
      <w:r>
        <w:t xml:space="preserve"> and Figure 4.4</w:t>
      </w:r>
    </w:p>
    <w:p w14:paraId="38ECE78C" w14:textId="77777777" w:rsidR="009F33CD" w:rsidRDefault="008444FB">
      <w:pPr>
        <w:pStyle w:val="Heading6"/>
        <w:rPr>
          <w:rFonts w:eastAsia="Times New Roman"/>
        </w:rPr>
      </w:pPr>
      <w:bookmarkStart w:id="1638" w:name="_Toc224237485"/>
      <w:bookmarkStart w:id="1639" w:name="_Toc147946921"/>
      <w:bookmarkStart w:id="1640" w:name="_Toc165626445"/>
      <w:bookmarkStart w:id="1641" w:name="_Toc147950260"/>
      <w:r>
        <w:t>Table 4.56</w:t>
      </w:r>
      <w:r w:rsidR="00E40740">
        <w:t>: Number of Patients Attended (2014-2019)</w:t>
      </w:r>
      <w:bookmarkEnd w:id="16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950"/>
        <w:gridCol w:w="950"/>
        <w:gridCol w:w="952"/>
        <w:gridCol w:w="951"/>
        <w:gridCol w:w="951"/>
        <w:gridCol w:w="1016"/>
      </w:tblGrid>
      <w:tr w:rsidR="009F33CD" w14:paraId="6D1ADEED" w14:textId="77777777" w:rsidTr="00F75083">
        <w:trPr>
          <w:trHeight w:val="414"/>
        </w:trPr>
        <w:tc>
          <w:tcPr>
            <w:tcW w:w="1493" w:type="pct"/>
            <w:tcBorders>
              <w:top w:val="single" w:sz="4" w:space="0" w:color="auto"/>
              <w:bottom w:val="single" w:sz="4" w:space="0" w:color="auto"/>
            </w:tcBorders>
          </w:tcPr>
          <w:p w14:paraId="737BC77D" w14:textId="77777777" w:rsidR="009F33CD" w:rsidRDefault="00E40740">
            <w:pPr>
              <w:spacing w:line="240" w:lineRule="auto"/>
              <w:rPr>
                <w:b/>
                <w:sz w:val="20"/>
              </w:rPr>
            </w:pPr>
            <w:bookmarkStart w:id="1642" w:name="_Toc187080933"/>
            <w:bookmarkStart w:id="1643" w:name="_Toc178942699"/>
            <w:bookmarkStart w:id="1644" w:name="_Toc178945109"/>
            <w:bookmarkStart w:id="1645" w:name="_Toc185614161"/>
            <w:r>
              <w:rPr>
                <w:b/>
                <w:sz w:val="20"/>
              </w:rPr>
              <w:t>Name of Level Five Hospital</w:t>
            </w:r>
            <w:bookmarkEnd w:id="1642"/>
            <w:bookmarkEnd w:id="1643"/>
            <w:bookmarkEnd w:id="1644"/>
            <w:bookmarkEnd w:id="1645"/>
          </w:p>
        </w:tc>
        <w:tc>
          <w:tcPr>
            <w:tcW w:w="580" w:type="pct"/>
            <w:tcBorders>
              <w:top w:val="single" w:sz="4" w:space="0" w:color="auto"/>
              <w:bottom w:val="single" w:sz="4" w:space="0" w:color="auto"/>
            </w:tcBorders>
          </w:tcPr>
          <w:p w14:paraId="6EA108A2" w14:textId="77777777" w:rsidR="009F33CD" w:rsidRDefault="00E40740">
            <w:pPr>
              <w:spacing w:line="240" w:lineRule="auto"/>
              <w:rPr>
                <w:b/>
                <w:sz w:val="20"/>
              </w:rPr>
            </w:pPr>
            <w:bookmarkStart w:id="1646" w:name="_Toc178945110"/>
            <w:bookmarkStart w:id="1647" w:name="_Toc178942700"/>
            <w:bookmarkStart w:id="1648" w:name="_Toc185614162"/>
            <w:bookmarkStart w:id="1649" w:name="_Toc187080934"/>
            <w:r>
              <w:rPr>
                <w:b/>
                <w:sz w:val="20"/>
              </w:rPr>
              <w:t>2014</w:t>
            </w:r>
            <w:bookmarkEnd w:id="1646"/>
            <w:bookmarkEnd w:id="1647"/>
            <w:bookmarkEnd w:id="1648"/>
            <w:bookmarkEnd w:id="1649"/>
          </w:p>
        </w:tc>
        <w:tc>
          <w:tcPr>
            <w:tcW w:w="580" w:type="pct"/>
            <w:tcBorders>
              <w:top w:val="single" w:sz="4" w:space="0" w:color="auto"/>
              <w:bottom w:val="single" w:sz="4" w:space="0" w:color="auto"/>
            </w:tcBorders>
          </w:tcPr>
          <w:p w14:paraId="32D5235E" w14:textId="77777777" w:rsidR="009F33CD" w:rsidRDefault="00E40740">
            <w:pPr>
              <w:spacing w:line="240" w:lineRule="auto"/>
              <w:rPr>
                <w:b/>
                <w:sz w:val="20"/>
              </w:rPr>
            </w:pPr>
            <w:bookmarkStart w:id="1650" w:name="_Toc178945111"/>
            <w:bookmarkStart w:id="1651" w:name="_Toc185614163"/>
            <w:bookmarkStart w:id="1652" w:name="_Toc178942701"/>
            <w:bookmarkStart w:id="1653" w:name="_Toc187080935"/>
            <w:r>
              <w:rPr>
                <w:b/>
                <w:sz w:val="20"/>
              </w:rPr>
              <w:t>2015</w:t>
            </w:r>
            <w:bookmarkEnd w:id="1650"/>
            <w:bookmarkEnd w:id="1651"/>
            <w:bookmarkEnd w:id="1652"/>
            <w:bookmarkEnd w:id="1653"/>
          </w:p>
        </w:tc>
        <w:tc>
          <w:tcPr>
            <w:tcW w:w="581" w:type="pct"/>
            <w:tcBorders>
              <w:top w:val="single" w:sz="4" w:space="0" w:color="auto"/>
              <w:bottom w:val="single" w:sz="4" w:space="0" w:color="auto"/>
            </w:tcBorders>
          </w:tcPr>
          <w:p w14:paraId="35BA9202" w14:textId="77777777" w:rsidR="009F33CD" w:rsidRDefault="00E40740">
            <w:pPr>
              <w:spacing w:line="240" w:lineRule="auto"/>
              <w:rPr>
                <w:b/>
                <w:sz w:val="20"/>
              </w:rPr>
            </w:pPr>
            <w:bookmarkStart w:id="1654" w:name="_Toc178942702"/>
            <w:bookmarkStart w:id="1655" w:name="_Toc178945112"/>
            <w:bookmarkStart w:id="1656" w:name="_Toc187080936"/>
            <w:bookmarkStart w:id="1657" w:name="_Toc185614164"/>
            <w:r>
              <w:rPr>
                <w:b/>
                <w:sz w:val="20"/>
              </w:rPr>
              <w:t>2016</w:t>
            </w:r>
            <w:bookmarkEnd w:id="1654"/>
            <w:bookmarkEnd w:id="1655"/>
            <w:bookmarkEnd w:id="1656"/>
            <w:bookmarkEnd w:id="1657"/>
          </w:p>
        </w:tc>
        <w:tc>
          <w:tcPr>
            <w:tcW w:w="580" w:type="pct"/>
            <w:tcBorders>
              <w:top w:val="single" w:sz="4" w:space="0" w:color="auto"/>
              <w:bottom w:val="single" w:sz="4" w:space="0" w:color="auto"/>
            </w:tcBorders>
          </w:tcPr>
          <w:p w14:paraId="51802DCB" w14:textId="77777777" w:rsidR="009F33CD" w:rsidRDefault="00E40740">
            <w:pPr>
              <w:spacing w:line="240" w:lineRule="auto"/>
              <w:rPr>
                <w:b/>
                <w:sz w:val="20"/>
              </w:rPr>
            </w:pPr>
            <w:bookmarkStart w:id="1658" w:name="_Toc187080937"/>
            <w:bookmarkStart w:id="1659" w:name="_Toc178945113"/>
            <w:bookmarkStart w:id="1660" w:name="_Toc178942703"/>
            <w:bookmarkStart w:id="1661" w:name="_Toc185614165"/>
            <w:r>
              <w:rPr>
                <w:b/>
                <w:sz w:val="20"/>
              </w:rPr>
              <w:t>2017</w:t>
            </w:r>
            <w:bookmarkEnd w:id="1658"/>
            <w:bookmarkEnd w:id="1659"/>
            <w:bookmarkEnd w:id="1660"/>
            <w:bookmarkEnd w:id="1661"/>
          </w:p>
        </w:tc>
        <w:tc>
          <w:tcPr>
            <w:tcW w:w="580" w:type="pct"/>
            <w:tcBorders>
              <w:top w:val="single" w:sz="4" w:space="0" w:color="auto"/>
              <w:bottom w:val="single" w:sz="4" w:space="0" w:color="auto"/>
            </w:tcBorders>
          </w:tcPr>
          <w:p w14:paraId="3D69A122" w14:textId="77777777" w:rsidR="009F33CD" w:rsidRDefault="00E40740">
            <w:pPr>
              <w:spacing w:line="240" w:lineRule="auto"/>
              <w:rPr>
                <w:b/>
                <w:sz w:val="20"/>
              </w:rPr>
            </w:pPr>
            <w:bookmarkStart w:id="1662" w:name="_Toc178942704"/>
            <w:bookmarkStart w:id="1663" w:name="_Toc187080938"/>
            <w:bookmarkStart w:id="1664" w:name="_Toc185614166"/>
            <w:bookmarkStart w:id="1665" w:name="_Toc178945114"/>
            <w:r>
              <w:rPr>
                <w:b/>
                <w:sz w:val="20"/>
              </w:rPr>
              <w:t>2018</w:t>
            </w:r>
            <w:bookmarkEnd w:id="1662"/>
            <w:bookmarkEnd w:id="1663"/>
            <w:bookmarkEnd w:id="1664"/>
            <w:bookmarkEnd w:id="1665"/>
          </w:p>
        </w:tc>
        <w:tc>
          <w:tcPr>
            <w:tcW w:w="607" w:type="pct"/>
            <w:tcBorders>
              <w:top w:val="single" w:sz="4" w:space="0" w:color="auto"/>
              <w:bottom w:val="single" w:sz="4" w:space="0" w:color="auto"/>
            </w:tcBorders>
          </w:tcPr>
          <w:p w14:paraId="18576DC5" w14:textId="77777777" w:rsidR="009F33CD" w:rsidRDefault="00E40740">
            <w:pPr>
              <w:spacing w:line="240" w:lineRule="auto"/>
              <w:rPr>
                <w:b/>
                <w:sz w:val="20"/>
              </w:rPr>
            </w:pPr>
            <w:bookmarkStart w:id="1666" w:name="_Toc187080939"/>
            <w:bookmarkStart w:id="1667" w:name="_Toc178942705"/>
            <w:bookmarkStart w:id="1668" w:name="_Toc185614167"/>
            <w:bookmarkStart w:id="1669" w:name="_Toc178945115"/>
            <w:r>
              <w:rPr>
                <w:b/>
                <w:sz w:val="20"/>
              </w:rPr>
              <w:t>2019</w:t>
            </w:r>
            <w:bookmarkEnd w:id="1666"/>
            <w:bookmarkEnd w:id="1667"/>
            <w:bookmarkEnd w:id="1668"/>
            <w:bookmarkEnd w:id="1669"/>
          </w:p>
        </w:tc>
      </w:tr>
      <w:tr w:rsidR="009F33CD" w14:paraId="5C890AE0" w14:textId="77777777" w:rsidTr="00F75083">
        <w:trPr>
          <w:trHeight w:val="179"/>
        </w:trPr>
        <w:tc>
          <w:tcPr>
            <w:tcW w:w="1493" w:type="pct"/>
            <w:tcBorders>
              <w:top w:val="single" w:sz="4" w:space="0" w:color="auto"/>
            </w:tcBorders>
          </w:tcPr>
          <w:p w14:paraId="3AE72B6D" w14:textId="77777777" w:rsidR="009F33CD" w:rsidRDefault="00E40740">
            <w:pPr>
              <w:spacing w:line="240" w:lineRule="auto"/>
              <w:rPr>
                <w:sz w:val="20"/>
              </w:rPr>
            </w:pPr>
            <w:r>
              <w:rPr>
                <w:sz w:val="20"/>
              </w:rPr>
              <w:t xml:space="preserve">Embu Level Five Hospital </w:t>
            </w:r>
          </w:p>
        </w:tc>
        <w:tc>
          <w:tcPr>
            <w:tcW w:w="580" w:type="pct"/>
            <w:tcBorders>
              <w:top w:val="single" w:sz="4" w:space="0" w:color="auto"/>
            </w:tcBorders>
          </w:tcPr>
          <w:p w14:paraId="5179BBDB" w14:textId="77777777" w:rsidR="009F33CD" w:rsidRDefault="00E40740">
            <w:pPr>
              <w:spacing w:line="240" w:lineRule="auto"/>
              <w:rPr>
                <w:sz w:val="20"/>
              </w:rPr>
            </w:pPr>
            <w:r>
              <w:rPr>
                <w:sz w:val="20"/>
              </w:rPr>
              <w:t xml:space="preserve">132,263 </w:t>
            </w:r>
          </w:p>
        </w:tc>
        <w:tc>
          <w:tcPr>
            <w:tcW w:w="580" w:type="pct"/>
            <w:tcBorders>
              <w:top w:val="single" w:sz="4" w:space="0" w:color="auto"/>
            </w:tcBorders>
          </w:tcPr>
          <w:p w14:paraId="4628906F" w14:textId="77777777" w:rsidR="009F33CD" w:rsidRDefault="00E40740">
            <w:pPr>
              <w:spacing w:line="240" w:lineRule="auto"/>
              <w:rPr>
                <w:sz w:val="20"/>
              </w:rPr>
            </w:pPr>
            <w:r>
              <w:rPr>
                <w:sz w:val="20"/>
              </w:rPr>
              <w:t xml:space="preserve">146,053 </w:t>
            </w:r>
          </w:p>
        </w:tc>
        <w:tc>
          <w:tcPr>
            <w:tcW w:w="581" w:type="pct"/>
            <w:tcBorders>
              <w:top w:val="single" w:sz="4" w:space="0" w:color="auto"/>
            </w:tcBorders>
          </w:tcPr>
          <w:p w14:paraId="1D39BDEE" w14:textId="77777777" w:rsidR="009F33CD" w:rsidRDefault="00E40740">
            <w:pPr>
              <w:spacing w:line="240" w:lineRule="auto"/>
              <w:rPr>
                <w:sz w:val="20"/>
              </w:rPr>
            </w:pPr>
            <w:r>
              <w:rPr>
                <w:sz w:val="20"/>
              </w:rPr>
              <w:t xml:space="preserve">156,049 </w:t>
            </w:r>
          </w:p>
        </w:tc>
        <w:tc>
          <w:tcPr>
            <w:tcW w:w="580" w:type="pct"/>
            <w:tcBorders>
              <w:top w:val="single" w:sz="4" w:space="0" w:color="auto"/>
            </w:tcBorders>
          </w:tcPr>
          <w:p w14:paraId="4B381180" w14:textId="77777777" w:rsidR="009F33CD" w:rsidRDefault="00E40740">
            <w:pPr>
              <w:spacing w:line="240" w:lineRule="auto"/>
              <w:rPr>
                <w:sz w:val="20"/>
              </w:rPr>
            </w:pPr>
            <w:r>
              <w:rPr>
                <w:sz w:val="20"/>
              </w:rPr>
              <w:t xml:space="preserve">114,362 </w:t>
            </w:r>
          </w:p>
        </w:tc>
        <w:tc>
          <w:tcPr>
            <w:tcW w:w="580" w:type="pct"/>
            <w:tcBorders>
              <w:top w:val="single" w:sz="4" w:space="0" w:color="auto"/>
            </w:tcBorders>
          </w:tcPr>
          <w:p w14:paraId="410444A0" w14:textId="77777777" w:rsidR="009F33CD" w:rsidRDefault="00E40740">
            <w:pPr>
              <w:spacing w:line="240" w:lineRule="auto"/>
              <w:rPr>
                <w:sz w:val="20"/>
              </w:rPr>
            </w:pPr>
            <w:r>
              <w:rPr>
                <w:sz w:val="20"/>
              </w:rPr>
              <w:t xml:space="preserve">151,252 </w:t>
            </w:r>
          </w:p>
        </w:tc>
        <w:tc>
          <w:tcPr>
            <w:tcW w:w="607" w:type="pct"/>
            <w:tcBorders>
              <w:top w:val="single" w:sz="4" w:space="0" w:color="auto"/>
            </w:tcBorders>
          </w:tcPr>
          <w:p w14:paraId="5BC981E5" w14:textId="77777777" w:rsidR="009F33CD" w:rsidRDefault="00E40740">
            <w:pPr>
              <w:spacing w:line="240" w:lineRule="auto"/>
              <w:rPr>
                <w:sz w:val="20"/>
              </w:rPr>
            </w:pPr>
            <w:r>
              <w:rPr>
                <w:sz w:val="20"/>
              </w:rPr>
              <w:t xml:space="preserve">203,912 </w:t>
            </w:r>
          </w:p>
        </w:tc>
      </w:tr>
      <w:tr w:rsidR="009F33CD" w14:paraId="1F91ADC6" w14:textId="77777777" w:rsidTr="00F75083">
        <w:trPr>
          <w:trHeight w:val="259"/>
        </w:trPr>
        <w:tc>
          <w:tcPr>
            <w:tcW w:w="1493" w:type="pct"/>
          </w:tcPr>
          <w:p w14:paraId="107327AB" w14:textId="77777777" w:rsidR="009F33CD" w:rsidRDefault="00E40740">
            <w:pPr>
              <w:spacing w:line="240" w:lineRule="auto"/>
              <w:rPr>
                <w:sz w:val="20"/>
              </w:rPr>
            </w:pPr>
            <w:r>
              <w:rPr>
                <w:sz w:val="20"/>
              </w:rPr>
              <w:t xml:space="preserve">Machakos Level Five Hospital </w:t>
            </w:r>
          </w:p>
        </w:tc>
        <w:tc>
          <w:tcPr>
            <w:tcW w:w="580" w:type="pct"/>
          </w:tcPr>
          <w:p w14:paraId="2CC57B00" w14:textId="77777777" w:rsidR="009F33CD" w:rsidRDefault="00E40740">
            <w:pPr>
              <w:spacing w:line="240" w:lineRule="auto"/>
              <w:rPr>
                <w:sz w:val="20"/>
              </w:rPr>
            </w:pPr>
            <w:r>
              <w:rPr>
                <w:sz w:val="20"/>
              </w:rPr>
              <w:t xml:space="preserve">187,419 </w:t>
            </w:r>
          </w:p>
        </w:tc>
        <w:tc>
          <w:tcPr>
            <w:tcW w:w="580" w:type="pct"/>
          </w:tcPr>
          <w:p w14:paraId="2F0C8B76" w14:textId="77777777" w:rsidR="009F33CD" w:rsidRDefault="00E40740">
            <w:pPr>
              <w:spacing w:line="240" w:lineRule="auto"/>
              <w:rPr>
                <w:sz w:val="20"/>
              </w:rPr>
            </w:pPr>
            <w:r>
              <w:rPr>
                <w:sz w:val="20"/>
              </w:rPr>
              <w:t xml:space="preserve">228,000 </w:t>
            </w:r>
          </w:p>
        </w:tc>
        <w:tc>
          <w:tcPr>
            <w:tcW w:w="581" w:type="pct"/>
          </w:tcPr>
          <w:p w14:paraId="0F4F0D41" w14:textId="77777777" w:rsidR="009F33CD" w:rsidRDefault="00E40740">
            <w:pPr>
              <w:spacing w:line="240" w:lineRule="auto"/>
              <w:rPr>
                <w:sz w:val="20"/>
              </w:rPr>
            </w:pPr>
            <w:r>
              <w:rPr>
                <w:sz w:val="20"/>
              </w:rPr>
              <w:t xml:space="preserve">220,489 </w:t>
            </w:r>
          </w:p>
        </w:tc>
        <w:tc>
          <w:tcPr>
            <w:tcW w:w="580" w:type="pct"/>
          </w:tcPr>
          <w:p w14:paraId="66BC32DB" w14:textId="77777777" w:rsidR="009F33CD" w:rsidRDefault="00E40740">
            <w:pPr>
              <w:spacing w:line="240" w:lineRule="auto"/>
              <w:rPr>
                <w:sz w:val="20"/>
              </w:rPr>
            </w:pPr>
            <w:r>
              <w:rPr>
                <w:sz w:val="20"/>
              </w:rPr>
              <w:t xml:space="preserve">124,666 </w:t>
            </w:r>
          </w:p>
        </w:tc>
        <w:tc>
          <w:tcPr>
            <w:tcW w:w="580" w:type="pct"/>
          </w:tcPr>
          <w:p w14:paraId="5CF7D6E5" w14:textId="77777777" w:rsidR="009F33CD" w:rsidRDefault="00E40740">
            <w:pPr>
              <w:spacing w:line="240" w:lineRule="auto"/>
              <w:rPr>
                <w:sz w:val="20"/>
              </w:rPr>
            </w:pPr>
            <w:r>
              <w:rPr>
                <w:sz w:val="20"/>
              </w:rPr>
              <w:t xml:space="preserve">162,331 </w:t>
            </w:r>
          </w:p>
        </w:tc>
        <w:tc>
          <w:tcPr>
            <w:tcW w:w="607" w:type="pct"/>
          </w:tcPr>
          <w:p w14:paraId="2AFBF924" w14:textId="77777777" w:rsidR="009F33CD" w:rsidRDefault="00E40740">
            <w:pPr>
              <w:spacing w:line="240" w:lineRule="auto"/>
              <w:rPr>
                <w:sz w:val="20"/>
              </w:rPr>
            </w:pPr>
            <w:r>
              <w:rPr>
                <w:sz w:val="20"/>
              </w:rPr>
              <w:t xml:space="preserve">270,028 </w:t>
            </w:r>
          </w:p>
        </w:tc>
      </w:tr>
      <w:tr w:rsidR="009F33CD" w14:paraId="6C6C97F1" w14:textId="77777777" w:rsidTr="00F75083">
        <w:trPr>
          <w:trHeight w:val="337"/>
        </w:trPr>
        <w:tc>
          <w:tcPr>
            <w:tcW w:w="1493" w:type="pct"/>
          </w:tcPr>
          <w:p w14:paraId="32C45AA6" w14:textId="77777777" w:rsidR="009F33CD" w:rsidRDefault="00E40740">
            <w:pPr>
              <w:spacing w:line="240" w:lineRule="auto"/>
              <w:rPr>
                <w:sz w:val="20"/>
              </w:rPr>
            </w:pPr>
            <w:r>
              <w:rPr>
                <w:sz w:val="20"/>
              </w:rPr>
              <w:t>Mama Lucy Kibaki Level Five Hospital</w:t>
            </w:r>
          </w:p>
        </w:tc>
        <w:tc>
          <w:tcPr>
            <w:tcW w:w="580" w:type="pct"/>
          </w:tcPr>
          <w:p w14:paraId="31D6645A" w14:textId="77777777" w:rsidR="009F33CD" w:rsidRDefault="00E40740">
            <w:pPr>
              <w:spacing w:line="240" w:lineRule="auto"/>
              <w:rPr>
                <w:sz w:val="20"/>
              </w:rPr>
            </w:pPr>
            <w:r>
              <w:rPr>
                <w:sz w:val="20"/>
              </w:rPr>
              <w:t xml:space="preserve">160,061 </w:t>
            </w:r>
          </w:p>
        </w:tc>
        <w:tc>
          <w:tcPr>
            <w:tcW w:w="580" w:type="pct"/>
          </w:tcPr>
          <w:p w14:paraId="08D4A691" w14:textId="77777777" w:rsidR="009F33CD" w:rsidRDefault="00E40740">
            <w:pPr>
              <w:spacing w:line="240" w:lineRule="auto"/>
              <w:rPr>
                <w:sz w:val="20"/>
              </w:rPr>
            </w:pPr>
            <w:r>
              <w:rPr>
                <w:sz w:val="20"/>
              </w:rPr>
              <w:t xml:space="preserve">185,068 </w:t>
            </w:r>
          </w:p>
        </w:tc>
        <w:tc>
          <w:tcPr>
            <w:tcW w:w="581" w:type="pct"/>
          </w:tcPr>
          <w:p w14:paraId="6106C24B" w14:textId="77777777" w:rsidR="009F33CD" w:rsidRDefault="00E40740">
            <w:pPr>
              <w:spacing w:line="240" w:lineRule="auto"/>
              <w:rPr>
                <w:sz w:val="20"/>
              </w:rPr>
            </w:pPr>
            <w:r>
              <w:rPr>
                <w:sz w:val="20"/>
              </w:rPr>
              <w:t xml:space="preserve">274,150 </w:t>
            </w:r>
          </w:p>
        </w:tc>
        <w:tc>
          <w:tcPr>
            <w:tcW w:w="580" w:type="pct"/>
          </w:tcPr>
          <w:p w14:paraId="5B58AB3C" w14:textId="77777777" w:rsidR="009F33CD" w:rsidRDefault="00E40740">
            <w:pPr>
              <w:spacing w:line="240" w:lineRule="auto"/>
              <w:rPr>
                <w:sz w:val="20"/>
              </w:rPr>
            </w:pPr>
            <w:r>
              <w:rPr>
                <w:sz w:val="20"/>
              </w:rPr>
              <w:t xml:space="preserve">166,309 </w:t>
            </w:r>
          </w:p>
        </w:tc>
        <w:tc>
          <w:tcPr>
            <w:tcW w:w="580" w:type="pct"/>
          </w:tcPr>
          <w:p w14:paraId="73ADFD87" w14:textId="77777777" w:rsidR="009F33CD" w:rsidRDefault="00E40740">
            <w:pPr>
              <w:spacing w:line="240" w:lineRule="auto"/>
              <w:rPr>
                <w:sz w:val="20"/>
              </w:rPr>
            </w:pPr>
            <w:r>
              <w:rPr>
                <w:sz w:val="20"/>
              </w:rPr>
              <w:t xml:space="preserve">303,613 </w:t>
            </w:r>
          </w:p>
        </w:tc>
        <w:tc>
          <w:tcPr>
            <w:tcW w:w="607" w:type="pct"/>
          </w:tcPr>
          <w:p w14:paraId="74E410FC" w14:textId="77777777" w:rsidR="009F33CD" w:rsidRDefault="00E40740">
            <w:pPr>
              <w:spacing w:line="240" w:lineRule="auto"/>
              <w:rPr>
                <w:sz w:val="20"/>
              </w:rPr>
            </w:pPr>
            <w:r>
              <w:rPr>
                <w:sz w:val="20"/>
              </w:rPr>
              <w:t xml:space="preserve">298,575 </w:t>
            </w:r>
          </w:p>
        </w:tc>
      </w:tr>
      <w:tr w:rsidR="009F33CD" w14:paraId="73346214" w14:textId="77777777" w:rsidTr="002E7E4A">
        <w:trPr>
          <w:trHeight w:val="207"/>
        </w:trPr>
        <w:tc>
          <w:tcPr>
            <w:tcW w:w="1493" w:type="pct"/>
            <w:tcBorders>
              <w:bottom w:val="nil"/>
            </w:tcBorders>
          </w:tcPr>
          <w:p w14:paraId="1D0DF742" w14:textId="77777777" w:rsidR="009F33CD" w:rsidRDefault="00E40740">
            <w:pPr>
              <w:spacing w:line="240" w:lineRule="auto"/>
              <w:rPr>
                <w:sz w:val="20"/>
              </w:rPr>
            </w:pPr>
            <w:r>
              <w:rPr>
                <w:sz w:val="20"/>
              </w:rPr>
              <w:t>Nakuru Level Five Hospital</w:t>
            </w:r>
          </w:p>
        </w:tc>
        <w:tc>
          <w:tcPr>
            <w:tcW w:w="580" w:type="pct"/>
            <w:tcBorders>
              <w:bottom w:val="nil"/>
            </w:tcBorders>
          </w:tcPr>
          <w:p w14:paraId="3BD35872" w14:textId="77777777" w:rsidR="009F33CD" w:rsidRDefault="00E40740">
            <w:pPr>
              <w:spacing w:line="240" w:lineRule="auto"/>
              <w:rPr>
                <w:sz w:val="20"/>
              </w:rPr>
            </w:pPr>
            <w:r>
              <w:rPr>
                <w:sz w:val="20"/>
              </w:rPr>
              <w:t>282,750</w:t>
            </w:r>
          </w:p>
        </w:tc>
        <w:tc>
          <w:tcPr>
            <w:tcW w:w="580" w:type="pct"/>
            <w:tcBorders>
              <w:bottom w:val="nil"/>
            </w:tcBorders>
          </w:tcPr>
          <w:p w14:paraId="35F4F378" w14:textId="77777777" w:rsidR="009F33CD" w:rsidRDefault="00E40740">
            <w:pPr>
              <w:spacing w:line="240" w:lineRule="auto"/>
              <w:rPr>
                <w:sz w:val="20"/>
              </w:rPr>
            </w:pPr>
            <w:r>
              <w:rPr>
                <w:sz w:val="20"/>
              </w:rPr>
              <w:t>289,524</w:t>
            </w:r>
          </w:p>
        </w:tc>
        <w:tc>
          <w:tcPr>
            <w:tcW w:w="581" w:type="pct"/>
            <w:tcBorders>
              <w:bottom w:val="nil"/>
            </w:tcBorders>
          </w:tcPr>
          <w:p w14:paraId="112D0535" w14:textId="77777777" w:rsidR="009F33CD" w:rsidRDefault="00E40740">
            <w:pPr>
              <w:spacing w:line="240" w:lineRule="auto"/>
              <w:rPr>
                <w:sz w:val="20"/>
              </w:rPr>
            </w:pPr>
            <w:r>
              <w:rPr>
                <w:sz w:val="20"/>
              </w:rPr>
              <w:t>324,304</w:t>
            </w:r>
          </w:p>
        </w:tc>
        <w:tc>
          <w:tcPr>
            <w:tcW w:w="580" w:type="pct"/>
            <w:tcBorders>
              <w:bottom w:val="nil"/>
            </w:tcBorders>
          </w:tcPr>
          <w:p w14:paraId="072D8817" w14:textId="77777777" w:rsidR="009F33CD" w:rsidRDefault="00E40740">
            <w:pPr>
              <w:spacing w:line="240" w:lineRule="auto"/>
              <w:rPr>
                <w:sz w:val="20"/>
              </w:rPr>
            </w:pPr>
            <w:r>
              <w:rPr>
                <w:sz w:val="20"/>
              </w:rPr>
              <w:t>232,986</w:t>
            </w:r>
          </w:p>
        </w:tc>
        <w:tc>
          <w:tcPr>
            <w:tcW w:w="580" w:type="pct"/>
            <w:tcBorders>
              <w:bottom w:val="nil"/>
            </w:tcBorders>
          </w:tcPr>
          <w:p w14:paraId="78CA98EB" w14:textId="77777777" w:rsidR="009F33CD" w:rsidRDefault="00E40740">
            <w:pPr>
              <w:spacing w:line="240" w:lineRule="auto"/>
              <w:rPr>
                <w:sz w:val="20"/>
              </w:rPr>
            </w:pPr>
            <w:r>
              <w:rPr>
                <w:sz w:val="20"/>
              </w:rPr>
              <w:t>336,275</w:t>
            </w:r>
          </w:p>
        </w:tc>
        <w:tc>
          <w:tcPr>
            <w:tcW w:w="607" w:type="pct"/>
            <w:tcBorders>
              <w:bottom w:val="nil"/>
            </w:tcBorders>
          </w:tcPr>
          <w:p w14:paraId="0F5962EA" w14:textId="77777777" w:rsidR="009F33CD" w:rsidRDefault="00E40740">
            <w:pPr>
              <w:spacing w:line="240" w:lineRule="auto"/>
              <w:rPr>
                <w:sz w:val="20"/>
              </w:rPr>
            </w:pPr>
            <w:r>
              <w:rPr>
                <w:sz w:val="20"/>
              </w:rPr>
              <w:t>362,052</w:t>
            </w:r>
          </w:p>
        </w:tc>
      </w:tr>
      <w:tr w:rsidR="009F33CD" w14:paraId="76636703" w14:textId="77777777" w:rsidTr="002E7E4A">
        <w:trPr>
          <w:trHeight w:val="45"/>
        </w:trPr>
        <w:tc>
          <w:tcPr>
            <w:tcW w:w="1493" w:type="pct"/>
            <w:tcBorders>
              <w:top w:val="nil"/>
              <w:bottom w:val="single" w:sz="4" w:space="0" w:color="auto"/>
            </w:tcBorders>
          </w:tcPr>
          <w:p w14:paraId="3BA38683" w14:textId="77777777" w:rsidR="009F33CD" w:rsidRDefault="00E40740">
            <w:pPr>
              <w:spacing w:line="240" w:lineRule="auto"/>
              <w:rPr>
                <w:b/>
                <w:sz w:val="20"/>
              </w:rPr>
            </w:pPr>
            <w:r>
              <w:rPr>
                <w:b/>
                <w:sz w:val="20"/>
              </w:rPr>
              <w:t>Total Patient numbers</w:t>
            </w:r>
          </w:p>
        </w:tc>
        <w:tc>
          <w:tcPr>
            <w:tcW w:w="580" w:type="pct"/>
            <w:tcBorders>
              <w:top w:val="nil"/>
              <w:bottom w:val="single" w:sz="4" w:space="0" w:color="auto"/>
            </w:tcBorders>
          </w:tcPr>
          <w:p w14:paraId="0B6C2323" w14:textId="77777777" w:rsidR="009F33CD" w:rsidRDefault="00E40740">
            <w:pPr>
              <w:spacing w:line="240" w:lineRule="auto"/>
              <w:rPr>
                <w:b/>
                <w:sz w:val="20"/>
              </w:rPr>
            </w:pPr>
            <w:r>
              <w:rPr>
                <w:b/>
                <w:sz w:val="20"/>
              </w:rPr>
              <w:t>762,493</w:t>
            </w:r>
          </w:p>
        </w:tc>
        <w:tc>
          <w:tcPr>
            <w:tcW w:w="580" w:type="pct"/>
            <w:tcBorders>
              <w:top w:val="nil"/>
              <w:bottom w:val="single" w:sz="4" w:space="0" w:color="auto"/>
            </w:tcBorders>
          </w:tcPr>
          <w:p w14:paraId="4E8CBD7F" w14:textId="77777777" w:rsidR="009F33CD" w:rsidRDefault="00E40740">
            <w:pPr>
              <w:spacing w:line="240" w:lineRule="auto"/>
              <w:rPr>
                <w:b/>
                <w:sz w:val="20"/>
              </w:rPr>
            </w:pPr>
            <w:r>
              <w:rPr>
                <w:b/>
                <w:sz w:val="20"/>
              </w:rPr>
              <w:t>848,645</w:t>
            </w:r>
          </w:p>
        </w:tc>
        <w:tc>
          <w:tcPr>
            <w:tcW w:w="581" w:type="pct"/>
            <w:tcBorders>
              <w:top w:val="nil"/>
              <w:bottom w:val="single" w:sz="4" w:space="0" w:color="auto"/>
            </w:tcBorders>
          </w:tcPr>
          <w:p w14:paraId="084E8B6E" w14:textId="77777777" w:rsidR="009F33CD" w:rsidRDefault="00E40740">
            <w:pPr>
              <w:spacing w:line="240" w:lineRule="auto"/>
              <w:rPr>
                <w:b/>
                <w:sz w:val="20"/>
              </w:rPr>
            </w:pPr>
            <w:r>
              <w:rPr>
                <w:b/>
                <w:sz w:val="20"/>
              </w:rPr>
              <w:t>974,992</w:t>
            </w:r>
          </w:p>
        </w:tc>
        <w:tc>
          <w:tcPr>
            <w:tcW w:w="580" w:type="pct"/>
            <w:tcBorders>
              <w:top w:val="nil"/>
              <w:bottom w:val="single" w:sz="4" w:space="0" w:color="auto"/>
            </w:tcBorders>
          </w:tcPr>
          <w:p w14:paraId="4847A9B7" w14:textId="77777777" w:rsidR="009F33CD" w:rsidRDefault="00E40740">
            <w:pPr>
              <w:spacing w:line="240" w:lineRule="auto"/>
              <w:rPr>
                <w:b/>
                <w:sz w:val="20"/>
              </w:rPr>
            </w:pPr>
            <w:r>
              <w:rPr>
                <w:b/>
                <w:sz w:val="20"/>
              </w:rPr>
              <w:t>638,323</w:t>
            </w:r>
          </w:p>
        </w:tc>
        <w:tc>
          <w:tcPr>
            <w:tcW w:w="580" w:type="pct"/>
            <w:tcBorders>
              <w:top w:val="nil"/>
              <w:bottom w:val="single" w:sz="4" w:space="0" w:color="auto"/>
            </w:tcBorders>
          </w:tcPr>
          <w:p w14:paraId="0046B883" w14:textId="77777777" w:rsidR="009F33CD" w:rsidRDefault="00E40740">
            <w:pPr>
              <w:spacing w:line="240" w:lineRule="auto"/>
              <w:rPr>
                <w:b/>
                <w:sz w:val="20"/>
              </w:rPr>
            </w:pPr>
            <w:r>
              <w:rPr>
                <w:b/>
                <w:sz w:val="20"/>
              </w:rPr>
              <w:t>953,471</w:t>
            </w:r>
          </w:p>
        </w:tc>
        <w:tc>
          <w:tcPr>
            <w:tcW w:w="607" w:type="pct"/>
            <w:tcBorders>
              <w:top w:val="nil"/>
              <w:bottom w:val="single" w:sz="4" w:space="0" w:color="auto"/>
            </w:tcBorders>
          </w:tcPr>
          <w:p w14:paraId="342123B3" w14:textId="77777777" w:rsidR="009F33CD" w:rsidRDefault="00E40740">
            <w:pPr>
              <w:spacing w:line="240" w:lineRule="auto"/>
              <w:rPr>
                <w:b/>
                <w:sz w:val="20"/>
              </w:rPr>
            </w:pPr>
            <w:r>
              <w:rPr>
                <w:b/>
                <w:sz w:val="20"/>
              </w:rPr>
              <w:t>1,134,567</w:t>
            </w:r>
          </w:p>
        </w:tc>
      </w:tr>
    </w:tbl>
    <w:p w14:paraId="5E73D646" w14:textId="77777777" w:rsidR="00F75083" w:rsidRDefault="00F75083">
      <w:r w:rsidRPr="008444FB">
        <w:rPr>
          <w:b/>
        </w:rPr>
        <w:lastRenderedPageBreak/>
        <w:t>Source:</w:t>
      </w:r>
      <w:r w:rsidRPr="00F75083">
        <w:t xml:space="preserve"> </w:t>
      </w:r>
      <w:r>
        <w:t>(</w:t>
      </w:r>
      <w:r w:rsidRPr="00F75083">
        <w:t>Health Information Department, 2022</w:t>
      </w:r>
      <w:r>
        <w:t>)</w:t>
      </w:r>
    </w:p>
    <w:p w14:paraId="1CF022C2" w14:textId="77777777" w:rsidR="002E7E4A" w:rsidRDefault="00E40740">
      <w:r>
        <w:t>Desc</w:t>
      </w:r>
      <w:r w:rsidR="008444FB">
        <w:t>riptive statistics in Table 4.56</w:t>
      </w:r>
      <w:r>
        <w:t xml:space="preserve"> and Figure 4.4 show that patient numbers increased from 762,493 in 2014 to 1,134,567 in 2019, apart from the year 2017 when the number of patients dropped to 638,323. Further inquiry indicated that in 2017, there was a countrywide strike of healthcare employees for six months which led to the decline in the number of patients seeking devolved healthcare services. </w:t>
      </w:r>
    </w:p>
    <w:bookmarkEnd w:id="1639"/>
    <w:bookmarkEnd w:id="1640"/>
    <w:bookmarkEnd w:id="1641"/>
    <w:p w14:paraId="43723276" w14:textId="77777777" w:rsidR="009F33CD" w:rsidRDefault="00E40740">
      <w:r>
        <w:rPr>
          <w:noProof/>
          <w:lang w:val="en-US"/>
        </w:rPr>
        <w:drawing>
          <wp:inline distT="0" distB="0" distL="0" distR="0" wp14:anchorId="6F679503" wp14:editId="73CC9916">
            <wp:extent cx="5269865" cy="2573655"/>
            <wp:effectExtent l="0" t="0" r="6985" b="1714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06A55F" w14:textId="77777777" w:rsidR="009F33CD" w:rsidRDefault="00E40740">
      <w:pPr>
        <w:pStyle w:val="Heading5"/>
      </w:pPr>
      <w:bookmarkStart w:id="1670" w:name="_Toc187996271"/>
      <w:bookmarkStart w:id="1671" w:name="_Toc185614168"/>
      <w:bookmarkStart w:id="1672" w:name="_Toc187080940"/>
      <w:bookmarkStart w:id="1673" w:name="_Toc178945116"/>
      <w:r>
        <w:t>Figure 4.4: Number of Patients Attended (2014-2019)</w:t>
      </w:r>
      <w:bookmarkEnd w:id="1670"/>
      <w:bookmarkEnd w:id="1671"/>
      <w:bookmarkEnd w:id="1672"/>
      <w:bookmarkEnd w:id="1673"/>
    </w:p>
    <w:p w14:paraId="0D02F273" w14:textId="77777777" w:rsidR="009F33CD" w:rsidRDefault="00E40740">
      <w:pPr>
        <w:rPr>
          <w:rFonts w:eastAsia="TimesNewRoman" w:cs="Times New Roman"/>
          <w:bCs/>
          <w:szCs w:val="24"/>
        </w:rPr>
      </w:pPr>
      <w:r>
        <w:t xml:space="preserve">The implication is that the performance of devolved healthcare services largely depends on employees offering their services in an eco-friendly environment. Because most Level Five Hospitals have gone paperless, especially inpatient registration, capturing the health information of the patient and sharing that information online among healthcare workers at different service areas within the hospital, has improved devolved healthcare services. Online services through health management information systems reduce the cost of printing paper and improve the performance of health information employees because they do not waste time recording, storing, retrieving, and moving physical files from one service area to another. These findings are supported by a study conducted by </w:t>
      </w:r>
      <w:r>
        <w:rPr>
          <w:rFonts w:eastAsia="TimesNewRoman" w:cs="Times New Roman"/>
          <w:bCs/>
          <w:szCs w:val="24"/>
        </w:rPr>
        <w:t>Marhatta and Adhikari (2013) which found that if human resource practices are in line with environmental management activities, then business firms are likely to enjoy better performance and environmental sustainability.</w:t>
      </w:r>
    </w:p>
    <w:p w14:paraId="451BDD73" w14:textId="77777777" w:rsidR="009F33CD" w:rsidRDefault="00E40740">
      <w:pPr>
        <w:autoSpaceDE/>
        <w:autoSpaceDN/>
        <w:adjustRightInd/>
        <w:spacing w:after="200"/>
      </w:pPr>
      <w:r>
        <w:lastRenderedPageBreak/>
        <w:t>A document analysis guide was further used to record the amount of revenue collected for the past six years. Revenue was regarded as a powerful indicator of the performance of devolved healthcare services for the past six years (2014-2019). The study targeted to collect data on the amount of revenue collected by the finance department of each Level Five hospital, to get the total revenue collected by the four Level Five Hospitals per year for the past six years. Two Level Five Hospitals responded, while the other two declined. The data collected was anal</w:t>
      </w:r>
      <w:r w:rsidR="008444FB">
        <w:t>yzed and presented in Table 4.57</w:t>
      </w:r>
      <w:r>
        <w:t xml:space="preserve"> and Figure 4.5.</w:t>
      </w:r>
    </w:p>
    <w:p w14:paraId="590B5D0B" w14:textId="77777777" w:rsidR="009F33CD" w:rsidRDefault="008444FB">
      <w:pPr>
        <w:pStyle w:val="Heading6"/>
      </w:pPr>
      <w:bookmarkStart w:id="1674" w:name="_Toc147946922"/>
      <w:bookmarkStart w:id="1675" w:name="_Toc147950261"/>
      <w:bookmarkStart w:id="1676" w:name="_Toc187080941"/>
      <w:bookmarkStart w:id="1677" w:name="_Toc178942707"/>
      <w:bookmarkStart w:id="1678" w:name="_Toc165626447"/>
      <w:bookmarkStart w:id="1679" w:name="_Toc185614169"/>
      <w:bookmarkStart w:id="1680" w:name="_Toc178945117"/>
      <w:bookmarkStart w:id="1681" w:name="_Toc224237486"/>
      <w:r>
        <w:t>Table 4.57</w:t>
      </w:r>
      <w:r w:rsidR="00E40740">
        <w:t>: Revenue Collected (2014-2019</w:t>
      </w:r>
      <w:bookmarkEnd w:id="1674"/>
      <w:bookmarkEnd w:id="1675"/>
      <w:r w:rsidR="00E40740">
        <w:t>)</w:t>
      </w:r>
      <w:bookmarkEnd w:id="1676"/>
      <w:bookmarkEnd w:id="1677"/>
      <w:bookmarkEnd w:id="1678"/>
      <w:bookmarkEnd w:id="1679"/>
      <w:bookmarkEnd w:id="1680"/>
      <w:bookmarkEnd w:id="1681"/>
    </w:p>
    <w:tbl>
      <w:tblPr>
        <w:tblW w:w="5000" w:type="pct"/>
        <w:tblLook w:val="04A0" w:firstRow="1" w:lastRow="0" w:firstColumn="1" w:lastColumn="0" w:noHBand="0" w:noVBand="1"/>
      </w:tblPr>
      <w:tblGrid>
        <w:gridCol w:w="1906"/>
        <w:gridCol w:w="977"/>
        <w:gridCol w:w="1065"/>
        <w:gridCol w:w="344"/>
        <w:gridCol w:w="730"/>
        <w:gridCol w:w="1036"/>
        <w:gridCol w:w="1019"/>
        <w:gridCol w:w="1143"/>
      </w:tblGrid>
      <w:tr w:rsidR="009F33CD" w14:paraId="060E889E" w14:textId="77777777">
        <w:trPr>
          <w:trHeight w:val="371"/>
        </w:trPr>
        <w:tc>
          <w:tcPr>
            <w:tcW w:w="1160" w:type="pct"/>
            <w:tcBorders>
              <w:top w:val="single" w:sz="4" w:space="0" w:color="auto"/>
              <w:bottom w:val="single" w:sz="4" w:space="0" w:color="auto"/>
            </w:tcBorders>
          </w:tcPr>
          <w:p w14:paraId="23FD47CA" w14:textId="77777777" w:rsidR="009F33CD" w:rsidRDefault="00E40740" w:rsidP="002E7E4A">
            <w:pPr>
              <w:spacing w:before="0" w:beforeAutospacing="0" w:after="0" w:afterAutospacing="0" w:line="240" w:lineRule="auto"/>
              <w:jc w:val="left"/>
              <w:rPr>
                <w:b/>
                <w:sz w:val="22"/>
                <w:szCs w:val="22"/>
              </w:rPr>
            </w:pPr>
            <w:bookmarkStart w:id="1682" w:name="OLE_LINK1"/>
            <w:r>
              <w:rPr>
                <w:b/>
                <w:sz w:val="22"/>
                <w:szCs w:val="22"/>
              </w:rPr>
              <w:t xml:space="preserve">Name of Level Five Hospital  </w:t>
            </w:r>
          </w:p>
        </w:tc>
        <w:tc>
          <w:tcPr>
            <w:tcW w:w="594" w:type="pct"/>
            <w:tcBorders>
              <w:top w:val="single" w:sz="4" w:space="0" w:color="auto"/>
              <w:bottom w:val="single" w:sz="4" w:space="0" w:color="auto"/>
            </w:tcBorders>
          </w:tcPr>
          <w:p w14:paraId="46B7CD39" w14:textId="77777777" w:rsidR="009F33CD" w:rsidRDefault="00E40740">
            <w:pPr>
              <w:spacing w:before="0" w:beforeAutospacing="0" w:after="0" w:afterAutospacing="0" w:line="240" w:lineRule="auto"/>
              <w:rPr>
                <w:b/>
                <w:sz w:val="22"/>
                <w:szCs w:val="22"/>
              </w:rPr>
            </w:pPr>
            <w:r>
              <w:rPr>
                <w:b/>
                <w:sz w:val="22"/>
                <w:szCs w:val="22"/>
              </w:rPr>
              <w:t>2014</w:t>
            </w:r>
          </w:p>
          <w:p w14:paraId="1448F06E" w14:textId="77777777" w:rsidR="009F33CD" w:rsidRDefault="00E40740">
            <w:pPr>
              <w:spacing w:before="0" w:beforeAutospacing="0" w:after="0" w:afterAutospacing="0" w:line="240" w:lineRule="auto"/>
              <w:rPr>
                <w:b/>
                <w:sz w:val="22"/>
                <w:szCs w:val="22"/>
              </w:rPr>
            </w:pPr>
            <w:r>
              <w:rPr>
                <w:b/>
                <w:sz w:val="22"/>
                <w:szCs w:val="22"/>
              </w:rPr>
              <w:t>Ksh’M’</w:t>
            </w:r>
          </w:p>
        </w:tc>
        <w:tc>
          <w:tcPr>
            <w:tcW w:w="648" w:type="pct"/>
            <w:tcBorders>
              <w:top w:val="single" w:sz="4" w:space="0" w:color="auto"/>
              <w:bottom w:val="single" w:sz="4" w:space="0" w:color="auto"/>
            </w:tcBorders>
          </w:tcPr>
          <w:p w14:paraId="4D3C74F1" w14:textId="77777777" w:rsidR="009F33CD" w:rsidRDefault="00E40740">
            <w:pPr>
              <w:spacing w:before="0" w:beforeAutospacing="0" w:after="0" w:afterAutospacing="0" w:line="240" w:lineRule="auto"/>
              <w:rPr>
                <w:b/>
                <w:sz w:val="22"/>
                <w:szCs w:val="22"/>
              </w:rPr>
            </w:pPr>
            <w:r>
              <w:rPr>
                <w:b/>
                <w:sz w:val="22"/>
                <w:szCs w:val="22"/>
              </w:rPr>
              <w:t>2015</w:t>
            </w:r>
          </w:p>
          <w:p w14:paraId="235F183F" w14:textId="77777777" w:rsidR="009F33CD" w:rsidRDefault="00E40740">
            <w:pPr>
              <w:spacing w:before="0" w:beforeAutospacing="0" w:after="0" w:afterAutospacing="0" w:line="240" w:lineRule="auto"/>
              <w:rPr>
                <w:b/>
                <w:sz w:val="22"/>
                <w:szCs w:val="22"/>
              </w:rPr>
            </w:pPr>
            <w:r>
              <w:rPr>
                <w:b/>
                <w:sz w:val="22"/>
                <w:szCs w:val="22"/>
              </w:rPr>
              <w:t>Ksh ‘M’</w:t>
            </w:r>
          </w:p>
        </w:tc>
        <w:tc>
          <w:tcPr>
            <w:tcW w:w="653" w:type="pct"/>
            <w:gridSpan w:val="2"/>
            <w:tcBorders>
              <w:top w:val="single" w:sz="4" w:space="0" w:color="auto"/>
              <w:bottom w:val="single" w:sz="4" w:space="0" w:color="auto"/>
            </w:tcBorders>
          </w:tcPr>
          <w:p w14:paraId="1231E26F" w14:textId="77777777" w:rsidR="009F33CD" w:rsidRDefault="00E40740">
            <w:pPr>
              <w:spacing w:before="0" w:beforeAutospacing="0" w:after="0" w:afterAutospacing="0" w:line="240" w:lineRule="auto"/>
              <w:rPr>
                <w:b/>
                <w:sz w:val="22"/>
                <w:szCs w:val="22"/>
              </w:rPr>
            </w:pPr>
            <w:r>
              <w:rPr>
                <w:b/>
                <w:sz w:val="22"/>
                <w:szCs w:val="22"/>
              </w:rPr>
              <w:t>2016</w:t>
            </w:r>
          </w:p>
          <w:p w14:paraId="1EC882FC" w14:textId="77777777" w:rsidR="009F33CD" w:rsidRDefault="00E40740">
            <w:pPr>
              <w:spacing w:before="0" w:beforeAutospacing="0" w:after="0" w:afterAutospacing="0" w:line="240" w:lineRule="auto"/>
              <w:rPr>
                <w:b/>
                <w:sz w:val="22"/>
                <w:szCs w:val="22"/>
              </w:rPr>
            </w:pPr>
            <w:r>
              <w:rPr>
                <w:b/>
                <w:sz w:val="22"/>
                <w:szCs w:val="22"/>
              </w:rPr>
              <w:t>Ksh ‘M’</w:t>
            </w:r>
          </w:p>
        </w:tc>
        <w:tc>
          <w:tcPr>
            <w:tcW w:w="630" w:type="pct"/>
            <w:tcBorders>
              <w:top w:val="single" w:sz="4" w:space="0" w:color="auto"/>
              <w:bottom w:val="single" w:sz="4" w:space="0" w:color="auto"/>
            </w:tcBorders>
          </w:tcPr>
          <w:p w14:paraId="0D55BC0A" w14:textId="77777777" w:rsidR="009F33CD" w:rsidRDefault="00E40740">
            <w:pPr>
              <w:spacing w:before="0" w:beforeAutospacing="0" w:after="0" w:afterAutospacing="0" w:line="240" w:lineRule="auto"/>
              <w:rPr>
                <w:b/>
                <w:sz w:val="22"/>
                <w:szCs w:val="22"/>
              </w:rPr>
            </w:pPr>
            <w:r>
              <w:rPr>
                <w:b/>
                <w:sz w:val="22"/>
                <w:szCs w:val="22"/>
              </w:rPr>
              <w:t>2017</w:t>
            </w:r>
          </w:p>
          <w:p w14:paraId="2D1B91D8" w14:textId="77777777" w:rsidR="009F33CD" w:rsidRDefault="00E40740">
            <w:pPr>
              <w:spacing w:before="0" w:beforeAutospacing="0" w:after="0" w:afterAutospacing="0" w:line="240" w:lineRule="auto"/>
              <w:rPr>
                <w:b/>
                <w:sz w:val="22"/>
                <w:szCs w:val="22"/>
              </w:rPr>
            </w:pPr>
            <w:r>
              <w:rPr>
                <w:b/>
                <w:sz w:val="22"/>
                <w:szCs w:val="22"/>
              </w:rPr>
              <w:t>Ksh ‘M’</w:t>
            </w:r>
          </w:p>
        </w:tc>
        <w:tc>
          <w:tcPr>
            <w:tcW w:w="620" w:type="pct"/>
            <w:tcBorders>
              <w:top w:val="single" w:sz="4" w:space="0" w:color="auto"/>
              <w:bottom w:val="single" w:sz="4" w:space="0" w:color="auto"/>
            </w:tcBorders>
          </w:tcPr>
          <w:p w14:paraId="15B6C684" w14:textId="77777777" w:rsidR="009F33CD" w:rsidRDefault="00E40740">
            <w:pPr>
              <w:spacing w:before="0" w:beforeAutospacing="0" w:after="0" w:afterAutospacing="0" w:line="240" w:lineRule="auto"/>
              <w:rPr>
                <w:b/>
                <w:sz w:val="22"/>
                <w:szCs w:val="22"/>
              </w:rPr>
            </w:pPr>
            <w:r>
              <w:rPr>
                <w:b/>
                <w:sz w:val="22"/>
                <w:szCs w:val="22"/>
              </w:rPr>
              <w:t>2018</w:t>
            </w:r>
          </w:p>
          <w:p w14:paraId="1FEA6E87" w14:textId="77777777" w:rsidR="009F33CD" w:rsidRDefault="00E40740">
            <w:pPr>
              <w:spacing w:before="0" w:beforeAutospacing="0" w:after="0" w:afterAutospacing="0" w:line="240" w:lineRule="auto"/>
              <w:rPr>
                <w:b/>
                <w:sz w:val="22"/>
                <w:szCs w:val="22"/>
              </w:rPr>
            </w:pPr>
            <w:r>
              <w:rPr>
                <w:b/>
                <w:sz w:val="22"/>
                <w:szCs w:val="22"/>
              </w:rPr>
              <w:t>Ksh ‘M’</w:t>
            </w:r>
          </w:p>
        </w:tc>
        <w:tc>
          <w:tcPr>
            <w:tcW w:w="695" w:type="pct"/>
            <w:tcBorders>
              <w:top w:val="single" w:sz="4" w:space="0" w:color="auto"/>
              <w:bottom w:val="single" w:sz="4" w:space="0" w:color="auto"/>
            </w:tcBorders>
          </w:tcPr>
          <w:p w14:paraId="7F9EE9D6" w14:textId="77777777" w:rsidR="009F33CD" w:rsidRDefault="00E40740">
            <w:pPr>
              <w:spacing w:before="0" w:beforeAutospacing="0" w:after="0" w:afterAutospacing="0" w:line="240" w:lineRule="auto"/>
              <w:rPr>
                <w:b/>
                <w:sz w:val="22"/>
                <w:szCs w:val="22"/>
              </w:rPr>
            </w:pPr>
            <w:r>
              <w:rPr>
                <w:b/>
                <w:sz w:val="22"/>
                <w:szCs w:val="22"/>
              </w:rPr>
              <w:t>2019</w:t>
            </w:r>
          </w:p>
          <w:p w14:paraId="0E7DAACF" w14:textId="77777777" w:rsidR="009F33CD" w:rsidRDefault="00E40740">
            <w:pPr>
              <w:spacing w:before="0" w:beforeAutospacing="0" w:after="0" w:afterAutospacing="0" w:line="240" w:lineRule="auto"/>
              <w:rPr>
                <w:b/>
                <w:sz w:val="22"/>
                <w:szCs w:val="22"/>
              </w:rPr>
            </w:pPr>
            <w:r>
              <w:rPr>
                <w:b/>
                <w:sz w:val="22"/>
                <w:szCs w:val="22"/>
              </w:rPr>
              <w:t>Ksh ‘M’</w:t>
            </w:r>
          </w:p>
        </w:tc>
      </w:tr>
      <w:tr w:rsidR="009F33CD" w14:paraId="09B21C88" w14:textId="77777777">
        <w:trPr>
          <w:trHeight w:val="116"/>
        </w:trPr>
        <w:tc>
          <w:tcPr>
            <w:tcW w:w="1160" w:type="pct"/>
            <w:tcBorders>
              <w:top w:val="single" w:sz="4" w:space="0" w:color="auto"/>
            </w:tcBorders>
          </w:tcPr>
          <w:p w14:paraId="769BB876" w14:textId="77777777" w:rsidR="009F33CD" w:rsidRDefault="00E40740" w:rsidP="002E7E4A">
            <w:pPr>
              <w:spacing w:before="0" w:beforeAutospacing="0" w:after="0" w:afterAutospacing="0" w:line="240" w:lineRule="auto"/>
              <w:jc w:val="left"/>
              <w:rPr>
                <w:sz w:val="22"/>
                <w:szCs w:val="22"/>
              </w:rPr>
            </w:pPr>
            <w:r>
              <w:rPr>
                <w:sz w:val="22"/>
                <w:szCs w:val="22"/>
              </w:rPr>
              <w:t>Embu Level Five Hospital</w:t>
            </w:r>
          </w:p>
        </w:tc>
        <w:tc>
          <w:tcPr>
            <w:tcW w:w="594" w:type="pct"/>
            <w:tcBorders>
              <w:top w:val="single" w:sz="4" w:space="0" w:color="auto"/>
            </w:tcBorders>
          </w:tcPr>
          <w:p w14:paraId="4F00875E" w14:textId="77777777" w:rsidR="009F33CD" w:rsidRDefault="00E40740">
            <w:pPr>
              <w:spacing w:before="0" w:beforeAutospacing="0" w:after="0" w:afterAutospacing="0" w:line="240" w:lineRule="auto"/>
              <w:rPr>
                <w:sz w:val="22"/>
                <w:szCs w:val="22"/>
              </w:rPr>
            </w:pPr>
            <w:r>
              <w:rPr>
                <w:sz w:val="22"/>
                <w:szCs w:val="22"/>
              </w:rPr>
              <w:t>00</w:t>
            </w:r>
          </w:p>
        </w:tc>
        <w:tc>
          <w:tcPr>
            <w:tcW w:w="648" w:type="pct"/>
            <w:tcBorders>
              <w:top w:val="single" w:sz="4" w:space="0" w:color="auto"/>
            </w:tcBorders>
          </w:tcPr>
          <w:p w14:paraId="62560EC4" w14:textId="77777777" w:rsidR="009F33CD" w:rsidRDefault="00E40740">
            <w:pPr>
              <w:spacing w:before="0" w:beforeAutospacing="0" w:after="0" w:afterAutospacing="0" w:line="240" w:lineRule="auto"/>
              <w:rPr>
                <w:sz w:val="22"/>
                <w:szCs w:val="22"/>
              </w:rPr>
            </w:pPr>
            <w:r>
              <w:rPr>
                <w:sz w:val="22"/>
                <w:szCs w:val="22"/>
              </w:rPr>
              <w:t>00</w:t>
            </w:r>
          </w:p>
        </w:tc>
        <w:tc>
          <w:tcPr>
            <w:tcW w:w="653" w:type="pct"/>
            <w:gridSpan w:val="2"/>
            <w:tcBorders>
              <w:top w:val="single" w:sz="4" w:space="0" w:color="auto"/>
            </w:tcBorders>
          </w:tcPr>
          <w:p w14:paraId="1A816B71" w14:textId="77777777" w:rsidR="009F33CD" w:rsidRDefault="00E40740">
            <w:pPr>
              <w:spacing w:before="0" w:beforeAutospacing="0" w:after="0" w:afterAutospacing="0" w:line="240" w:lineRule="auto"/>
              <w:rPr>
                <w:sz w:val="22"/>
                <w:szCs w:val="22"/>
              </w:rPr>
            </w:pPr>
            <w:r>
              <w:rPr>
                <w:sz w:val="22"/>
                <w:szCs w:val="22"/>
              </w:rPr>
              <w:t>00</w:t>
            </w:r>
          </w:p>
        </w:tc>
        <w:tc>
          <w:tcPr>
            <w:tcW w:w="630" w:type="pct"/>
            <w:tcBorders>
              <w:top w:val="single" w:sz="4" w:space="0" w:color="auto"/>
            </w:tcBorders>
          </w:tcPr>
          <w:p w14:paraId="720399A7" w14:textId="77777777" w:rsidR="009F33CD" w:rsidRDefault="00E40740">
            <w:pPr>
              <w:spacing w:before="0" w:beforeAutospacing="0" w:after="0" w:afterAutospacing="0" w:line="240" w:lineRule="auto"/>
              <w:rPr>
                <w:sz w:val="22"/>
                <w:szCs w:val="22"/>
              </w:rPr>
            </w:pPr>
            <w:r>
              <w:rPr>
                <w:sz w:val="22"/>
                <w:szCs w:val="22"/>
              </w:rPr>
              <w:t>00</w:t>
            </w:r>
          </w:p>
        </w:tc>
        <w:tc>
          <w:tcPr>
            <w:tcW w:w="620" w:type="pct"/>
            <w:tcBorders>
              <w:top w:val="single" w:sz="4" w:space="0" w:color="auto"/>
            </w:tcBorders>
          </w:tcPr>
          <w:p w14:paraId="0F2A8013" w14:textId="77777777" w:rsidR="009F33CD" w:rsidRDefault="00E40740">
            <w:pPr>
              <w:spacing w:before="0" w:beforeAutospacing="0" w:after="0" w:afterAutospacing="0" w:line="240" w:lineRule="auto"/>
              <w:rPr>
                <w:sz w:val="22"/>
                <w:szCs w:val="22"/>
              </w:rPr>
            </w:pPr>
            <w:r>
              <w:rPr>
                <w:sz w:val="22"/>
                <w:szCs w:val="22"/>
              </w:rPr>
              <w:t>00</w:t>
            </w:r>
          </w:p>
        </w:tc>
        <w:tc>
          <w:tcPr>
            <w:tcW w:w="695" w:type="pct"/>
            <w:tcBorders>
              <w:top w:val="single" w:sz="4" w:space="0" w:color="auto"/>
            </w:tcBorders>
          </w:tcPr>
          <w:p w14:paraId="6C801BA9" w14:textId="77777777" w:rsidR="009F33CD" w:rsidRDefault="00E40740">
            <w:pPr>
              <w:spacing w:before="0" w:beforeAutospacing="0" w:after="0" w:afterAutospacing="0" w:line="240" w:lineRule="auto"/>
              <w:rPr>
                <w:sz w:val="22"/>
                <w:szCs w:val="22"/>
              </w:rPr>
            </w:pPr>
            <w:r>
              <w:rPr>
                <w:sz w:val="22"/>
                <w:szCs w:val="22"/>
              </w:rPr>
              <w:t>00</w:t>
            </w:r>
          </w:p>
        </w:tc>
      </w:tr>
      <w:tr w:rsidR="009F33CD" w14:paraId="432F42DF" w14:textId="77777777">
        <w:trPr>
          <w:trHeight w:val="383"/>
        </w:trPr>
        <w:tc>
          <w:tcPr>
            <w:tcW w:w="1160" w:type="pct"/>
          </w:tcPr>
          <w:p w14:paraId="10FD43E2" w14:textId="77777777" w:rsidR="009F33CD" w:rsidRDefault="00E40740" w:rsidP="002E7E4A">
            <w:pPr>
              <w:spacing w:before="0" w:beforeAutospacing="0" w:after="0" w:afterAutospacing="0" w:line="240" w:lineRule="auto"/>
              <w:jc w:val="left"/>
              <w:rPr>
                <w:sz w:val="22"/>
                <w:szCs w:val="22"/>
              </w:rPr>
            </w:pPr>
            <w:r>
              <w:rPr>
                <w:sz w:val="22"/>
                <w:szCs w:val="22"/>
              </w:rPr>
              <w:t>Machakos Level Five Hospital</w:t>
            </w:r>
          </w:p>
        </w:tc>
        <w:tc>
          <w:tcPr>
            <w:tcW w:w="594" w:type="pct"/>
          </w:tcPr>
          <w:p w14:paraId="5F21EA99" w14:textId="77777777" w:rsidR="009F33CD" w:rsidRDefault="00E40740">
            <w:pPr>
              <w:spacing w:before="0" w:beforeAutospacing="0" w:after="0" w:afterAutospacing="0" w:line="240" w:lineRule="auto"/>
              <w:rPr>
                <w:sz w:val="22"/>
                <w:szCs w:val="22"/>
              </w:rPr>
            </w:pPr>
            <w:r>
              <w:rPr>
                <w:sz w:val="22"/>
                <w:szCs w:val="22"/>
              </w:rPr>
              <w:t>00</w:t>
            </w:r>
          </w:p>
        </w:tc>
        <w:tc>
          <w:tcPr>
            <w:tcW w:w="648" w:type="pct"/>
          </w:tcPr>
          <w:p w14:paraId="3331E3F2" w14:textId="77777777" w:rsidR="009F33CD" w:rsidRDefault="00E40740">
            <w:pPr>
              <w:spacing w:before="0" w:beforeAutospacing="0" w:after="0" w:afterAutospacing="0" w:line="240" w:lineRule="auto"/>
              <w:rPr>
                <w:sz w:val="22"/>
                <w:szCs w:val="22"/>
              </w:rPr>
            </w:pPr>
            <w:r>
              <w:rPr>
                <w:sz w:val="22"/>
                <w:szCs w:val="22"/>
              </w:rPr>
              <w:t>00</w:t>
            </w:r>
          </w:p>
        </w:tc>
        <w:tc>
          <w:tcPr>
            <w:tcW w:w="653" w:type="pct"/>
            <w:gridSpan w:val="2"/>
          </w:tcPr>
          <w:p w14:paraId="1C029821" w14:textId="77777777" w:rsidR="009F33CD" w:rsidRDefault="00E40740">
            <w:pPr>
              <w:spacing w:before="0" w:beforeAutospacing="0" w:after="0" w:afterAutospacing="0" w:line="240" w:lineRule="auto"/>
              <w:rPr>
                <w:sz w:val="22"/>
                <w:szCs w:val="22"/>
              </w:rPr>
            </w:pPr>
            <w:r>
              <w:rPr>
                <w:sz w:val="22"/>
                <w:szCs w:val="22"/>
              </w:rPr>
              <w:t>00</w:t>
            </w:r>
          </w:p>
        </w:tc>
        <w:tc>
          <w:tcPr>
            <w:tcW w:w="630" w:type="pct"/>
          </w:tcPr>
          <w:p w14:paraId="2A92DBF8" w14:textId="77777777" w:rsidR="009F33CD" w:rsidRDefault="00E40740">
            <w:pPr>
              <w:spacing w:before="0" w:beforeAutospacing="0" w:after="0" w:afterAutospacing="0" w:line="240" w:lineRule="auto"/>
              <w:rPr>
                <w:sz w:val="22"/>
                <w:szCs w:val="22"/>
              </w:rPr>
            </w:pPr>
            <w:r>
              <w:rPr>
                <w:sz w:val="22"/>
                <w:szCs w:val="22"/>
              </w:rPr>
              <w:t>00</w:t>
            </w:r>
          </w:p>
        </w:tc>
        <w:tc>
          <w:tcPr>
            <w:tcW w:w="620" w:type="pct"/>
          </w:tcPr>
          <w:p w14:paraId="5F0D727D" w14:textId="77777777" w:rsidR="009F33CD" w:rsidRDefault="00E40740">
            <w:pPr>
              <w:spacing w:before="0" w:beforeAutospacing="0" w:after="0" w:afterAutospacing="0" w:line="240" w:lineRule="auto"/>
              <w:rPr>
                <w:sz w:val="22"/>
                <w:szCs w:val="22"/>
              </w:rPr>
            </w:pPr>
            <w:r>
              <w:rPr>
                <w:sz w:val="22"/>
                <w:szCs w:val="22"/>
              </w:rPr>
              <w:t>00</w:t>
            </w:r>
          </w:p>
        </w:tc>
        <w:tc>
          <w:tcPr>
            <w:tcW w:w="695" w:type="pct"/>
          </w:tcPr>
          <w:p w14:paraId="21EE047F" w14:textId="77777777" w:rsidR="009F33CD" w:rsidRDefault="00E40740">
            <w:pPr>
              <w:spacing w:before="0" w:beforeAutospacing="0" w:after="0" w:afterAutospacing="0" w:line="240" w:lineRule="auto"/>
              <w:rPr>
                <w:sz w:val="22"/>
                <w:szCs w:val="22"/>
              </w:rPr>
            </w:pPr>
            <w:r>
              <w:rPr>
                <w:sz w:val="22"/>
                <w:szCs w:val="22"/>
              </w:rPr>
              <w:t>00</w:t>
            </w:r>
          </w:p>
        </w:tc>
      </w:tr>
      <w:tr w:rsidR="009F33CD" w14:paraId="04BBE049" w14:textId="77777777">
        <w:trPr>
          <w:trHeight w:val="229"/>
        </w:trPr>
        <w:tc>
          <w:tcPr>
            <w:tcW w:w="1160" w:type="pct"/>
          </w:tcPr>
          <w:p w14:paraId="07252A79" w14:textId="77777777" w:rsidR="009F33CD" w:rsidRDefault="00E40740" w:rsidP="002E7E4A">
            <w:pPr>
              <w:spacing w:before="0" w:beforeAutospacing="0" w:after="0" w:afterAutospacing="0" w:line="240" w:lineRule="auto"/>
              <w:jc w:val="left"/>
              <w:rPr>
                <w:sz w:val="22"/>
                <w:szCs w:val="22"/>
              </w:rPr>
            </w:pPr>
            <w:r>
              <w:rPr>
                <w:sz w:val="22"/>
                <w:szCs w:val="22"/>
              </w:rPr>
              <w:t xml:space="preserve">Mama Lucy Kibaki Level Five Hospital </w:t>
            </w:r>
          </w:p>
        </w:tc>
        <w:tc>
          <w:tcPr>
            <w:tcW w:w="594" w:type="pct"/>
          </w:tcPr>
          <w:p w14:paraId="37DB260B" w14:textId="77777777" w:rsidR="009F33CD" w:rsidRDefault="00E40740">
            <w:pPr>
              <w:spacing w:before="0" w:beforeAutospacing="0" w:after="0" w:afterAutospacing="0" w:line="240" w:lineRule="auto"/>
              <w:rPr>
                <w:sz w:val="22"/>
                <w:szCs w:val="22"/>
              </w:rPr>
            </w:pPr>
            <w:r>
              <w:rPr>
                <w:sz w:val="22"/>
                <w:szCs w:val="22"/>
              </w:rPr>
              <w:t>00</w:t>
            </w:r>
          </w:p>
        </w:tc>
        <w:tc>
          <w:tcPr>
            <w:tcW w:w="648" w:type="pct"/>
          </w:tcPr>
          <w:p w14:paraId="6D4F55C6" w14:textId="77777777" w:rsidR="009F33CD" w:rsidRDefault="00E40740">
            <w:pPr>
              <w:spacing w:before="0" w:beforeAutospacing="0" w:after="0" w:afterAutospacing="0" w:line="240" w:lineRule="auto"/>
              <w:rPr>
                <w:sz w:val="22"/>
                <w:szCs w:val="22"/>
              </w:rPr>
            </w:pPr>
            <w:r>
              <w:rPr>
                <w:sz w:val="22"/>
                <w:szCs w:val="22"/>
              </w:rPr>
              <w:t>8.7</w:t>
            </w:r>
          </w:p>
        </w:tc>
        <w:tc>
          <w:tcPr>
            <w:tcW w:w="653" w:type="pct"/>
            <w:gridSpan w:val="2"/>
          </w:tcPr>
          <w:p w14:paraId="179A8EB5" w14:textId="77777777" w:rsidR="009F33CD" w:rsidRDefault="00E40740">
            <w:pPr>
              <w:spacing w:before="0" w:beforeAutospacing="0" w:after="0" w:afterAutospacing="0" w:line="240" w:lineRule="auto"/>
              <w:rPr>
                <w:sz w:val="22"/>
                <w:szCs w:val="22"/>
              </w:rPr>
            </w:pPr>
            <w:r>
              <w:rPr>
                <w:sz w:val="22"/>
                <w:szCs w:val="22"/>
              </w:rPr>
              <w:t>90.3</w:t>
            </w:r>
          </w:p>
        </w:tc>
        <w:tc>
          <w:tcPr>
            <w:tcW w:w="630" w:type="pct"/>
          </w:tcPr>
          <w:p w14:paraId="1F61804F" w14:textId="77777777" w:rsidR="009F33CD" w:rsidRDefault="00E40740">
            <w:pPr>
              <w:spacing w:before="0" w:beforeAutospacing="0" w:after="0" w:afterAutospacing="0" w:line="240" w:lineRule="auto"/>
              <w:rPr>
                <w:sz w:val="22"/>
                <w:szCs w:val="22"/>
              </w:rPr>
            </w:pPr>
            <w:r>
              <w:rPr>
                <w:sz w:val="22"/>
                <w:szCs w:val="22"/>
              </w:rPr>
              <w:t>46.2</w:t>
            </w:r>
          </w:p>
        </w:tc>
        <w:tc>
          <w:tcPr>
            <w:tcW w:w="620" w:type="pct"/>
          </w:tcPr>
          <w:p w14:paraId="7A842645" w14:textId="77777777" w:rsidR="009F33CD" w:rsidRDefault="00E40740">
            <w:pPr>
              <w:spacing w:before="0" w:beforeAutospacing="0" w:after="0" w:afterAutospacing="0" w:line="240" w:lineRule="auto"/>
              <w:rPr>
                <w:sz w:val="22"/>
                <w:szCs w:val="22"/>
              </w:rPr>
            </w:pPr>
            <w:r>
              <w:rPr>
                <w:sz w:val="22"/>
                <w:szCs w:val="22"/>
              </w:rPr>
              <w:t>102.9</w:t>
            </w:r>
          </w:p>
        </w:tc>
        <w:tc>
          <w:tcPr>
            <w:tcW w:w="695" w:type="pct"/>
          </w:tcPr>
          <w:p w14:paraId="3ABD2186" w14:textId="77777777" w:rsidR="009F33CD" w:rsidRDefault="00E40740">
            <w:pPr>
              <w:spacing w:before="0" w:beforeAutospacing="0" w:after="0" w:afterAutospacing="0" w:line="240" w:lineRule="auto"/>
              <w:rPr>
                <w:sz w:val="22"/>
                <w:szCs w:val="22"/>
              </w:rPr>
            </w:pPr>
            <w:r>
              <w:rPr>
                <w:sz w:val="22"/>
                <w:szCs w:val="22"/>
              </w:rPr>
              <w:t>122.6</w:t>
            </w:r>
          </w:p>
        </w:tc>
      </w:tr>
      <w:tr w:rsidR="009F33CD" w14:paraId="3A022422" w14:textId="77777777" w:rsidTr="008444FB">
        <w:trPr>
          <w:trHeight w:val="297"/>
        </w:trPr>
        <w:tc>
          <w:tcPr>
            <w:tcW w:w="1160" w:type="pct"/>
          </w:tcPr>
          <w:p w14:paraId="3697F263" w14:textId="77777777" w:rsidR="009F33CD" w:rsidRDefault="00E40740" w:rsidP="002E7E4A">
            <w:pPr>
              <w:spacing w:before="0" w:beforeAutospacing="0" w:after="0" w:afterAutospacing="0" w:line="240" w:lineRule="auto"/>
              <w:jc w:val="left"/>
              <w:rPr>
                <w:sz w:val="22"/>
                <w:szCs w:val="22"/>
              </w:rPr>
            </w:pPr>
            <w:r>
              <w:rPr>
                <w:sz w:val="22"/>
                <w:szCs w:val="22"/>
              </w:rPr>
              <w:t>Nakuru Level Five Hospital</w:t>
            </w:r>
          </w:p>
        </w:tc>
        <w:tc>
          <w:tcPr>
            <w:tcW w:w="594" w:type="pct"/>
          </w:tcPr>
          <w:p w14:paraId="7E3A9DB2" w14:textId="77777777" w:rsidR="009F33CD" w:rsidRDefault="00E40740">
            <w:pPr>
              <w:spacing w:before="0" w:beforeAutospacing="0" w:after="0" w:afterAutospacing="0" w:line="240" w:lineRule="auto"/>
              <w:rPr>
                <w:sz w:val="22"/>
                <w:szCs w:val="22"/>
              </w:rPr>
            </w:pPr>
            <w:r>
              <w:rPr>
                <w:sz w:val="22"/>
                <w:szCs w:val="22"/>
              </w:rPr>
              <w:t>156.4</w:t>
            </w:r>
          </w:p>
        </w:tc>
        <w:tc>
          <w:tcPr>
            <w:tcW w:w="648" w:type="pct"/>
          </w:tcPr>
          <w:p w14:paraId="29C0BEC9" w14:textId="77777777" w:rsidR="009F33CD" w:rsidRDefault="00E40740">
            <w:pPr>
              <w:spacing w:before="0" w:beforeAutospacing="0" w:after="0" w:afterAutospacing="0" w:line="240" w:lineRule="auto"/>
              <w:rPr>
                <w:sz w:val="22"/>
                <w:szCs w:val="22"/>
              </w:rPr>
            </w:pPr>
            <w:r>
              <w:rPr>
                <w:sz w:val="22"/>
                <w:szCs w:val="22"/>
              </w:rPr>
              <w:t xml:space="preserve">202.5 </w:t>
            </w:r>
          </w:p>
        </w:tc>
        <w:tc>
          <w:tcPr>
            <w:tcW w:w="653" w:type="pct"/>
            <w:gridSpan w:val="2"/>
          </w:tcPr>
          <w:p w14:paraId="6263E814" w14:textId="77777777" w:rsidR="009F33CD" w:rsidRDefault="00E40740">
            <w:pPr>
              <w:spacing w:before="0" w:beforeAutospacing="0" w:after="0" w:afterAutospacing="0" w:line="240" w:lineRule="auto"/>
              <w:rPr>
                <w:sz w:val="22"/>
                <w:szCs w:val="22"/>
              </w:rPr>
            </w:pPr>
            <w:r>
              <w:rPr>
                <w:sz w:val="22"/>
                <w:szCs w:val="22"/>
              </w:rPr>
              <w:t>262.7</w:t>
            </w:r>
          </w:p>
        </w:tc>
        <w:tc>
          <w:tcPr>
            <w:tcW w:w="630" w:type="pct"/>
          </w:tcPr>
          <w:p w14:paraId="2DCB36E9" w14:textId="77777777" w:rsidR="009F33CD" w:rsidRDefault="00E40740">
            <w:pPr>
              <w:spacing w:before="0" w:beforeAutospacing="0" w:after="0" w:afterAutospacing="0" w:line="240" w:lineRule="auto"/>
              <w:rPr>
                <w:sz w:val="22"/>
                <w:szCs w:val="22"/>
              </w:rPr>
            </w:pPr>
            <w:r>
              <w:rPr>
                <w:sz w:val="22"/>
                <w:szCs w:val="22"/>
              </w:rPr>
              <w:t>284.6</w:t>
            </w:r>
          </w:p>
        </w:tc>
        <w:tc>
          <w:tcPr>
            <w:tcW w:w="620" w:type="pct"/>
          </w:tcPr>
          <w:p w14:paraId="680654D8" w14:textId="77777777" w:rsidR="009F33CD" w:rsidRDefault="00E40740">
            <w:pPr>
              <w:spacing w:before="0" w:beforeAutospacing="0" w:after="0" w:afterAutospacing="0" w:line="240" w:lineRule="auto"/>
              <w:rPr>
                <w:sz w:val="22"/>
                <w:szCs w:val="22"/>
              </w:rPr>
            </w:pPr>
            <w:r>
              <w:rPr>
                <w:sz w:val="22"/>
                <w:szCs w:val="22"/>
              </w:rPr>
              <w:t>524.0</w:t>
            </w:r>
          </w:p>
        </w:tc>
        <w:tc>
          <w:tcPr>
            <w:tcW w:w="695" w:type="pct"/>
          </w:tcPr>
          <w:p w14:paraId="55F1D841" w14:textId="77777777" w:rsidR="009F33CD" w:rsidRDefault="00E40740">
            <w:pPr>
              <w:spacing w:before="0" w:beforeAutospacing="0" w:after="0" w:afterAutospacing="0" w:line="240" w:lineRule="auto"/>
              <w:rPr>
                <w:sz w:val="22"/>
                <w:szCs w:val="22"/>
              </w:rPr>
            </w:pPr>
            <w:r>
              <w:rPr>
                <w:sz w:val="22"/>
                <w:szCs w:val="22"/>
              </w:rPr>
              <w:t>404.3</w:t>
            </w:r>
          </w:p>
        </w:tc>
      </w:tr>
      <w:tr w:rsidR="009F33CD" w14:paraId="0C88C961" w14:textId="77777777" w:rsidTr="008444FB">
        <w:trPr>
          <w:trHeight w:val="429"/>
        </w:trPr>
        <w:tc>
          <w:tcPr>
            <w:tcW w:w="1160" w:type="pct"/>
            <w:tcBorders>
              <w:bottom w:val="single" w:sz="4" w:space="0" w:color="auto"/>
            </w:tcBorders>
          </w:tcPr>
          <w:p w14:paraId="7F31031D" w14:textId="77777777" w:rsidR="009F33CD" w:rsidRDefault="00E40740" w:rsidP="002E7E4A">
            <w:pPr>
              <w:spacing w:before="0" w:beforeAutospacing="0" w:after="0" w:afterAutospacing="0" w:line="240" w:lineRule="auto"/>
              <w:jc w:val="left"/>
              <w:rPr>
                <w:b/>
                <w:sz w:val="22"/>
                <w:szCs w:val="22"/>
              </w:rPr>
            </w:pPr>
            <w:r>
              <w:rPr>
                <w:b/>
                <w:sz w:val="22"/>
                <w:szCs w:val="22"/>
              </w:rPr>
              <w:t>Total Revenue Collected</w:t>
            </w:r>
          </w:p>
        </w:tc>
        <w:tc>
          <w:tcPr>
            <w:tcW w:w="594" w:type="pct"/>
            <w:tcBorders>
              <w:bottom w:val="single" w:sz="4" w:space="0" w:color="auto"/>
            </w:tcBorders>
          </w:tcPr>
          <w:p w14:paraId="16517CC7" w14:textId="77777777" w:rsidR="009F33CD" w:rsidRDefault="00E40740">
            <w:pPr>
              <w:spacing w:before="0" w:beforeAutospacing="0" w:after="0" w:afterAutospacing="0" w:line="240" w:lineRule="auto"/>
              <w:rPr>
                <w:b/>
                <w:sz w:val="22"/>
                <w:szCs w:val="22"/>
              </w:rPr>
            </w:pPr>
            <w:r>
              <w:rPr>
                <w:b/>
                <w:sz w:val="22"/>
                <w:szCs w:val="22"/>
              </w:rPr>
              <w:t>156.4</w:t>
            </w:r>
          </w:p>
        </w:tc>
        <w:tc>
          <w:tcPr>
            <w:tcW w:w="857" w:type="pct"/>
            <w:gridSpan w:val="2"/>
            <w:tcBorders>
              <w:bottom w:val="single" w:sz="4" w:space="0" w:color="auto"/>
            </w:tcBorders>
          </w:tcPr>
          <w:p w14:paraId="4F2CA0E7" w14:textId="77777777" w:rsidR="009F33CD" w:rsidRDefault="00E40740">
            <w:pPr>
              <w:spacing w:before="0" w:beforeAutospacing="0" w:after="0" w:afterAutospacing="0" w:line="240" w:lineRule="auto"/>
              <w:rPr>
                <w:b/>
                <w:sz w:val="22"/>
                <w:szCs w:val="22"/>
              </w:rPr>
            </w:pPr>
            <w:r>
              <w:rPr>
                <w:b/>
                <w:sz w:val="22"/>
                <w:szCs w:val="22"/>
              </w:rPr>
              <w:t>211.2</w:t>
            </w:r>
          </w:p>
        </w:tc>
        <w:tc>
          <w:tcPr>
            <w:tcW w:w="443" w:type="pct"/>
            <w:tcBorders>
              <w:bottom w:val="single" w:sz="4" w:space="0" w:color="auto"/>
            </w:tcBorders>
          </w:tcPr>
          <w:p w14:paraId="7E25AA1C" w14:textId="77777777" w:rsidR="009F33CD" w:rsidRDefault="00E40740">
            <w:pPr>
              <w:spacing w:before="0" w:beforeAutospacing="0" w:after="0" w:afterAutospacing="0" w:line="240" w:lineRule="auto"/>
              <w:rPr>
                <w:b/>
                <w:sz w:val="22"/>
                <w:szCs w:val="22"/>
              </w:rPr>
            </w:pPr>
            <w:r>
              <w:rPr>
                <w:b/>
                <w:sz w:val="22"/>
                <w:szCs w:val="22"/>
              </w:rPr>
              <w:t>353.0</w:t>
            </w:r>
          </w:p>
        </w:tc>
        <w:tc>
          <w:tcPr>
            <w:tcW w:w="630" w:type="pct"/>
            <w:tcBorders>
              <w:bottom w:val="single" w:sz="4" w:space="0" w:color="auto"/>
            </w:tcBorders>
          </w:tcPr>
          <w:p w14:paraId="05FBFF78" w14:textId="77777777" w:rsidR="009F33CD" w:rsidRDefault="00E40740">
            <w:pPr>
              <w:spacing w:before="0" w:beforeAutospacing="0" w:after="0" w:afterAutospacing="0" w:line="240" w:lineRule="auto"/>
              <w:rPr>
                <w:b/>
                <w:sz w:val="22"/>
                <w:szCs w:val="22"/>
              </w:rPr>
            </w:pPr>
            <w:r>
              <w:rPr>
                <w:b/>
                <w:sz w:val="22"/>
                <w:szCs w:val="22"/>
              </w:rPr>
              <w:t>330.8</w:t>
            </w:r>
          </w:p>
        </w:tc>
        <w:tc>
          <w:tcPr>
            <w:tcW w:w="620" w:type="pct"/>
            <w:tcBorders>
              <w:bottom w:val="single" w:sz="4" w:space="0" w:color="auto"/>
            </w:tcBorders>
          </w:tcPr>
          <w:p w14:paraId="2F84457C" w14:textId="77777777" w:rsidR="009F33CD" w:rsidRDefault="00E40740">
            <w:pPr>
              <w:spacing w:before="0" w:beforeAutospacing="0" w:after="0" w:afterAutospacing="0" w:line="240" w:lineRule="auto"/>
              <w:rPr>
                <w:b/>
                <w:sz w:val="22"/>
                <w:szCs w:val="22"/>
              </w:rPr>
            </w:pPr>
            <w:r>
              <w:rPr>
                <w:b/>
                <w:sz w:val="22"/>
                <w:szCs w:val="22"/>
              </w:rPr>
              <w:t>626.9</w:t>
            </w:r>
          </w:p>
        </w:tc>
        <w:tc>
          <w:tcPr>
            <w:tcW w:w="695" w:type="pct"/>
            <w:tcBorders>
              <w:bottom w:val="single" w:sz="4" w:space="0" w:color="auto"/>
            </w:tcBorders>
          </w:tcPr>
          <w:p w14:paraId="006A63F1" w14:textId="77777777" w:rsidR="009F33CD" w:rsidRDefault="00E40740">
            <w:pPr>
              <w:spacing w:before="0" w:beforeAutospacing="0" w:after="0" w:afterAutospacing="0" w:line="240" w:lineRule="auto"/>
              <w:rPr>
                <w:b/>
                <w:sz w:val="22"/>
                <w:szCs w:val="22"/>
              </w:rPr>
            </w:pPr>
            <w:r>
              <w:rPr>
                <w:b/>
                <w:sz w:val="22"/>
                <w:szCs w:val="22"/>
              </w:rPr>
              <w:t>526.9</w:t>
            </w:r>
          </w:p>
        </w:tc>
      </w:tr>
    </w:tbl>
    <w:bookmarkEnd w:id="1682"/>
    <w:p w14:paraId="76A243E3" w14:textId="77777777" w:rsidR="009F33CD" w:rsidRDefault="00E40740">
      <w:pPr>
        <w:rPr>
          <w:bCs/>
        </w:rPr>
      </w:pPr>
      <w:r>
        <w:rPr>
          <w:b/>
        </w:rPr>
        <w:t>Source:</w:t>
      </w:r>
      <w:r>
        <w:rPr>
          <w:bCs/>
        </w:rPr>
        <w:t xml:space="preserve"> Finance Department, 2022</w:t>
      </w:r>
    </w:p>
    <w:p w14:paraId="4A1342E7" w14:textId="77777777" w:rsidR="009F33CD" w:rsidRDefault="008444FB">
      <w:pPr>
        <w:spacing w:after="240"/>
      </w:pPr>
      <w:r>
        <w:t>The results in Table 4.57</w:t>
      </w:r>
      <w:r w:rsidR="00E40740">
        <w:t xml:space="preserve"> and Figure 4.5 show that the amount of revenue collected for the period under study increased from Ksh. 156.4M in 2014 to Ksh 526.9M in 2019, apart from the year 2017 when the amount of revenue collected dropped to Ksh. 330.8M.</w:t>
      </w:r>
    </w:p>
    <w:p w14:paraId="5FFA7BA5" w14:textId="77777777" w:rsidR="009F33CD" w:rsidRDefault="00E40740">
      <w:pPr>
        <w:spacing w:after="240"/>
        <w:rPr>
          <w:b/>
        </w:rPr>
      </w:pPr>
      <w:r>
        <w:rPr>
          <w:noProof/>
          <w:lang w:val="en-US"/>
        </w:rPr>
        <w:lastRenderedPageBreak/>
        <w:drawing>
          <wp:inline distT="0" distB="0" distL="0" distR="0" wp14:anchorId="0B19CAB8" wp14:editId="7782B3B5">
            <wp:extent cx="5231130" cy="2099945"/>
            <wp:effectExtent l="0" t="0" r="7620" b="146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666014" w14:textId="77777777" w:rsidR="009F33CD" w:rsidRDefault="00E40740">
      <w:pPr>
        <w:pStyle w:val="Heading5"/>
      </w:pPr>
      <w:bookmarkStart w:id="1683" w:name="_Toc185614170"/>
      <w:bookmarkStart w:id="1684" w:name="_Toc187996272"/>
      <w:bookmarkStart w:id="1685" w:name="_Toc187080942"/>
      <w:r>
        <w:t>Figure 4.5: Revenue Collected (2014-2019)</w:t>
      </w:r>
      <w:bookmarkEnd w:id="1683"/>
      <w:bookmarkEnd w:id="1684"/>
      <w:bookmarkEnd w:id="1685"/>
    </w:p>
    <w:p w14:paraId="1D80B1C4" w14:textId="77777777" w:rsidR="009F33CD" w:rsidRDefault="00E40740">
      <w:pPr>
        <w:spacing w:after="240"/>
      </w:pPr>
      <w:r>
        <w:t xml:space="preserve">Further inquiry indicated that in 2017, there was a countrywide strike of employees in the healthcare services sector which led to a decline in the amount of revenue collected. These findings correspond to a decline in the number of clients attended to during the same period. The study found that when employees in the finance department work online in an eco-friendly environment, therefore the amount of revenue collected increases. </w:t>
      </w:r>
    </w:p>
    <w:p w14:paraId="6D305F27" w14:textId="77777777" w:rsidR="009F33CD" w:rsidRDefault="00E40740">
      <w:pPr>
        <w:spacing w:after="240"/>
      </w:pPr>
      <w:r>
        <w:t>Major top respondents at Level Five Hospitals were interviewed regarding the performance of devolved healthcare services and their responses were recorded. Twelve respondents were asked to explain how e-business affects the performance level of devolved healthcare services and all 12 explained that hospitals have embraced E-business and customers are encouraged to pay for services through M-pesa and electronic money transfer. The respondents argued that this had improved the speed of service delivery, reduced fraud, and improved accountability of revenue collected. Electronic business transactions in hospitals save time for the employee to retrieve information for example patient records, and save printing paper for example in the use of NHIF biometric machines by employees to verify customer details.</w:t>
      </w:r>
    </w:p>
    <w:p w14:paraId="73BF48C9" w14:textId="77777777" w:rsidR="009F33CD" w:rsidRDefault="00E40740">
      <w:pPr>
        <w:spacing w:after="240"/>
      </w:pPr>
      <w:r>
        <w:t xml:space="preserve">This finding is aligned with that of </w:t>
      </w:r>
      <w:r>
        <w:rPr>
          <w:bCs/>
        </w:rPr>
        <w:t xml:space="preserve">Ahmad (2015) who found that e-business and e-learning have converted ordinary offices into Paperless offices that have minimum use of paper or have eliminated the use of paper by changing all important official paper documents into automated documents and workflows. Nine out of 12 respondents </w:t>
      </w:r>
      <w:r>
        <w:rPr>
          <w:bCs/>
        </w:rPr>
        <w:lastRenderedPageBreak/>
        <w:t xml:space="preserve">argued that </w:t>
      </w:r>
      <w:r>
        <w:t>Teleconferencing and telecommuting among senior managers is encouraged, while telemedicine is practiced in the sharing of medical information, for example, CT scans, in Level Five Hospitals. This implies that services are offered quickly and efficiently and this improves revenue collected from the devolved healthcare service in Kenya.</w:t>
      </w:r>
    </w:p>
    <w:p w14:paraId="0C583D56" w14:textId="77777777" w:rsidR="009F33CD" w:rsidRDefault="008444FB">
      <w:pPr>
        <w:pStyle w:val="Heading6"/>
      </w:pPr>
      <w:bookmarkStart w:id="1686" w:name="_Toc187080943"/>
      <w:bookmarkStart w:id="1687" w:name="_Toc178945123"/>
      <w:bookmarkStart w:id="1688" w:name="_Toc147950296"/>
      <w:bookmarkStart w:id="1689" w:name="_Toc147946957"/>
      <w:bookmarkStart w:id="1690" w:name="_Toc185614171"/>
      <w:bookmarkStart w:id="1691" w:name="_Toc165626454"/>
      <w:bookmarkStart w:id="1692" w:name="_Toc224237487"/>
      <w:bookmarkEnd w:id="1568"/>
      <w:r>
        <w:t>Table 4.58</w:t>
      </w:r>
      <w:r w:rsidR="00E40740">
        <w:t>: Hypotheses Testing Results Summary</w:t>
      </w:r>
      <w:bookmarkEnd w:id="1686"/>
      <w:bookmarkEnd w:id="1687"/>
      <w:bookmarkEnd w:id="1688"/>
      <w:bookmarkEnd w:id="1689"/>
      <w:bookmarkEnd w:id="1690"/>
      <w:bookmarkEnd w:id="1691"/>
      <w:bookmarkEnd w:id="1692"/>
    </w:p>
    <w:tbl>
      <w:tblPr>
        <w:tblW w:w="5000" w:type="pct"/>
        <w:tblBorders>
          <w:top w:val="single" w:sz="4" w:space="0" w:color="auto"/>
          <w:bottom w:val="single" w:sz="4" w:space="0" w:color="auto"/>
        </w:tblBorders>
        <w:tblLook w:val="04A0" w:firstRow="1" w:lastRow="0" w:firstColumn="1" w:lastColumn="0" w:noHBand="0" w:noVBand="1"/>
      </w:tblPr>
      <w:tblGrid>
        <w:gridCol w:w="3523"/>
        <w:gridCol w:w="1025"/>
        <w:gridCol w:w="3672"/>
      </w:tblGrid>
      <w:tr w:rsidR="009F33CD" w14:paraId="3308187E" w14:textId="77777777" w:rsidTr="005163BD">
        <w:trPr>
          <w:trHeight w:val="788"/>
        </w:trPr>
        <w:tc>
          <w:tcPr>
            <w:tcW w:w="2155" w:type="pct"/>
            <w:tcBorders>
              <w:top w:val="single" w:sz="4" w:space="0" w:color="auto"/>
              <w:bottom w:val="single" w:sz="4" w:space="0" w:color="auto"/>
            </w:tcBorders>
          </w:tcPr>
          <w:p w14:paraId="3035B887" w14:textId="77777777" w:rsidR="009F33CD" w:rsidRDefault="00E40740">
            <w:pPr>
              <w:spacing w:before="0" w:beforeAutospacing="0" w:after="0" w:afterAutospacing="0" w:line="240" w:lineRule="auto"/>
              <w:rPr>
                <w:rFonts w:cs="Times New Roman"/>
                <w:b/>
                <w:bCs/>
              </w:rPr>
            </w:pPr>
            <w:r>
              <w:rPr>
                <w:rFonts w:cs="Times New Roman"/>
                <w:b/>
                <w:bCs/>
              </w:rPr>
              <w:t>Hypothesis</w:t>
            </w:r>
          </w:p>
        </w:tc>
        <w:tc>
          <w:tcPr>
            <w:tcW w:w="599" w:type="pct"/>
            <w:tcBorders>
              <w:top w:val="single" w:sz="4" w:space="0" w:color="auto"/>
              <w:bottom w:val="single" w:sz="4" w:space="0" w:color="auto"/>
            </w:tcBorders>
          </w:tcPr>
          <w:p w14:paraId="17F4D3EF" w14:textId="77777777" w:rsidR="009F33CD" w:rsidRDefault="00E40740">
            <w:pPr>
              <w:spacing w:before="0" w:beforeAutospacing="0" w:after="0" w:afterAutospacing="0" w:line="240" w:lineRule="auto"/>
              <w:rPr>
                <w:rFonts w:cs="Times New Roman"/>
                <w:b/>
                <w:bCs/>
              </w:rPr>
            </w:pPr>
            <w:r>
              <w:rPr>
                <w:rFonts w:cs="Times New Roman"/>
                <w:b/>
                <w:bCs/>
              </w:rPr>
              <w:t>P-value</w:t>
            </w:r>
          </w:p>
        </w:tc>
        <w:tc>
          <w:tcPr>
            <w:tcW w:w="2246" w:type="pct"/>
            <w:tcBorders>
              <w:top w:val="single" w:sz="4" w:space="0" w:color="auto"/>
              <w:bottom w:val="single" w:sz="4" w:space="0" w:color="auto"/>
            </w:tcBorders>
          </w:tcPr>
          <w:p w14:paraId="267336D7" w14:textId="77777777" w:rsidR="009F33CD" w:rsidRPr="005163BD" w:rsidRDefault="00E40740" w:rsidP="005163BD">
            <w:pPr>
              <w:spacing w:before="0" w:beforeAutospacing="0" w:after="0" w:afterAutospacing="0" w:line="240" w:lineRule="auto"/>
              <w:jc w:val="left"/>
              <w:rPr>
                <w:rFonts w:cs="Times New Roman"/>
                <w:b/>
                <w:bCs/>
              </w:rPr>
            </w:pPr>
            <w:r w:rsidRPr="005163BD">
              <w:rPr>
                <w:rFonts w:cs="Times New Roman"/>
                <w:b/>
                <w:bCs/>
              </w:rPr>
              <w:t xml:space="preserve">Decision Rule </w:t>
            </w:r>
          </w:p>
          <w:p w14:paraId="2D0BA6BB" w14:textId="77777777" w:rsidR="009F33CD" w:rsidRPr="005163BD" w:rsidRDefault="00E40740" w:rsidP="005163BD">
            <w:pPr>
              <w:spacing w:before="0" w:beforeAutospacing="0" w:after="0" w:afterAutospacing="0" w:line="240" w:lineRule="auto"/>
              <w:jc w:val="left"/>
              <w:rPr>
                <w:rFonts w:cs="Times New Roman"/>
                <w:b/>
                <w:bCs/>
              </w:rPr>
            </w:pPr>
            <w:r w:rsidRPr="005163BD">
              <w:rPr>
                <w:rFonts w:cs="Times New Roman"/>
                <w:b/>
              </w:rPr>
              <w:t>Reject Null Hypothesis if P- value ≤ 0.05 otherwise accept if P is &gt; 0.05</w:t>
            </w:r>
          </w:p>
        </w:tc>
      </w:tr>
      <w:tr w:rsidR="009F33CD" w14:paraId="65BD6A8D" w14:textId="77777777" w:rsidTr="005163BD">
        <w:trPr>
          <w:trHeight w:val="722"/>
        </w:trPr>
        <w:tc>
          <w:tcPr>
            <w:tcW w:w="2155" w:type="pct"/>
            <w:tcBorders>
              <w:top w:val="single" w:sz="4" w:space="0" w:color="auto"/>
            </w:tcBorders>
          </w:tcPr>
          <w:p w14:paraId="58A07B54" w14:textId="77777777" w:rsidR="009F33CD" w:rsidRDefault="00E40740">
            <w:pPr>
              <w:spacing w:before="0" w:beforeAutospacing="0" w:after="0" w:afterAutospacing="0" w:line="240" w:lineRule="auto"/>
              <w:rPr>
                <w:rFonts w:cs="Times New Roman"/>
              </w:rPr>
            </w:pPr>
            <w:r>
              <w:rPr>
                <w:rFonts w:cs="Times New Roman"/>
                <w:b/>
              </w:rPr>
              <w:t>H</w:t>
            </w:r>
            <w:r>
              <w:rPr>
                <w:rFonts w:cs="Times New Roman"/>
                <w:b/>
                <w:vertAlign w:val="subscript"/>
              </w:rPr>
              <w:t>01</w:t>
            </w:r>
            <w:r>
              <w:rPr>
                <w:rFonts w:cs="Times New Roman"/>
                <w:b/>
              </w:rPr>
              <w:t>:</w:t>
            </w:r>
            <w:r>
              <w:rPr>
                <w:rFonts w:cs="Times New Roman"/>
              </w:rPr>
              <w:t xml:space="preserve"> Green employee resourcing has no significant effect on performance of devolved healthcare services in Kenya.</w:t>
            </w:r>
          </w:p>
        </w:tc>
        <w:tc>
          <w:tcPr>
            <w:tcW w:w="599" w:type="pct"/>
            <w:tcBorders>
              <w:top w:val="single" w:sz="4" w:space="0" w:color="auto"/>
            </w:tcBorders>
          </w:tcPr>
          <w:p w14:paraId="1FA83264" w14:textId="77777777" w:rsidR="009F33CD" w:rsidRDefault="00E40740">
            <w:pPr>
              <w:spacing w:before="0" w:beforeAutospacing="0" w:after="0" w:afterAutospacing="0" w:line="240" w:lineRule="auto"/>
              <w:rPr>
                <w:rFonts w:cs="Times New Roman"/>
              </w:rPr>
            </w:pPr>
            <w:r>
              <w:rPr>
                <w:rFonts w:cs="Times New Roman"/>
              </w:rPr>
              <w:t>P=0.000</w:t>
            </w:r>
          </w:p>
        </w:tc>
        <w:tc>
          <w:tcPr>
            <w:tcW w:w="2246" w:type="pct"/>
            <w:tcBorders>
              <w:top w:val="single" w:sz="4" w:space="0" w:color="auto"/>
            </w:tcBorders>
          </w:tcPr>
          <w:p w14:paraId="12A1D6E2" w14:textId="77777777" w:rsidR="009F33CD" w:rsidRDefault="00E40740" w:rsidP="005163BD">
            <w:pPr>
              <w:spacing w:before="0" w:beforeAutospacing="0" w:after="0" w:afterAutospacing="0" w:line="240" w:lineRule="auto"/>
              <w:jc w:val="left"/>
              <w:rPr>
                <w:rFonts w:cs="Times New Roman"/>
              </w:rPr>
            </w:pPr>
            <w:r>
              <w:rPr>
                <w:rFonts w:cs="Times New Roman"/>
                <w:b/>
                <w:bCs/>
              </w:rPr>
              <w:t>H</w:t>
            </w:r>
            <w:r>
              <w:rPr>
                <w:rFonts w:cs="Times New Roman"/>
                <w:b/>
                <w:bCs/>
                <w:vertAlign w:val="subscript"/>
              </w:rPr>
              <w:t>O1</w:t>
            </w:r>
            <w:r>
              <w:rPr>
                <w:rFonts w:cs="Times New Roman"/>
              </w:rPr>
              <w:t xml:space="preserve"> Rejected and alternative hypothesis accepted.</w:t>
            </w:r>
          </w:p>
        </w:tc>
      </w:tr>
      <w:tr w:rsidR="009F33CD" w14:paraId="4995AF5D" w14:textId="77777777" w:rsidTr="005163BD">
        <w:trPr>
          <w:trHeight w:val="744"/>
        </w:trPr>
        <w:tc>
          <w:tcPr>
            <w:tcW w:w="2155" w:type="pct"/>
          </w:tcPr>
          <w:p w14:paraId="2EAD83E2" w14:textId="77777777" w:rsidR="009F33CD" w:rsidRDefault="00E40740">
            <w:pPr>
              <w:spacing w:before="0" w:beforeAutospacing="0" w:after="0" w:afterAutospacing="0" w:line="240" w:lineRule="auto"/>
              <w:rPr>
                <w:rFonts w:cs="Times New Roman"/>
              </w:rPr>
            </w:pPr>
            <w:r>
              <w:rPr>
                <w:rFonts w:cs="Times New Roman"/>
                <w:b/>
              </w:rPr>
              <w:t>H</w:t>
            </w:r>
            <w:r>
              <w:rPr>
                <w:rFonts w:cs="Times New Roman"/>
                <w:b/>
                <w:vertAlign w:val="subscript"/>
              </w:rPr>
              <w:t>02</w:t>
            </w:r>
            <w:r>
              <w:rPr>
                <w:rFonts w:cs="Times New Roman"/>
                <w:b/>
              </w:rPr>
              <w:t>:</w:t>
            </w:r>
            <w:r>
              <w:rPr>
                <w:rFonts w:cs="Times New Roman"/>
              </w:rPr>
              <w:t xml:space="preserve"> Green training has no significant effect on performance of devolved healthcare services in Kenya.</w:t>
            </w:r>
          </w:p>
        </w:tc>
        <w:tc>
          <w:tcPr>
            <w:tcW w:w="599" w:type="pct"/>
          </w:tcPr>
          <w:p w14:paraId="51A934B7" w14:textId="77777777" w:rsidR="009F33CD" w:rsidRDefault="00E40740">
            <w:pPr>
              <w:spacing w:before="0" w:beforeAutospacing="0" w:after="0" w:afterAutospacing="0" w:line="240" w:lineRule="auto"/>
              <w:rPr>
                <w:rFonts w:cs="Times New Roman"/>
              </w:rPr>
            </w:pPr>
            <w:r>
              <w:rPr>
                <w:rFonts w:cs="Times New Roman"/>
              </w:rPr>
              <w:t>P=0.000</w:t>
            </w:r>
          </w:p>
        </w:tc>
        <w:tc>
          <w:tcPr>
            <w:tcW w:w="2246" w:type="pct"/>
          </w:tcPr>
          <w:p w14:paraId="6358327C" w14:textId="77777777" w:rsidR="009F33CD" w:rsidRDefault="00E40740" w:rsidP="005163BD">
            <w:pPr>
              <w:spacing w:before="0" w:beforeAutospacing="0" w:after="0" w:afterAutospacing="0" w:line="240" w:lineRule="auto"/>
              <w:jc w:val="left"/>
              <w:rPr>
                <w:rFonts w:cs="Times New Roman"/>
              </w:rPr>
            </w:pPr>
            <w:r>
              <w:rPr>
                <w:rFonts w:cs="Times New Roman"/>
                <w:b/>
                <w:bCs/>
              </w:rPr>
              <w:t>H</w:t>
            </w:r>
            <w:r>
              <w:rPr>
                <w:rFonts w:cs="Times New Roman"/>
                <w:b/>
                <w:bCs/>
                <w:vertAlign w:val="subscript"/>
              </w:rPr>
              <w:t xml:space="preserve">O2 </w:t>
            </w:r>
            <w:r>
              <w:rPr>
                <w:rFonts w:cs="Times New Roman"/>
              </w:rPr>
              <w:t>Rejected and alternative hypothesis accepted.</w:t>
            </w:r>
          </w:p>
        </w:tc>
      </w:tr>
      <w:tr w:rsidR="009F33CD" w14:paraId="7E55D7B8" w14:textId="77777777" w:rsidTr="005163BD">
        <w:trPr>
          <w:trHeight w:val="726"/>
        </w:trPr>
        <w:tc>
          <w:tcPr>
            <w:tcW w:w="2155" w:type="pct"/>
          </w:tcPr>
          <w:p w14:paraId="0E756758" w14:textId="77777777" w:rsidR="009F33CD" w:rsidRDefault="00E40740">
            <w:pPr>
              <w:spacing w:before="0" w:beforeAutospacing="0" w:after="0" w:afterAutospacing="0" w:line="240" w:lineRule="auto"/>
              <w:rPr>
                <w:rFonts w:cs="Times New Roman"/>
              </w:rPr>
            </w:pPr>
            <w:r>
              <w:rPr>
                <w:rFonts w:cs="Times New Roman"/>
                <w:b/>
              </w:rPr>
              <w:t>H</w:t>
            </w:r>
            <w:r>
              <w:rPr>
                <w:rFonts w:cs="Times New Roman"/>
                <w:b/>
                <w:vertAlign w:val="subscript"/>
              </w:rPr>
              <w:t>03</w:t>
            </w:r>
            <w:r>
              <w:rPr>
                <w:rFonts w:cs="Times New Roman"/>
                <w:b/>
              </w:rPr>
              <w:t>:</w:t>
            </w:r>
            <w:r>
              <w:rPr>
                <w:rFonts w:cs="Times New Roman"/>
              </w:rPr>
              <w:t xml:space="preserve"> Green occupational safety and health has no significant effect on performance of devolved healthcare services in Kenya.</w:t>
            </w:r>
          </w:p>
        </w:tc>
        <w:tc>
          <w:tcPr>
            <w:tcW w:w="599" w:type="pct"/>
          </w:tcPr>
          <w:p w14:paraId="490A454E" w14:textId="77777777" w:rsidR="009F33CD" w:rsidRDefault="00E40740">
            <w:pPr>
              <w:spacing w:before="0" w:beforeAutospacing="0" w:after="0" w:afterAutospacing="0" w:line="240" w:lineRule="auto"/>
              <w:rPr>
                <w:rFonts w:cs="Times New Roman"/>
              </w:rPr>
            </w:pPr>
            <w:r>
              <w:rPr>
                <w:rFonts w:cs="Times New Roman"/>
              </w:rPr>
              <w:t>P=0.000</w:t>
            </w:r>
          </w:p>
        </w:tc>
        <w:tc>
          <w:tcPr>
            <w:tcW w:w="2246" w:type="pct"/>
          </w:tcPr>
          <w:p w14:paraId="2A118CDE" w14:textId="77777777" w:rsidR="009F33CD" w:rsidRDefault="00E40740" w:rsidP="005163BD">
            <w:pPr>
              <w:spacing w:before="0" w:beforeAutospacing="0" w:after="0" w:afterAutospacing="0" w:line="240" w:lineRule="auto"/>
              <w:jc w:val="left"/>
              <w:rPr>
                <w:rFonts w:cs="Times New Roman"/>
              </w:rPr>
            </w:pPr>
            <w:r>
              <w:rPr>
                <w:rFonts w:cs="Times New Roman"/>
                <w:b/>
                <w:bCs/>
              </w:rPr>
              <w:t>H</w:t>
            </w:r>
            <w:r>
              <w:rPr>
                <w:rFonts w:cs="Times New Roman"/>
                <w:b/>
                <w:bCs/>
                <w:vertAlign w:val="subscript"/>
              </w:rPr>
              <w:t xml:space="preserve">O3 </w:t>
            </w:r>
            <w:r>
              <w:rPr>
                <w:rFonts w:cs="Times New Roman"/>
              </w:rPr>
              <w:t>Rejected and alternative hypothesis accepted.</w:t>
            </w:r>
          </w:p>
        </w:tc>
      </w:tr>
      <w:tr w:rsidR="009F33CD" w14:paraId="7B749276" w14:textId="77777777" w:rsidTr="005163BD">
        <w:trPr>
          <w:trHeight w:val="794"/>
        </w:trPr>
        <w:tc>
          <w:tcPr>
            <w:tcW w:w="2155" w:type="pct"/>
          </w:tcPr>
          <w:p w14:paraId="3E419B17" w14:textId="77777777" w:rsidR="009F33CD" w:rsidRDefault="00E40740">
            <w:pPr>
              <w:spacing w:before="0" w:beforeAutospacing="0" w:after="0" w:afterAutospacing="0" w:line="240" w:lineRule="auto"/>
              <w:rPr>
                <w:rFonts w:cs="Times New Roman"/>
              </w:rPr>
            </w:pPr>
            <w:r>
              <w:rPr>
                <w:rFonts w:cs="Times New Roman"/>
                <w:b/>
              </w:rPr>
              <w:t>H</w:t>
            </w:r>
            <w:r>
              <w:rPr>
                <w:rFonts w:cs="Times New Roman"/>
                <w:b/>
                <w:vertAlign w:val="subscript"/>
              </w:rPr>
              <w:t>04</w:t>
            </w:r>
            <w:r>
              <w:rPr>
                <w:rFonts w:cs="Times New Roman"/>
                <w:b/>
              </w:rPr>
              <w:t>:</w:t>
            </w:r>
            <w:r>
              <w:rPr>
                <w:rFonts w:cs="Times New Roman"/>
              </w:rPr>
              <w:t xml:space="preserve"> Green performance evaluation has no significant effect on performance of devolved healthcare services in Kenya.</w:t>
            </w:r>
          </w:p>
        </w:tc>
        <w:tc>
          <w:tcPr>
            <w:tcW w:w="599" w:type="pct"/>
          </w:tcPr>
          <w:p w14:paraId="75E794E6" w14:textId="77777777" w:rsidR="009F33CD" w:rsidRDefault="00E40740">
            <w:pPr>
              <w:spacing w:before="0" w:beforeAutospacing="0" w:after="0" w:afterAutospacing="0" w:line="240" w:lineRule="auto"/>
              <w:rPr>
                <w:rFonts w:cs="Times New Roman"/>
              </w:rPr>
            </w:pPr>
            <w:r>
              <w:rPr>
                <w:rFonts w:cs="Times New Roman"/>
              </w:rPr>
              <w:t>P=0.000</w:t>
            </w:r>
          </w:p>
        </w:tc>
        <w:tc>
          <w:tcPr>
            <w:tcW w:w="2246" w:type="pct"/>
          </w:tcPr>
          <w:p w14:paraId="504829B3" w14:textId="77777777" w:rsidR="009F33CD" w:rsidRDefault="00E40740" w:rsidP="005163BD">
            <w:pPr>
              <w:spacing w:before="0" w:beforeAutospacing="0" w:after="0" w:afterAutospacing="0" w:line="240" w:lineRule="auto"/>
              <w:jc w:val="left"/>
              <w:rPr>
                <w:rFonts w:cs="Times New Roman"/>
              </w:rPr>
            </w:pPr>
            <w:r>
              <w:rPr>
                <w:rFonts w:cs="Times New Roman"/>
                <w:b/>
                <w:bCs/>
              </w:rPr>
              <w:t>H</w:t>
            </w:r>
            <w:r>
              <w:rPr>
                <w:rFonts w:cs="Times New Roman"/>
                <w:b/>
                <w:bCs/>
                <w:vertAlign w:val="subscript"/>
              </w:rPr>
              <w:t xml:space="preserve">O4 </w:t>
            </w:r>
            <w:r>
              <w:rPr>
                <w:rFonts w:cs="Times New Roman"/>
              </w:rPr>
              <w:t>Rejected and alternative hypothesis accepted.</w:t>
            </w:r>
          </w:p>
        </w:tc>
      </w:tr>
      <w:tr w:rsidR="009F33CD" w14:paraId="5D8345D2" w14:textId="77777777" w:rsidTr="005163BD">
        <w:trPr>
          <w:trHeight w:val="1374"/>
        </w:trPr>
        <w:tc>
          <w:tcPr>
            <w:tcW w:w="2155" w:type="pct"/>
          </w:tcPr>
          <w:p w14:paraId="4223C249" w14:textId="77777777" w:rsidR="009F33CD" w:rsidRDefault="00E40740">
            <w:pPr>
              <w:spacing w:before="0" w:beforeAutospacing="0" w:after="0" w:afterAutospacing="0" w:line="240" w:lineRule="auto"/>
              <w:rPr>
                <w:rFonts w:cs="Times New Roman"/>
              </w:rPr>
            </w:pPr>
            <w:r>
              <w:rPr>
                <w:rFonts w:cs="Times New Roman"/>
                <w:b/>
              </w:rPr>
              <w:t>H</w:t>
            </w:r>
            <w:r>
              <w:rPr>
                <w:rFonts w:cs="Times New Roman"/>
                <w:b/>
                <w:vertAlign w:val="subscript"/>
              </w:rPr>
              <w:t>05</w:t>
            </w:r>
            <w:r>
              <w:rPr>
                <w:rFonts w:cs="Times New Roman"/>
                <w:b/>
              </w:rPr>
              <w:t>:</w:t>
            </w:r>
            <w:r>
              <w:rPr>
                <w:rFonts w:cs="Times New Roman"/>
              </w:rPr>
              <w:t xml:space="preserve"> Management style has no significant moderating effect on the relationship between green human resource practices and performance of devolved healthcare services in Kenya.</w:t>
            </w:r>
          </w:p>
        </w:tc>
        <w:tc>
          <w:tcPr>
            <w:tcW w:w="599" w:type="pct"/>
          </w:tcPr>
          <w:p w14:paraId="70E14973" w14:textId="77777777" w:rsidR="009F33CD" w:rsidRDefault="00E40740">
            <w:pPr>
              <w:spacing w:before="0" w:beforeAutospacing="0" w:after="0" w:afterAutospacing="0" w:line="240" w:lineRule="auto"/>
              <w:rPr>
                <w:rFonts w:cs="Times New Roman"/>
              </w:rPr>
            </w:pPr>
            <w:r>
              <w:rPr>
                <w:rFonts w:cs="Times New Roman"/>
              </w:rPr>
              <w:t>P=0.000</w:t>
            </w:r>
          </w:p>
        </w:tc>
        <w:tc>
          <w:tcPr>
            <w:tcW w:w="2246" w:type="pct"/>
          </w:tcPr>
          <w:p w14:paraId="0DCBC64E" w14:textId="77777777" w:rsidR="009F33CD" w:rsidRDefault="00E40740" w:rsidP="005163BD">
            <w:pPr>
              <w:spacing w:before="0" w:beforeAutospacing="0" w:after="0" w:afterAutospacing="0" w:line="240" w:lineRule="auto"/>
              <w:jc w:val="left"/>
              <w:rPr>
                <w:rFonts w:cs="Times New Roman"/>
              </w:rPr>
            </w:pPr>
            <w:r>
              <w:rPr>
                <w:rFonts w:cs="Times New Roman"/>
                <w:b/>
                <w:bCs/>
              </w:rPr>
              <w:t>H</w:t>
            </w:r>
            <w:r>
              <w:rPr>
                <w:rFonts w:cs="Times New Roman"/>
                <w:b/>
                <w:bCs/>
                <w:vertAlign w:val="subscript"/>
              </w:rPr>
              <w:t xml:space="preserve">O5 </w:t>
            </w:r>
            <w:r>
              <w:rPr>
                <w:rFonts w:cs="Times New Roman"/>
              </w:rPr>
              <w:t xml:space="preserve">Rejected and alternative hypothesis accepted. </w:t>
            </w:r>
          </w:p>
        </w:tc>
      </w:tr>
    </w:tbl>
    <w:p w14:paraId="101A7EEE" w14:textId="77777777" w:rsidR="009F33CD" w:rsidRDefault="008444FB">
      <w:pPr>
        <w:spacing w:after="240"/>
        <w:rPr>
          <w:rFonts w:cs="Times New Roman"/>
          <w:bCs/>
        </w:rPr>
      </w:pPr>
      <w:r>
        <w:rPr>
          <w:rFonts w:cs="Times New Roman"/>
          <w:bCs/>
        </w:rPr>
        <w:t>Table 4.58</w:t>
      </w:r>
      <w:r w:rsidR="00E40740">
        <w:rPr>
          <w:rFonts w:cs="Times New Roman"/>
          <w:bCs/>
        </w:rPr>
        <w:t xml:space="preserve"> shows that</w:t>
      </w:r>
      <w:bookmarkStart w:id="1693" w:name="_Hlk174350902"/>
      <w:r w:rsidR="00E40740">
        <w:rPr>
          <w:rFonts w:cs="Times New Roman"/>
          <w:bCs/>
        </w:rPr>
        <w:t xml:space="preserve"> the p-values were all less than the statistical significance level (p&lt;0.05). All the study hypotheses were rejected as the predictor variables (Green Employee resourcing, Green Training, Green Occupational Safety and Health, Green Performance Evaluation, and Moderating variable- management style) were statistically significant with the performance of devolved healthcare services in Kenya. </w:t>
      </w:r>
      <w:bookmarkEnd w:id="1693"/>
    </w:p>
    <w:p w14:paraId="63842AAE" w14:textId="77777777" w:rsidR="009F33CD" w:rsidRDefault="00E40740">
      <w:pPr>
        <w:spacing w:before="0" w:beforeAutospacing="0" w:after="240"/>
        <w:rPr>
          <w:rFonts w:cs="Times New Roman"/>
          <w:bCs/>
        </w:rPr>
      </w:pPr>
      <w:r>
        <w:rPr>
          <w:rFonts w:cs="Times New Roman"/>
          <w:bCs/>
        </w:rPr>
        <w:lastRenderedPageBreak/>
        <w:t>After rejecting the null hypotheses, the following alternative hypotheses were accepted:</w:t>
      </w:r>
    </w:p>
    <w:p w14:paraId="60663438" w14:textId="77777777" w:rsidR="009F33CD" w:rsidRDefault="00E40740">
      <w:pPr>
        <w:spacing w:before="0" w:beforeAutospacing="0" w:after="240"/>
        <w:ind w:left="720" w:hanging="720"/>
      </w:pPr>
      <w:r>
        <w:rPr>
          <w:b/>
        </w:rPr>
        <w:t>Ha</w:t>
      </w:r>
      <w:r>
        <w:rPr>
          <w:b/>
          <w:vertAlign w:val="subscript"/>
        </w:rPr>
        <w:t>1</w:t>
      </w:r>
      <w:r>
        <w:rPr>
          <w:b/>
        </w:rPr>
        <w:t>:</w:t>
      </w:r>
      <w:r>
        <w:t xml:space="preserve"> Green employee resourcing has a statistically significant effect on the performance of devolved healthcare services in Kenya.</w:t>
      </w:r>
    </w:p>
    <w:p w14:paraId="4BEE2E78" w14:textId="77777777" w:rsidR="009F33CD" w:rsidRDefault="00E40740">
      <w:pPr>
        <w:spacing w:before="0" w:beforeAutospacing="0" w:after="240"/>
        <w:ind w:left="720" w:hanging="720"/>
      </w:pPr>
      <w:r>
        <w:rPr>
          <w:b/>
        </w:rPr>
        <w:t>Ha</w:t>
      </w:r>
      <w:r>
        <w:rPr>
          <w:b/>
          <w:vertAlign w:val="subscript"/>
        </w:rPr>
        <w:t>2</w:t>
      </w:r>
      <w:r>
        <w:rPr>
          <w:b/>
        </w:rPr>
        <w:t>:</w:t>
      </w:r>
      <w:r>
        <w:t xml:space="preserve"> Green training has a statistically significant effect on the performance of devolved healthcare services in Kenya.</w:t>
      </w:r>
    </w:p>
    <w:p w14:paraId="0B79A18A" w14:textId="77777777" w:rsidR="009F33CD" w:rsidRDefault="00E40740">
      <w:pPr>
        <w:spacing w:before="0" w:beforeAutospacing="0" w:after="240"/>
        <w:ind w:left="720" w:hanging="720"/>
      </w:pPr>
      <w:r>
        <w:rPr>
          <w:b/>
        </w:rPr>
        <w:t>Ha</w:t>
      </w:r>
      <w:r>
        <w:rPr>
          <w:b/>
          <w:vertAlign w:val="subscript"/>
        </w:rPr>
        <w:t>3</w:t>
      </w:r>
      <w:r>
        <w:rPr>
          <w:b/>
        </w:rPr>
        <w:t>:</w:t>
      </w:r>
      <w:r>
        <w:t xml:space="preserve"> Green occupational safety and health has a statistically significant effect on the performance of devolved healthcare services in Kenya. </w:t>
      </w:r>
    </w:p>
    <w:p w14:paraId="5436ECD8" w14:textId="77777777" w:rsidR="009F33CD" w:rsidRDefault="00E40740">
      <w:pPr>
        <w:spacing w:before="0" w:beforeAutospacing="0" w:after="240"/>
        <w:ind w:left="720" w:hanging="720"/>
      </w:pPr>
      <w:r>
        <w:rPr>
          <w:b/>
        </w:rPr>
        <w:t>Ha</w:t>
      </w:r>
      <w:r>
        <w:rPr>
          <w:b/>
          <w:vertAlign w:val="subscript"/>
        </w:rPr>
        <w:t>4</w:t>
      </w:r>
      <w:r>
        <w:rPr>
          <w:b/>
        </w:rPr>
        <w:t>:</w:t>
      </w:r>
      <w:r>
        <w:t xml:space="preserve"> Green performance evaluation has a statistically significant effect on the performance of devolved healthcare services in Kenya.</w:t>
      </w:r>
    </w:p>
    <w:p w14:paraId="5A28FFC5" w14:textId="77777777" w:rsidR="009F33CD" w:rsidRDefault="00E40740">
      <w:pPr>
        <w:spacing w:before="0" w:beforeAutospacing="0" w:after="240"/>
        <w:ind w:left="720" w:hanging="720"/>
      </w:pPr>
      <w:r>
        <w:rPr>
          <w:b/>
        </w:rPr>
        <w:t>Ha</w:t>
      </w:r>
      <w:r>
        <w:rPr>
          <w:b/>
          <w:vertAlign w:val="subscript"/>
        </w:rPr>
        <w:t>5</w:t>
      </w:r>
      <w:r>
        <w:rPr>
          <w:b/>
        </w:rPr>
        <w:t>:</w:t>
      </w:r>
      <w:r>
        <w:t xml:space="preserve"> Management style has a statistically significant moderating effect on the relationship between green human resource practices and the performance of devolved healthcare services in Kenya.</w:t>
      </w:r>
    </w:p>
    <w:p w14:paraId="71E91895" w14:textId="77777777" w:rsidR="009F33CD" w:rsidRDefault="00E40740">
      <w:pPr>
        <w:autoSpaceDE/>
        <w:autoSpaceDN/>
        <w:adjustRightInd/>
        <w:spacing w:after="200" w:line="276" w:lineRule="auto"/>
        <w:rPr>
          <w:rFonts w:cs="Times New Roman"/>
          <w:b/>
          <w:kern w:val="32"/>
          <w:szCs w:val="24"/>
        </w:rPr>
      </w:pPr>
      <w:r>
        <w:rPr>
          <w:rFonts w:cs="Times New Roman"/>
          <w:b/>
          <w:kern w:val="32"/>
          <w:szCs w:val="24"/>
        </w:rPr>
        <w:br w:type="page"/>
      </w:r>
    </w:p>
    <w:p w14:paraId="1660FB2D" w14:textId="77777777" w:rsidR="009F33CD" w:rsidRDefault="00E40740" w:rsidP="005163BD">
      <w:pPr>
        <w:pStyle w:val="Heading1"/>
      </w:pPr>
      <w:bookmarkStart w:id="1694" w:name="_Toc224237761"/>
      <w:r w:rsidRPr="005163BD">
        <w:lastRenderedPageBreak/>
        <w:t>CHAPTER</w:t>
      </w:r>
      <w:r>
        <w:t xml:space="preserve"> FIVE</w:t>
      </w:r>
      <w:bookmarkEnd w:id="1694"/>
    </w:p>
    <w:p w14:paraId="2190A852" w14:textId="77777777" w:rsidR="009F33CD" w:rsidRDefault="00E40740">
      <w:pPr>
        <w:pStyle w:val="Heading1"/>
      </w:pPr>
      <w:bookmarkStart w:id="1695" w:name="_Toc224237762"/>
      <w:r>
        <w:t>SUMMARY, CONCLUSIONS AND RECOMMENDATIONS</w:t>
      </w:r>
      <w:bookmarkEnd w:id="1695"/>
    </w:p>
    <w:p w14:paraId="45960364" w14:textId="77777777" w:rsidR="009F33CD" w:rsidRDefault="00E40740">
      <w:pPr>
        <w:pStyle w:val="Heading2"/>
        <w:rPr>
          <w:lang w:val="en-GB"/>
        </w:rPr>
      </w:pPr>
      <w:bookmarkStart w:id="1696" w:name="_Toc224237763"/>
      <w:r>
        <w:rPr>
          <w:lang w:val="en-GB"/>
        </w:rPr>
        <w:t>5.1 Introduction</w:t>
      </w:r>
      <w:bookmarkEnd w:id="1696"/>
    </w:p>
    <w:p w14:paraId="270CF69C" w14:textId="77777777" w:rsidR="009F33CD" w:rsidRDefault="00E40740">
      <w:pPr>
        <w:spacing w:after="240"/>
        <w:rPr>
          <w:lang w:eastAsia="af-ZA"/>
        </w:rPr>
      </w:pPr>
      <w:r>
        <w:rPr>
          <w:lang w:eastAsia="af-ZA"/>
        </w:rPr>
        <w:t>This chapter contains a summary of findings based on the objectives of the study, conclusions, recommendations, and suggestions for further study.</w:t>
      </w:r>
      <w:r>
        <w:t xml:space="preserve"> </w:t>
      </w:r>
    </w:p>
    <w:p w14:paraId="375D8C00" w14:textId="77777777" w:rsidR="009F33CD" w:rsidRDefault="00E40740">
      <w:pPr>
        <w:pStyle w:val="Heading2"/>
        <w:rPr>
          <w:lang w:val="en-GB"/>
        </w:rPr>
      </w:pPr>
      <w:bookmarkStart w:id="1697" w:name="_Toc224237764"/>
      <w:r>
        <w:rPr>
          <w:lang w:val="en-GB"/>
        </w:rPr>
        <w:t>5.2 Summary of Findings</w:t>
      </w:r>
      <w:bookmarkEnd w:id="1697"/>
    </w:p>
    <w:p w14:paraId="1AD0A0DD" w14:textId="77777777" w:rsidR="009F33CD" w:rsidRDefault="00E40740">
      <w:pPr>
        <w:spacing w:before="240"/>
      </w:pPr>
      <w:r>
        <w:t>The effect of green human resource management practices on the performance of devolved healthcare services in Kenya was the main objective of this study. The summary of findings according to study objectives is presented in the sections that follow.</w:t>
      </w:r>
    </w:p>
    <w:p w14:paraId="50B7EEFD" w14:textId="77777777" w:rsidR="009F33CD" w:rsidRDefault="00E40740">
      <w:pPr>
        <w:pStyle w:val="Heading3"/>
      </w:pPr>
      <w:bookmarkStart w:id="1698" w:name="_Toc188444012"/>
      <w:bookmarkStart w:id="1699" w:name="_Toc165626460"/>
      <w:bookmarkStart w:id="1700" w:name="_Toc147950301"/>
      <w:bookmarkStart w:id="1701" w:name="_Toc187080948"/>
      <w:bookmarkStart w:id="1702" w:name="_Toc188442638"/>
      <w:bookmarkStart w:id="1703" w:name="_Toc178945129"/>
      <w:bookmarkStart w:id="1704" w:name="_Toc185614176"/>
      <w:bookmarkStart w:id="1705" w:name="_Toc224160702"/>
      <w:bookmarkStart w:id="1706" w:name="_Toc224237765"/>
      <w:r>
        <w:t>5.2.1 Green Employee Resourcing and Performance of Devolved Healthcare Services</w:t>
      </w:r>
      <w:bookmarkEnd w:id="1698"/>
      <w:bookmarkEnd w:id="1699"/>
      <w:bookmarkEnd w:id="1700"/>
      <w:bookmarkEnd w:id="1701"/>
      <w:bookmarkEnd w:id="1702"/>
      <w:bookmarkEnd w:id="1703"/>
      <w:bookmarkEnd w:id="1704"/>
      <w:bookmarkEnd w:id="1705"/>
      <w:bookmarkEnd w:id="1706"/>
    </w:p>
    <w:p w14:paraId="3B583C4C" w14:textId="77777777" w:rsidR="009F33CD" w:rsidRDefault="00E40740">
      <w:pPr>
        <w:spacing w:before="240"/>
        <w:rPr>
          <w:bCs/>
        </w:rPr>
      </w:pPr>
      <w:r>
        <w:rPr>
          <w:bCs/>
        </w:rPr>
        <w:t xml:space="preserve">The first objective of the study was to determine the effect of green employee resourcing on the performance of devolved healthcare services in Kenya. Descriptive statistical findings revealed that the majority of the respondents agreed with all the statements about green employee resourcing practice and the performance of devolved healthcare services in Kenya. Pearson’s correction coefficient revealed green employee resourcing has a statistically significant positive and strong relationship with the performance of devolved healthcare services in Kenya. Linear regression findings indicated that green employee resourcing had a statistically significant positive but moderate effect on the performance of devolved healthcare services. </w:t>
      </w:r>
      <w:bookmarkStart w:id="1707" w:name="_Hlk183591979"/>
      <w:r>
        <w:rPr>
          <w:bCs/>
        </w:rPr>
        <w:t>In testing the hypothesis, the null hypothesis was rejected and the alternative hypothesis was accepted, that is, green employee resourcing has a statistically significant effect on the performance of devolved healthcare services in Kenya</w:t>
      </w:r>
      <w:bookmarkEnd w:id="1707"/>
      <w:r>
        <w:rPr>
          <w:bCs/>
        </w:rPr>
        <w:t>.</w:t>
      </w:r>
      <w:r>
        <w:rPr>
          <w:rFonts w:cs="Times New Roman"/>
        </w:rPr>
        <w:t xml:space="preserve"> </w:t>
      </w:r>
      <w:r>
        <w:rPr>
          <w:bCs/>
        </w:rPr>
        <w:t xml:space="preserve">The results revealed that green recruitment methods guided by public service policy on employee resourcing activities; advertisement for job openings on hospital websites with some element of greening; applications invited through online media like email; and conducting online </w:t>
      </w:r>
      <w:r>
        <w:rPr>
          <w:bCs/>
        </w:rPr>
        <w:lastRenderedPageBreak/>
        <w:t>video interviews can lead to a more motivated staff, efficient, and environmentally-conscious workforce, ultimately enhancing employee performance.</w:t>
      </w:r>
    </w:p>
    <w:p w14:paraId="430E0806" w14:textId="77777777" w:rsidR="009F33CD" w:rsidRDefault="00E40740">
      <w:pPr>
        <w:spacing w:before="240"/>
        <w:rPr>
          <w:bCs/>
        </w:rPr>
      </w:pPr>
      <w:r>
        <w:rPr>
          <w:bCs/>
        </w:rPr>
        <w:t xml:space="preserve">Green employee resourcing can lead to increased efficiency and cost savings while alignment with environmental goals can enhance employees’ performance as they actively contribute to achieving sustainability targets. Further, the results imply that including environmental awareness criteria in employee selection and selecting an employee who has contributed towards the green goals of the hospital would positively affect the performance of healthcare services as this will enhance sustainable use of resources. </w:t>
      </w:r>
    </w:p>
    <w:p w14:paraId="0C56B4E9" w14:textId="77777777" w:rsidR="009F33CD" w:rsidRDefault="00E40740">
      <w:pPr>
        <w:pStyle w:val="Heading3"/>
      </w:pPr>
      <w:bookmarkStart w:id="1708" w:name="_Toc187080949"/>
      <w:bookmarkStart w:id="1709" w:name="_Toc188442639"/>
      <w:bookmarkStart w:id="1710" w:name="_Toc185614177"/>
      <w:bookmarkStart w:id="1711" w:name="_Toc147950302"/>
      <w:bookmarkStart w:id="1712" w:name="_Toc165626461"/>
      <w:bookmarkStart w:id="1713" w:name="_Toc188444013"/>
      <w:bookmarkStart w:id="1714" w:name="_Toc178945130"/>
      <w:bookmarkStart w:id="1715" w:name="_Toc224160703"/>
      <w:bookmarkStart w:id="1716" w:name="_Toc224237766"/>
      <w:r>
        <w:t>5.2.2 Green Training and Performance of Devolved Healthcare Services</w:t>
      </w:r>
      <w:bookmarkEnd w:id="1708"/>
      <w:bookmarkEnd w:id="1709"/>
      <w:bookmarkEnd w:id="1710"/>
      <w:bookmarkEnd w:id="1711"/>
      <w:bookmarkEnd w:id="1712"/>
      <w:bookmarkEnd w:id="1713"/>
      <w:bookmarkEnd w:id="1714"/>
      <w:bookmarkEnd w:id="1715"/>
      <w:bookmarkEnd w:id="1716"/>
    </w:p>
    <w:p w14:paraId="7567033E" w14:textId="77777777" w:rsidR="009F33CD" w:rsidRDefault="00E40740">
      <w:pPr>
        <w:autoSpaceDE/>
        <w:autoSpaceDN/>
        <w:adjustRightInd/>
        <w:spacing w:before="240" w:after="200"/>
        <w:rPr>
          <w:bCs/>
        </w:rPr>
      </w:pPr>
      <w:r>
        <w:rPr>
          <w:bCs/>
        </w:rPr>
        <w:t xml:space="preserve">In evaluating the effect of green training on the performance of devolved healthcare services in Kenya, descriptive statistics findings showed that the majority of the respondents agreed with the statements regarding green training and the performance of devolved healthcare services. Pearson’s Correlation coefficient findings revealed that green training had a positive and strong statistical linear relationship with the performance of devolved healthcare services in Kenya. Further, Linear regression results showed that green training had a statistically significant positive effect on the performance of devolved healthcare services. In testing the hypothesis, the null hypothesis was rejected and the alternative hypothesis was accepted, that is, green training has a statistically significant effect on the performance of devolved healthcare services. The findings suggest that green training in Level Five Hospitals is systematically integrated into their operations, ensuring employees develop eco-friendly skills, knowledge, and attitudes. The adoption of online and web-based modules indicates a shift toward technology-driven learning, reducing paper use and supporting sustainable practices. Encouraging green innovation among clinicians highlights the hospital's commitment to environmental responsibility in healthcare. Moreover, the practice of inducting new employees digitally, alongside electronic information-sharing, enhances efficiency while minimizing environmental impact. These findings imply that structured green training programs can significantly </w:t>
      </w:r>
      <w:r>
        <w:rPr>
          <w:bCs/>
        </w:rPr>
        <w:lastRenderedPageBreak/>
        <w:t xml:space="preserve">contribute to sustainability efforts in healthcare institutions, fostering a culture of environmental consciousness and performance excellence. </w:t>
      </w:r>
    </w:p>
    <w:p w14:paraId="0BF44EFF" w14:textId="77777777" w:rsidR="009F33CD" w:rsidRDefault="00E40740">
      <w:pPr>
        <w:pStyle w:val="Heading3"/>
      </w:pPr>
      <w:bookmarkStart w:id="1717" w:name="_Toc185614178"/>
      <w:bookmarkStart w:id="1718" w:name="_Toc178945131"/>
      <w:bookmarkStart w:id="1719" w:name="_Toc187080950"/>
      <w:bookmarkStart w:id="1720" w:name="_Toc147950303"/>
      <w:bookmarkStart w:id="1721" w:name="_Toc188442640"/>
      <w:bookmarkStart w:id="1722" w:name="_Toc165626462"/>
      <w:bookmarkStart w:id="1723" w:name="_Toc188444014"/>
      <w:bookmarkStart w:id="1724" w:name="_Toc224160704"/>
      <w:bookmarkStart w:id="1725" w:name="_Toc224237767"/>
      <w:r>
        <w:t xml:space="preserve">5.2.3 Green Occupational Safety, Health, and </w:t>
      </w:r>
      <w:r>
        <w:rPr>
          <w:rFonts w:eastAsia="Times New Roman"/>
        </w:rPr>
        <w:t>Performance of Devolved Healthcare Services</w:t>
      </w:r>
      <w:bookmarkEnd w:id="1717"/>
      <w:bookmarkEnd w:id="1718"/>
      <w:bookmarkEnd w:id="1719"/>
      <w:bookmarkEnd w:id="1720"/>
      <w:bookmarkEnd w:id="1721"/>
      <w:bookmarkEnd w:id="1722"/>
      <w:bookmarkEnd w:id="1723"/>
      <w:bookmarkEnd w:id="1724"/>
      <w:bookmarkEnd w:id="1725"/>
    </w:p>
    <w:p w14:paraId="36874EA6" w14:textId="77777777" w:rsidR="009F33CD" w:rsidRDefault="00E40740">
      <w:pPr>
        <w:spacing w:before="240" w:after="240"/>
        <w:rPr>
          <w:rFonts w:cs="Times New Roman"/>
          <w:bCs/>
          <w:szCs w:val="24"/>
        </w:rPr>
      </w:pPr>
      <w:r>
        <w:rPr>
          <w:rFonts w:cs="Times New Roman"/>
          <w:bCs/>
          <w:szCs w:val="24"/>
        </w:rPr>
        <w:t xml:space="preserve">The third objective was to examine the effect of Green Occupational safety and health on the performance of devolved healthcare services in Kenya. </w:t>
      </w:r>
      <w:bookmarkStart w:id="1726" w:name="_Hlk183601045"/>
      <w:r>
        <w:rPr>
          <w:rFonts w:cs="Times New Roman"/>
          <w:bCs/>
          <w:szCs w:val="24"/>
        </w:rPr>
        <w:t>Descriptive findings revealed that the majority of the respondents agreed with the statements regarding green occupational safety, health and the performance of devolved healthcare services.</w:t>
      </w:r>
      <w:bookmarkEnd w:id="1726"/>
      <w:r>
        <w:rPr>
          <w:rFonts w:cs="Times New Roman"/>
          <w:bCs/>
          <w:szCs w:val="24"/>
        </w:rPr>
        <w:t xml:space="preserve"> </w:t>
      </w:r>
    </w:p>
    <w:p w14:paraId="7FE1111D" w14:textId="77777777" w:rsidR="009F33CD" w:rsidRDefault="00E40740">
      <w:pPr>
        <w:spacing w:before="240" w:after="240"/>
        <w:rPr>
          <w:rFonts w:cs="Times New Roman"/>
          <w:bCs/>
          <w:szCs w:val="24"/>
        </w:rPr>
      </w:pPr>
      <w:r>
        <w:rPr>
          <w:rFonts w:cs="Times New Roman"/>
          <w:bCs/>
          <w:szCs w:val="24"/>
        </w:rPr>
        <w:t xml:space="preserve">The Pearson’s correlation coefficient results indicated a statistically strong and positive relationship between green occupational safety and health and the performance of devolved healthcare services in Kenya. </w:t>
      </w:r>
      <w:bookmarkStart w:id="1727" w:name="_Hlk183600670"/>
      <w:r>
        <w:rPr>
          <w:rFonts w:cs="Times New Roman"/>
          <w:bCs/>
          <w:szCs w:val="24"/>
        </w:rPr>
        <w:t>Linear regression test results showed that GOSH had a statistically significant positive influence on the performance of devolved healthcare services.</w:t>
      </w:r>
      <w:bookmarkEnd w:id="1727"/>
      <w:r>
        <w:rPr>
          <w:rFonts w:cs="Times New Roman"/>
          <w:bCs/>
          <w:szCs w:val="24"/>
        </w:rPr>
        <w:t xml:space="preserve"> In testing the hypothesis, the null hypothesis was rejected and the alternative hypothesis was accepted, that is, green occupational safety and health have a statistically significant effect on the performance of devolved healthcare services in Kenya. </w:t>
      </w:r>
      <w:r>
        <w:rPr>
          <w:bCs/>
          <w:lang w:eastAsia="af-ZA"/>
        </w:rPr>
        <w:t>The study found that devolved healthcare services improve when hospitals continuously use occupational safety and health management practices that reduce accidents and injuries; utilize paperless offices to create a clean and safe work environment; apply eco-friendly healthcare waste disposal methods (such as waste minimization, segregation, and recycling); used eco-friendly safety gadgets and conducted regular safety and health audits. Further, the study found that plants and green spaces, for example, in hospitals can help improve indoor air quality and help hospitalized patients heal faster and this in turn energizes the clinical staff towards increased productivity.</w:t>
      </w:r>
      <w:r>
        <w:rPr>
          <w:bCs/>
        </w:rPr>
        <w:t xml:space="preserve">  </w:t>
      </w:r>
    </w:p>
    <w:p w14:paraId="785A8B6E" w14:textId="77777777" w:rsidR="009F33CD" w:rsidRDefault="00E40740" w:rsidP="005163BD">
      <w:pPr>
        <w:pStyle w:val="Heading3"/>
      </w:pPr>
      <w:bookmarkStart w:id="1728" w:name="_Toc178945132"/>
      <w:bookmarkStart w:id="1729" w:name="_Toc188444015"/>
      <w:bookmarkStart w:id="1730" w:name="_Toc185614179"/>
      <w:bookmarkStart w:id="1731" w:name="_Toc147950304"/>
      <w:bookmarkStart w:id="1732" w:name="_Toc187080951"/>
      <w:bookmarkStart w:id="1733" w:name="_Toc165626463"/>
      <w:bookmarkStart w:id="1734" w:name="_Toc188442641"/>
      <w:bookmarkStart w:id="1735" w:name="_Toc224160705"/>
      <w:bookmarkStart w:id="1736" w:name="_Toc224237768"/>
      <w:r>
        <w:rPr>
          <w:rFonts w:eastAsia="SimSun"/>
        </w:rPr>
        <w:t xml:space="preserve">5.2.4 </w:t>
      </w:r>
      <w:r>
        <w:t xml:space="preserve">Green </w:t>
      </w:r>
      <w:r w:rsidRPr="005163BD">
        <w:t>Performance</w:t>
      </w:r>
      <w:r>
        <w:t xml:space="preserve"> Evaluation </w:t>
      </w:r>
      <w:r>
        <w:rPr>
          <w:rFonts w:eastAsia="SimSun"/>
        </w:rPr>
        <w:t xml:space="preserve">and </w:t>
      </w:r>
      <w:r>
        <w:t>Performance of Devolved Healthcare Services</w:t>
      </w:r>
      <w:bookmarkEnd w:id="1728"/>
      <w:bookmarkEnd w:id="1729"/>
      <w:bookmarkEnd w:id="1730"/>
      <w:bookmarkEnd w:id="1731"/>
      <w:bookmarkEnd w:id="1732"/>
      <w:bookmarkEnd w:id="1733"/>
      <w:bookmarkEnd w:id="1734"/>
      <w:bookmarkEnd w:id="1735"/>
      <w:bookmarkEnd w:id="1736"/>
    </w:p>
    <w:p w14:paraId="44A3EB94" w14:textId="77777777" w:rsidR="009F33CD" w:rsidRDefault="00E40740">
      <w:pPr>
        <w:spacing w:before="240" w:after="240"/>
        <w:rPr>
          <w:bCs/>
          <w:lang w:eastAsia="af-ZA"/>
        </w:rPr>
      </w:pPr>
      <w:r>
        <w:rPr>
          <w:rFonts w:cs="Times New Roman"/>
          <w:bCs/>
          <w:szCs w:val="24"/>
        </w:rPr>
        <w:t xml:space="preserve">The objective was to investigate the effect of green performance evaluation on the performance of devolved healthcare services in Kenya. Descriptive statistical findings revealed that the majority of the respondents agreed with the statements regarding </w:t>
      </w:r>
      <w:r>
        <w:rPr>
          <w:rFonts w:cs="Times New Roman"/>
          <w:bCs/>
          <w:szCs w:val="24"/>
        </w:rPr>
        <w:lastRenderedPageBreak/>
        <w:t xml:space="preserve">green performance evaluation and the performance of devolved healthcare services in Kenya. Pearson’s correlation coefficient results revealed that green performance evaluation had a statistically significant positive but moderate relationship with the performance of devolved healthcare services in Kenya. Linear regression test findings revealed that green performance evaluation had a statistically significant positive effect on the performance of devolved healthcare services. In testing the hypothesis, the null hypothesis was rejected and the alternative hypothesis was accepted, that is, green performance evaluation has a statistically significant effect on the performance of devolved healthcare services in Kenya. </w:t>
      </w:r>
      <w:r>
        <w:rPr>
          <w:bCs/>
          <w:lang w:eastAsia="af-ZA"/>
        </w:rPr>
        <w:t xml:space="preserve">The study found that the hospitals have put in place objectives for each employee regarding environmental issues; employees who participate in environmental management initiatives while providing healthcare services are recognized; green performance appraisal targets usually encourage employees to improve performance. The study results revealed that the performance appraisal tool has measurable elements on performance and environmental protection; and that an electronic-evaluation tool is used in appraising the performance of employees. It was further found that green performance evaluation uncovers green innovation that improves healthcare performance. </w:t>
      </w:r>
    </w:p>
    <w:p w14:paraId="5F9166E7" w14:textId="77777777" w:rsidR="009F33CD" w:rsidRDefault="00E40740" w:rsidP="005163BD">
      <w:pPr>
        <w:pStyle w:val="Heading3"/>
      </w:pPr>
      <w:bookmarkStart w:id="1737" w:name="_Toc187080952"/>
      <w:bookmarkStart w:id="1738" w:name="_Toc178945133"/>
      <w:bookmarkStart w:id="1739" w:name="_Toc165626464"/>
      <w:bookmarkStart w:id="1740" w:name="_Toc188442643"/>
      <w:bookmarkStart w:id="1741" w:name="_Toc147950305"/>
      <w:bookmarkStart w:id="1742" w:name="_Toc185614180"/>
      <w:bookmarkStart w:id="1743" w:name="_Toc188444017"/>
      <w:bookmarkStart w:id="1744" w:name="_Toc224160706"/>
      <w:bookmarkStart w:id="1745" w:name="_Toc224237769"/>
      <w:r>
        <w:t xml:space="preserve">5.2.5 The Moderating Effect of Management Style on the Relationship between GHRM Practices and </w:t>
      </w:r>
      <w:r w:rsidRPr="005163BD">
        <w:t>Performance</w:t>
      </w:r>
      <w:r>
        <w:t xml:space="preserve"> of Devolved Healthcare Services</w:t>
      </w:r>
      <w:bookmarkEnd w:id="1737"/>
      <w:bookmarkEnd w:id="1738"/>
      <w:bookmarkEnd w:id="1739"/>
      <w:bookmarkEnd w:id="1740"/>
      <w:bookmarkEnd w:id="1741"/>
      <w:bookmarkEnd w:id="1742"/>
      <w:bookmarkEnd w:id="1743"/>
      <w:bookmarkEnd w:id="1744"/>
      <w:bookmarkEnd w:id="1745"/>
    </w:p>
    <w:p w14:paraId="68259976" w14:textId="77777777" w:rsidR="009F33CD" w:rsidRDefault="00E40740">
      <w:pPr>
        <w:rPr>
          <w:rFonts w:cs="Times New Roman"/>
        </w:rPr>
      </w:pPr>
      <w:r>
        <w:rPr>
          <w:rFonts w:cs="Times New Roman"/>
          <w:bCs/>
          <w:szCs w:val="24"/>
        </w:rPr>
        <w:t>In assessing the moderating effect of management style on the relationship between GHRM practices and the performance of devolved healthcare services, the results revealed that when a moderator (management style) is introduced, there is a significant positive and strong relationship between joint independent variables and dependent variable. This suggests that the moderating variable plays a crucial role in enhancing the effectiveness of devolved healthcare services. It underscores the importance of considering this factor in policy-making and implementation to drive substantial improvements in healthcare delivery.</w:t>
      </w:r>
      <w:bookmarkStart w:id="1746" w:name="_Hlk183602263"/>
      <w:r>
        <w:rPr>
          <w:rFonts w:cs="Times New Roman"/>
          <w:bCs/>
          <w:szCs w:val="24"/>
        </w:rPr>
        <w:t xml:space="preserve"> The results also revealed that there is a statistically significant change in adjusted R square when a moderator is introduced. </w:t>
      </w:r>
      <w:bookmarkEnd w:id="1746"/>
      <w:r>
        <w:rPr>
          <w:rFonts w:cs="Times New Roman"/>
          <w:bCs/>
          <w:szCs w:val="24"/>
        </w:rPr>
        <w:t xml:space="preserve">The significant change in F change implied that the moderating variable had a statistically strong positive significant influence on the relationship between green human resource management practices and the performance of devolved healthcare </w:t>
      </w:r>
      <w:r>
        <w:rPr>
          <w:rFonts w:cs="Times New Roman"/>
          <w:bCs/>
          <w:szCs w:val="24"/>
        </w:rPr>
        <w:lastRenderedPageBreak/>
        <w:t>services in Kenya.</w:t>
      </w:r>
      <w:r>
        <w:rPr>
          <w:rFonts w:cs="Times New Roman"/>
        </w:rPr>
        <w:t xml:space="preserve"> By considering the foregoing findings, the null hypothesis of management style was rejected and the alternative hypothesis accepted, that is, Management style has a significant moderating effect on the relationship between green human resource management practices and the performance of devolved healthcare services in Kenya.</w:t>
      </w:r>
    </w:p>
    <w:p w14:paraId="057D3324" w14:textId="77777777" w:rsidR="009F33CD" w:rsidRDefault="00E40740">
      <w:pPr>
        <w:pStyle w:val="Heading3"/>
        <w:rPr>
          <w:lang w:eastAsia="af-ZA"/>
        </w:rPr>
      </w:pPr>
      <w:bookmarkStart w:id="1747" w:name="_Toc187080953"/>
      <w:bookmarkStart w:id="1748" w:name="_Toc188442642"/>
      <w:bookmarkStart w:id="1749" w:name="_Toc188444016"/>
      <w:bookmarkStart w:id="1750" w:name="_Toc185614181"/>
      <w:bookmarkStart w:id="1751" w:name="_Toc165626465"/>
      <w:bookmarkStart w:id="1752" w:name="_Toc178945134"/>
      <w:bookmarkStart w:id="1753" w:name="_Toc147950306"/>
      <w:bookmarkStart w:id="1754" w:name="_Toc224160707"/>
      <w:bookmarkStart w:id="1755" w:name="_Toc224237770"/>
      <w:r>
        <w:rPr>
          <w:lang w:eastAsia="af-ZA"/>
        </w:rPr>
        <w:t>5.2.6 Performance of Devolved Healthcare Services</w:t>
      </w:r>
      <w:bookmarkEnd w:id="1747"/>
      <w:bookmarkEnd w:id="1748"/>
      <w:bookmarkEnd w:id="1749"/>
      <w:bookmarkEnd w:id="1750"/>
      <w:bookmarkEnd w:id="1751"/>
      <w:bookmarkEnd w:id="1752"/>
      <w:bookmarkEnd w:id="1753"/>
      <w:bookmarkEnd w:id="1754"/>
      <w:bookmarkEnd w:id="1755"/>
    </w:p>
    <w:p w14:paraId="2F1F9571" w14:textId="77777777" w:rsidR="009F33CD" w:rsidRDefault="00E40740">
      <w:pPr>
        <w:spacing w:before="240" w:after="240"/>
        <w:rPr>
          <w:bCs/>
          <w:lang w:eastAsia="af-ZA"/>
        </w:rPr>
      </w:pPr>
      <w:r>
        <w:rPr>
          <w:bCs/>
          <w:lang w:eastAsia="af-ZA"/>
        </w:rPr>
        <w:t xml:space="preserve">Descriptive findings of this variable revealed that the majority of the respondents agreed with the study items regarding the performance of healthcare services.  Specifically, the hospitals had experienced an increase in the number of patients receiving treatment over the past six years; it was also found that the Level Five Hospitals have implemented eco-friendly processes that decreased energy consumption and lowered operational costs; Hospital clients were satisfied with the provision of eco-friendly healthcare services; the hospital encourages use of electronic payment system (for example, M-pesa) for healthcare services because it improves client satisfaction and revenue collection. The results found that the hospital management strongly encourages the use of electronic resources and web materials that are environmentally friendly and that the hospitals’ revenue had consistently increased for the last six years due to their application of green performance initiatives. Further, results revealed that the hospitals have implemented environmentally friendly practices that conserve the environment and boost performance of devolved healthcare services.  </w:t>
      </w:r>
    </w:p>
    <w:p w14:paraId="69B4CDB7" w14:textId="77777777" w:rsidR="009F33CD" w:rsidRDefault="00E40740" w:rsidP="005163BD">
      <w:pPr>
        <w:pStyle w:val="Heading2"/>
        <w:rPr>
          <w:lang w:val="en-GB"/>
        </w:rPr>
      </w:pPr>
      <w:bookmarkStart w:id="1756" w:name="_Toc224237771"/>
      <w:r>
        <w:rPr>
          <w:lang w:val="en-GB"/>
        </w:rPr>
        <w:t xml:space="preserve">5.3 </w:t>
      </w:r>
      <w:r w:rsidRPr="005163BD">
        <w:t>Conclusions</w:t>
      </w:r>
      <w:bookmarkEnd w:id="1756"/>
    </w:p>
    <w:p w14:paraId="5844D220" w14:textId="77777777" w:rsidR="009F33CD" w:rsidRDefault="00E40740">
      <w:pPr>
        <w:rPr>
          <w:rFonts w:cs="Times New Roman"/>
          <w:bCs/>
          <w:szCs w:val="24"/>
        </w:rPr>
      </w:pPr>
      <w:r>
        <w:rPr>
          <w:lang w:eastAsia="af-ZA"/>
        </w:rPr>
        <w:t>It can be concluded from hypothesis (H</w:t>
      </w:r>
      <w:r>
        <w:rPr>
          <w:vertAlign w:val="subscript"/>
          <w:lang w:eastAsia="af-ZA"/>
        </w:rPr>
        <w:t>o1</w:t>
      </w:r>
      <w:r>
        <w:rPr>
          <w:lang w:eastAsia="af-ZA"/>
        </w:rPr>
        <w:t xml:space="preserve">) that </w:t>
      </w:r>
      <w:r>
        <w:rPr>
          <w:bCs/>
        </w:rPr>
        <w:t>green employee resourcing practice had a statistically positive significant effect on the performance of devolved healthcare services in Kenya</w:t>
      </w:r>
      <w:bookmarkStart w:id="1757" w:name="_Hlk183600412"/>
      <w:r>
        <w:rPr>
          <w:bCs/>
        </w:rPr>
        <w:t xml:space="preserve">. </w:t>
      </w:r>
      <w:bookmarkStart w:id="1758" w:name="_Hlk183601315"/>
      <w:r>
        <w:rPr>
          <w:bCs/>
        </w:rPr>
        <w:t>It can also be concluded that GER has a positive and strong linear relationship with the performance of devolved healthcare services.</w:t>
      </w:r>
      <w:r>
        <w:rPr>
          <w:lang w:eastAsia="af-ZA"/>
        </w:rPr>
        <w:t xml:space="preserve"> </w:t>
      </w:r>
      <w:bookmarkEnd w:id="1757"/>
      <w:bookmarkEnd w:id="1758"/>
      <w:r>
        <w:rPr>
          <w:lang w:eastAsia="af-ZA"/>
        </w:rPr>
        <w:t>The application of green</w:t>
      </w:r>
      <w:r>
        <w:rPr>
          <w:bCs/>
        </w:rPr>
        <w:t xml:space="preserve"> recruitment methods guided by public service policy on employee resourcing activities; advertisement for job vacancies on hospitals’ websites; online applications for job openings; conducting online video interviews and applying green selection criteria can reduce operational costs such as printing paper and improve performance </w:t>
      </w:r>
      <w:r>
        <w:rPr>
          <w:bCs/>
        </w:rPr>
        <w:lastRenderedPageBreak/>
        <w:t>of devolved healthcare services</w:t>
      </w:r>
      <w:r>
        <w:rPr>
          <w:bCs/>
          <w:lang w:eastAsia="af-ZA"/>
        </w:rPr>
        <w:t>. Further, the results revealed that including environmental awareness criteria in employee selection and selecting an employee who has contributed towards the green goals of the hospital would positively affect the performance of healthcare services as this will enhance sustainable use of resources.</w:t>
      </w:r>
    </w:p>
    <w:p w14:paraId="633DFE00" w14:textId="77777777" w:rsidR="009F33CD" w:rsidRDefault="00E40740">
      <w:pPr>
        <w:autoSpaceDE/>
        <w:autoSpaceDN/>
        <w:adjustRightInd/>
        <w:spacing w:before="240" w:after="200"/>
        <w:rPr>
          <w:b/>
          <w:bCs/>
        </w:rPr>
      </w:pPr>
      <w:r>
        <w:rPr>
          <w:bCs/>
        </w:rPr>
        <w:t>In evaluating the effect of green training on the performance of devolved healthcare services in Kenya, it can be concluded that green training has a statistically positive significant effect on the performance of devolved healthcare services in Kenya. It can also be concluded that there is a strong positive relationship between green training and the performance of devolved healthcare services. The study confirms that Level Five Hospitals actively integrate green training strategies into their workforce development. The findings reinforce that a needs-based approach to green training ensures relevance and effectiveness. By incorporating web-based training, digital induction processes, and green innovation, hospitals demonstrate a commitment to sustainable healthcare practices. These results highlight the importance of continuous evaluation to ensure employees retain eco-friendly competencies that enhance performance. Ultimately, the findings affirm that structured green training initiatives play a vital role in fostering environmentally responsible and high-performing hospital staff.</w:t>
      </w:r>
    </w:p>
    <w:p w14:paraId="5C4620D0" w14:textId="77777777" w:rsidR="009F33CD" w:rsidRDefault="00E40740">
      <w:pPr>
        <w:spacing w:before="240" w:after="240"/>
        <w:rPr>
          <w:bCs/>
        </w:rPr>
      </w:pPr>
      <w:bookmarkStart w:id="1759" w:name="_Hlk174026610"/>
      <w:r>
        <w:t xml:space="preserve">The study indicates a strong positive relationship between green occupational safety and health practices and the </w:t>
      </w:r>
      <w:r>
        <w:rPr>
          <w:bCs/>
        </w:rPr>
        <w:t>performance of devolved healthcare services, underscoring the importance of integrating environmental considerations into occupational safety and health management.</w:t>
      </w:r>
      <w:r>
        <w:rPr>
          <w:rFonts w:cs="Times New Roman"/>
          <w:bCs/>
          <w:szCs w:val="24"/>
        </w:rPr>
        <w:t xml:space="preserve"> </w:t>
      </w:r>
      <w:r>
        <w:rPr>
          <w:bCs/>
        </w:rPr>
        <w:t>Descriptive findings revealed that the majority of the respondents agreed with all items regarding green occupational safety and health greatly.</w:t>
      </w:r>
      <w:r>
        <w:t xml:space="preserve"> </w:t>
      </w:r>
      <w:r>
        <w:rPr>
          <w:bCs/>
        </w:rPr>
        <w:t xml:space="preserve">The study concluded GOSH had a statistically positive significant effect on the performance of devolved healthcare services. Hospitals that continuously implement GOSH management practices, such as reducing accidents and injuries, creating paperless and clean work environments, applying eco-friendly healthcare waste disposal methods, and using eco-friendly safety gadgets, experience notable improvements in employee performance. Regular safety and health audits further ensure that these practices are effectively maintained and continually improved. Linear </w:t>
      </w:r>
      <w:r>
        <w:rPr>
          <w:bCs/>
        </w:rPr>
        <w:lastRenderedPageBreak/>
        <w:t>regression test results showed a statistically strong positive influence on the performance of devolved healthcare services.</w:t>
      </w:r>
    </w:p>
    <w:bookmarkEnd w:id="1759"/>
    <w:p w14:paraId="0965AB1A" w14:textId="77777777" w:rsidR="009F33CD" w:rsidRDefault="00E40740">
      <w:pPr>
        <w:spacing w:after="240"/>
        <w:rPr>
          <w:bCs/>
          <w:lang w:eastAsia="af-ZA"/>
        </w:rPr>
      </w:pPr>
      <w:r>
        <w:rPr>
          <w:rFonts w:cs="Times New Roman"/>
          <w:bCs/>
          <w:szCs w:val="24"/>
        </w:rPr>
        <w:t>From descriptive statistical findings, it can be concluded that the majority of respondents agreed with all the statements about green performance evaluation variable. It be concluded that GPE has a positive strong linear relationship with the performance of devolved healthcare services. From regression analysis and hypothesis testing, it was concluded that GPE has significant effect on performance and, therefore, the null hypothesis was rejected and the alternative hypothesis which states that green performance evaluation has a statistically significant effect on the performance of devolved healthcare services in Kenya was accepted.</w:t>
      </w:r>
      <w:r>
        <w:rPr>
          <w:lang w:eastAsia="af-ZA"/>
        </w:rPr>
        <w:t xml:space="preserve"> </w:t>
      </w:r>
      <w:r>
        <w:rPr>
          <w:bCs/>
          <w:lang w:eastAsia="af-ZA"/>
        </w:rPr>
        <w:t xml:space="preserve">The study concluded that the hospitals have put in place clear objectives for each employee regarding environmental issues, ensuring that those who actively participate in environmental management initiatives are duly recognized. This recognition not only encourages employees to engage in green practices but also boosts their overall performance. The incorporation of green performance appraisal targets serves as a motivational tool, driving employees to achieve higher levels of efficiency and effectiveness in their roles. Moreover, the performance appraisal tools used are designed to include measurable elements that assess both employee performance and environmental protection. The use of an electronic evaluation tool further streamlines the appraisal process, making it more efficient and complete. </w:t>
      </w:r>
    </w:p>
    <w:p w14:paraId="1C61A843" w14:textId="77777777" w:rsidR="000B6FB9" w:rsidRDefault="00E40740">
      <w:pPr>
        <w:spacing w:before="240" w:after="240"/>
        <w:rPr>
          <w:bCs/>
          <w:lang w:val="en-US" w:eastAsia="af-ZA"/>
        </w:rPr>
      </w:pPr>
      <w:r>
        <w:rPr>
          <w:bCs/>
          <w:lang w:eastAsia="af-ZA"/>
        </w:rPr>
        <w:t xml:space="preserve">The moderating effect of management style on the relationship between GHRM practices and performance of devolved healthcare services, results revealed a statistically significant positive relationship. The joint effect of the independent variables together with the moderator showed multiple regression result higher than that without the moderating variable. The results also revealed that there is a statistically significant change in adjusted R square when a moderator is introduced. </w:t>
      </w:r>
      <w:r>
        <w:rPr>
          <w:bCs/>
          <w:lang w:val="en-US" w:eastAsia="af-ZA"/>
        </w:rPr>
        <w:t xml:space="preserve">Bureaucratic management style had the strongest moderating effect on the relationship between green human resource management practices and performance of devolved healthcare services in Kenya. This is evidenced by the significant increase in R² and the meaningful influence of the Bureaucratic style on several predictors (especially green training and green performance evaluation) in the regression model. </w:t>
      </w:r>
    </w:p>
    <w:p w14:paraId="6980E56F" w14:textId="77777777" w:rsidR="009F33CD" w:rsidRDefault="00E40740">
      <w:pPr>
        <w:spacing w:before="240" w:after="240"/>
        <w:rPr>
          <w:bCs/>
          <w:lang w:eastAsia="af-ZA"/>
        </w:rPr>
      </w:pPr>
      <w:r>
        <w:rPr>
          <w:bCs/>
          <w:lang w:val="en-US" w:eastAsia="af-ZA"/>
        </w:rPr>
        <w:lastRenderedPageBreak/>
        <w:t xml:space="preserve">While participative management style also demonstrates some moderating influence, its effect is relatively weaker, while contingency management style, although statistically significant in model fit, does not appear to strongly moderate the relationship, especially when considering the lack of significance for the GHRM-Contingency variable. Thus, bureaucratic management style is the most influential in moderating the effect of green human resource management practices on performance of devolved healthcare services in Kenya. </w:t>
      </w:r>
      <w:r>
        <w:rPr>
          <w:bCs/>
          <w:lang w:eastAsia="af-ZA"/>
        </w:rPr>
        <w:t xml:space="preserve">The study found that employee workload was adequate to enhance performance; the hospital management relies on set rules, policies and procedures to enhance performance of devolved healthcare services; that the management supports green initiatives because it enhances performance of healthcare services and the hospital uses a participative management style to in order to involve staff in decision-making. Bureaucratic management is embraced to improve environmental protection and worker-performance, and that there is an adequate supervision mechanism in place for the successful execution of the performance management cycle in the hospital. Further, it was concluded that management style significantly moderated the relationship between green human resource management practices (independent variables) and the performance of devolved healthcare services in Kenya (dependent variable). </w:t>
      </w:r>
    </w:p>
    <w:p w14:paraId="10EEBE06" w14:textId="77777777" w:rsidR="009F33CD" w:rsidRDefault="00E40740">
      <w:pPr>
        <w:pStyle w:val="Heading2"/>
        <w:rPr>
          <w:lang w:val="en-GB"/>
        </w:rPr>
      </w:pPr>
      <w:bookmarkStart w:id="1760" w:name="_Toc224237772"/>
      <w:r>
        <w:rPr>
          <w:lang w:val="en-GB"/>
        </w:rPr>
        <w:t>5.4 Recommendations of the Study</w:t>
      </w:r>
      <w:bookmarkEnd w:id="1760"/>
    </w:p>
    <w:p w14:paraId="31FCB8D5" w14:textId="77777777" w:rsidR="009F33CD" w:rsidRDefault="00E40740">
      <w:bookmarkStart w:id="1761" w:name="_Toc185614189"/>
      <w:bookmarkStart w:id="1762" w:name="_Toc187080961"/>
      <w:bookmarkStart w:id="1763" w:name="_Toc178945142"/>
      <w:r>
        <w:t xml:space="preserve">The following </w:t>
      </w:r>
      <w:r>
        <w:rPr>
          <w:lang w:val="af-ZA"/>
        </w:rPr>
        <w:t>recommendations are proposed to boost the performance of devolved healthcare services at Level Five Hospitals through green human resource mangement practices.</w:t>
      </w:r>
      <w:r>
        <w:t xml:space="preserve"> The study findings that could be important to Level Five hospital managers, employees, County health department and ministry of health at the national government, scholars and development partners as explained in the sections that follow. </w:t>
      </w:r>
    </w:p>
    <w:p w14:paraId="474B9640" w14:textId="77777777" w:rsidR="009F33CD" w:rsidRDefault="00E40740">
      <w:pPr>
        <w:pStyle w:val="Heading3"/>
      </w:pPr>
      <w:bookmarkStart w:id="1764" w:name="_Toc188442651"/>
      <w:bookmarkStart w:id="1765" w:name="_Toc188444025"/>
      <w:bookmarkStart w:id="1766" w:name="_Toc224160710"/>
      <w:bookmarkStart w:id="1767" w:name="_Toc224237773"/>
      <w:r>
        <w:t xml:space="preserve">5.4.1 </w:t>
      </w:r>
      <w:bookmarkStart w:id="1768" w:name="_Hlk187685880"/>
      <w:bookmarkStart w:id="1769" w:name="_Hlk174355693"/>
      <w:bookmarkEnd w:id="1761"/>
      <w:bookmarkEnd w:id="1762"/>
      <w:bookmarkEnd w:id="1763"/>
      <w:r>
        <w:rPr>
          <w:lang w:eastAsia="af-ZA"/>
        </w:rPr>
        <w:t>Managers and Administrators of Devolved Healthcare Services</w:t>
      </w:r>
      <w:bookmarkEnd w:id="1764"/>
      <w:bookmarkEnd w:id="1765"/>
      <w:bookmarkEnd w:id="1766"/>
      <w:bookmarkEnd w:id="1767"/>
      <w:r>
        <w:rPr>
          <w:lang w:eastAsia="af-ZA"/>
        </w:rPr>
        <w:t xml:space="preserve"> </w:t>
      </w:r>
    </w:p>
    <w:p w14:paraId="39CFEB0B" w14:textId="77777777" w:rsidR="009F33CD" w:rsidRDefault="00E40740">
      <w:pPr>
        <w:tabs>
          <w:tab w:val="left" w:pos="720"/>
        </w:tabs>
        <w:spacing w:before="240"/>
        <w:rPr>
          <w:bCs/>
          <w:lang w:eastAsia="af-ZA"/>
        </w:rPr>
      </w:pPr>
      <w:r>
        <w:rPr>
          <w:bCs/>
          <w:lang w:eastAsia="af-ZA"/>
        </w:rPr>
        <w:t xml:space="preserve">The study recommends that </w:t>
      </w:r>
      <w:r>
        <w:rPr>
          <w:bCs/>
          <w:lang w:val="af-ZA" w:eastAsia="af-ZA"/>
        </w:rPr>
        <w:t xml:space="preserve">senior managers </w:t>
      </w:r>
      <w:r w:rsidR="00A358EA">
        <w:rPr>
          <w:bCs/>
          <w:lang w:val="af-ZA" w:eastAsia="af-ZA"/>
        </w:rPr>
        <w:t>of t</w:t>
      </w:r>
      <w:r w:rsidR="00A358EA" w:rsidRPr="00A358EA">
        <w:rPr>
          <w:bCs/>
          <w:lang w:val="af-ZA" w:eastAsia="af-ZA"/>
        </w:rPr>
        <w:t>he Level Five hospital should develop strong policy on green initiatives and fully embrace e-learning and digital training in continuous medical education</w:t>
      </w:r>
      <w:r w:rsidR="00A358EA">
        <w:rPr>
          <w:bCs/>
          <w:lang w:val="af-ZA" w:eastAsia="af-ZA"/>
        </w:rPr>
        <w:t xml:space="preserve">. They </w:t>
      </w:r>
      <w:r>
        <w:rPr>
          <w:bCs/>
          <w:lang w:val="af-ZA" w:eastAsia="af-ZA"/>
        </w:rPr>
        <w:t xml:space="preserve">should </w:t>
      </w:r>
      <w:r>
        <w:rPr>
          <w:bCs/>
          <w:lang w:eastAsia="af-ZA"/>
        </w:rPr>
        <w:t xml:space="preserve">continuously conduct comprehensive green training needs assessments to ensure that training programs are aligned with the </w:t>
      </w:r>
      <w:r>
        <w:rPr>
          <w:bCs/>
          <w:lang w:eastAsia="af-ZA"/>
        </w:rPr>
        <w:lastRenderedPageBreak/>
        <w:t>specific eco-friendly skills, knowledge, and attitudes required by employees.</w:t>
      </w:r>
      <w:bookmarkStart w:id="1770" w:name="_Hlk188433131"/>
      <w:r w:rsidR="00A358EA">
        <w:rPr>
          <w:bCs/>
          <w:lang w:eastAsia="af-ZA"/>
        </w:rPr>
        <w:t xml:space="preserve"> </w:t>
      </w:r>
      <w:r>
        <w:rPr>
          <w:bCs/>
          <w:lang w:eastAsia="af-ZA"/>
        </w:rPr>
        <w:t>The hospitals' human resource managers should encourage the adoption and expansion of online and web-based training modules, which not only save resources but also allow for flexible learning schedules. The human resource managers of these hospitals should foster a culture of green innovation among clinicians and other healthcare employees. Further, they should create digital platforms for sharing ideas and best healthcare practices with those practices related to environmental sustainability, and recognize and reward innovative contributions</w:t>
      </w:r>
      <w:bookmarkEnd w:id="1770"/>
      <w:r>
        <w:rPr>
          <w:bCs/>
          <w:lang w:eastAsia="af-ZA"/>
        </w:rPr>
        <w:t>. The human resource managers should ensure that all new employees receive thorough induction on the hospital’s green policies and practices through online modules and electronic resources. This will help inculcate a strong employee performance and environmental ethic from the outset.</w:t>
      </w:r>
      <w:r w:rsidR="00A358EA">
        <w:rPr>
          <w:bCs/>
          <w:lang w:eastAsia="af-ZA"/>
        </w:rPr>
        <w:t xml:space="preserve"> </w:t>
      </w:r>
      <w:r>
        <w:rPr>
          <w:bCs/>
          <w:lang w:eastAsia="af-ZA"/>
        </w:rPr>
        <w:t xml:space="preserve">Develop robust health information systems for electronic health information sharing and performance standards, while keeping clean and safe work environments. This will facilitate continuous learning for performance and adherence to green practices. Human resource managers should implement regular evaluations of green training programs to assess their effectiveness in imparting eco-friendly skills knowledge, and attitudes to employees to excel in their roles. Use feedback from employees to refine and improve training initiatives. </w:t>
      </w:r>
      <w:r w:rsidR="008B4817" w:rsidRPr="00A358EA">
        <w:rPr>
          <w:bCs/>
          <w:lang w:eastAsia="af-ZA"/>
        </w:rPr>
        <w:t>Level Five hospitals should involve staff and train talent for championing environmental issues and reward that talent</w:t>
      </w:r>
      <w:r w:rsidR="008B4817">
        <w:rPr>
          <w:bCs/>
          <w:lang w:eastAsia="af-ZA"/>
        </w:rPr>
        <w:t>.</w:t>
      </w:r>
    </w:p>
    <w:p w14:paraId="7878DE02" w14:textId="77777777" w:rsidR="009F33CD" w:rsidRDefault="00E40740">
      <w:pPr>
        <w:tabs>
          <w:tab w:val="left" w:pos="720"/>
        </w:tabs>
        <w:spacing w:before="240"/>
        <w:rPr>
          <w:bCs/>
          <w:lang w:eastAsia="af-ZA"/>
        </w:rPr>
      </w:pPr>
      <w:r>
        <w:rPr>
          <w:bCs/>
          <w:lang w:eastAsia="af-ZA"/>
        </w:rPr>
        <w:t xml:space="preserve">Hospital HR managers and administrators should consistently </w:t>
      </w:r>
      <w:bookmarkStart w:id="1771" w:name="_Hlk188432798"/>
      <w:r>
        <w:rPr>
          <w:bCs/>
          <w:lang w:eastAsia="af-ZA"/>
        </w:rPr>
        <w:t>implement robust occupational safety and health management practices aimed at reducing accidents and injuries. This not only ensures a safer work environment but also boosts employee productivity and morale.</w:t>
      </w:r>
      <w:r>
        <w:rPr>
          <w:bCs/>
          <w:lang w:val="af-ZA" w:eastAsia="af-ZA"/>
        </w:rPr>
        <w:t xml:space="preserve"> Healthcare administrators and hospital managers should encourage</w:t>
      </w:r>
      <w:r>
        <w:rPr>
          <w:bCs/>
          <w:lang w:eastAsia="af-ZA"/>
        </w:rPr>
        <w:t xml:space="preserve"> the adoption of paperless offices to foster a clean and organized work environment. This practice not only reduces waste but also enhances efficiency and contributes to environmental sustainability</w:t>
      </w:r>
      <w:bookmarkEnd w:id="1771"/>
      <w:r>
        <w:rPr>
          <w:bCs/>
          <w:lang w:eastAsia="af-ZA"/>
        </w:rPr>
        <w:t>. The Occupational Safety and Health Committee or infection prevention and control committee should implement regular safety and health audits to identify potential hazards and areas for improvement. These audits are essential for maintaining high standards of safety and health within the hospital environment.</w:t>
      </w:r>
      <w:r>
        <w:rPr>
          <w:bCs/>
          <w:lang w:val="af-ZA" w:eastAsia="af-ZA"/>
        </w:rPr>
        <w:t xml:space="preserve"> The county health administrators and hospital managers should </w:t>
      </w:r>
      <w:r>
        <w:rPr>
          <w:bCs/>
          <w:lang w:eastAsia="af-ZA"/>
        </w:rPr>
        <w:t xml:space="preserve">integrate green spaces and plants within hospital premises to improve indoor air quality for employees and create a more healing environment. The presence of green </w:t>
      </w:r>
      <w:r>
        <w:rPr>
          <w:bCs/>
          <w:lang w:eastAsia="af-ZA"/>
        </w:rPr>
        <w:lastRenderedPageBreak/>
        <w:t>workspaces can accelerate patient recovery and energize clinical staff, leading to increased productivity.</w:t>
      </w:r>
      <w:r>
        <w:rPr>
          <w:bCs/>
          <w:lang w:val="af-ZA" w:eastAsia="af-ZA"/>
        </w:rPr>
        <w:t xml:space="preserve"> </w:t>
      </w:r>
      <w:r>
        <w:rPr>
          <w:bCs/>
          <w:lang w:eastAsia="af-ZA"/>
        </w:rPr>
        <w:t>By adopting these recommendations, healthcare institutions can create a safer, more efficient, and environmentally-conscious workplace, ultimately leading to improved performance of devolved healthcare services.</w:t>
      </w:r>
    </w:p>
    <w:p w14:paraId="4FE9EAD6" w14:textId="77777777" w:rsidR="009F33CD" w:rsidRDefault="00E40740">
      <w:pPr>
        <w:tabs>
          <w:tab w:val="left" w:pos="720"/>
        </w:tabs>
        <w:spacing w:before="240"/>
        <w:rPr>
          <w:bCs/>
          <w:lang w:val="af-ZA" w:eastAsia="af-ZA"/>
        </w:rPr>
      </w:pPr>
      <w:r>
        <w:rPr>
          <w:bCs/>
          <w:lang w:val="af-ZA" w:eastAsia="af-ZA"/>
        </w:rPr>
        <w:t xml:space="preserve">Hospital managers with the help of </w:t>
      </w:r>
      <w:bookmarkStart w:id="1772" w:name="_Hlk188431516"/>
      <w:r>
        <w:rPr>
          <w:bCs/>
          <w:lang w:val="af-ZA" w:eastAsia="af-ZA"/>
        </w:rPr>
        <w:t>HR managers should</w:t>
      </w:r>
      <w:r w:rsidR="00903198">
        <w:rPr>
          <w:bCs/>
          <w:lang w:eastAsia="af-ZA"/>
        </w:rPr>
        <w:t xml:space="preserve"> include</w:t>
      </w:r>
      <w:r>
        <w:rPr>
          <w:bCs/>
          <w:lang w:eastAsia="af-ZA"/>
        </w:rPr>
        <w:t xml:space="preserve"> </w:t>
      </w:r>
      <w:r w:rsidR="00903198" w:rsidRPr="009737FA">
        <w:rPr>
          <w:bCs/>
          <w:lang w:eastAsia="af-ZA"/>
        </w:rPr>
        <w:t>individual measurable green objectives and targets in performance appraisal system.</w:t>
      </w:r>
      <w:r w:rsidR="00903198">
        <w:rPr>
          <w:bCs/>
          <w:lang w:eastAsia="af-ZA"/>
        </w:rPr>
        <w:t xml:space="preserve"> </w:t>
      </w:r>
      <w:r>
        <w:rPr>
          <w:bCs/>
          <w:lang w:eastAsia="af-ZA"/>
        </w:rPr>
        <w:t>Ensure these objectives are regularly reviewed, updated, and aligned with the hospital's performance and sustainability goals. Human resource managers should develop and integrate green performance appraisal targets that specifically encourage employees to improve both their job performance and their environmental practices</w:t>
      </w:r>
      <w:bookmarkEnd w:id="1772"/>
      <w:r>
        <w:rPr>
          <w:bCs/>
          <w:lang w:eastAsia="af-ZA"/>
        </w:rPr>
        <w:t>. These metrics should be clear, measurable, and directly linked to the hospital's overall sustainability strategy.</w:t>
      </w:r>
      <w:r>
        <w:rPr>
          <w:bCs/>
          <w:lang w:val="af-ZA" w:eastAsia="af-ZA"/>
        </w:rPr>
        <w:t xml:space="preserve"> </w:t>
      </w:r>
      <w:r>
        <w:rPr>
          <w:bCs/>
          <w:lang w:eastAsia="af-ZA"/>
        </w:rPr>
        <w:t>Ensure that the performance appraisal tools used have measurable elements that assess both employee performance and environmental protection. This dual focus will help maintain a balance between operational efficiency and sustainability. Line managers with the help of human resource managers should continue using electronic-evaluation tools for appraising employee performance. These tools not only streamline the evaluation process but also reduce paper usage, contributing to the hospital's green initiatives.</w:t>
      </w:r>
      <w:r>
        <w:rPr>
          <w:bCs/>
          <w:lang w:val="af-ZA" w:eastAsia="af-ZA"/>
        </w:rPr>
        <w:t xml:space="preserve"> </w:t>
      </w:r>
    </w:p>
    <w:p w14:paraId="5BE2F42C" w14:textId="77777777" w:rsidR="009F33CD" w:rsidRDefault="00E40740">
      <w:pPr>
        <w:tabs>
          <w:tab w:val="left" w:pos="720"/>
        </w:tabs>
        <w:spacing w:before="240"/>
        <w:rPr>
          <w:bCs/>
          <w:lang w:eastAsia="af-ZA"/>
        </w:rPr>
      </w:pPr>
      <w:r>
        <w:rPr>
          <w:bCs/>
          <w:lang w:val="af-ZA" w:eastAsia="af-ZA"/>
        </w:rPr>
        <w:t>Hospitals’ Chief executive officers through Human resource managers should foster</w:t>
      </w:r>
      <w:r>
        <w:rPr>
          <w:bCs/>
          <w:lang w:eastAsia="af-ZA"/>
        </w:rPr>
        <w:t xml:space="preserve"> a culture of continuous improvement by regularly evaluating the effectiveness of GPE practices. HR managers should gather feedback from employees and make necessary adjustments to enhance the appraisal system and achieve better sustainability outcomes and performance of devolved healthcare services.</w:t>
      </w:r>
      <w:r>
        <w:rPr>
          <w:lang w:val="af-ZA" w:eastAsia="af-ZA"/>
        </w:rPr>
        <w:t xml:space="preserve"> </w:t>
      </w:r>
      <w:r>
        <w:rPr>
          <w:bCs/>
          <w:lang w:val="af-ZA" w:eastAsia="af-ZA"/>
        </w:rPr>
        <w:t xml:space="preserve">Chief executive officers should emphasize on the importance of management styles in performance of devolved healthcare servis. The line managers should be encouraged to apply </w:t>
      </w:r>
      <w:r>
        <w:rPr>
          <w:bCs/>
          <w:lang w:eastAsia="af-ZA"/>
        </w:rPr>
        <w:t>bureaucratic management practices strategically to improve environmental protection and worker performance. This includes implementing structured processes and clear hierarchies to ensure accountability and compliance with environmental standards.</w:t>
      </w:r>
      <w:r>
        <w:rPr>
          <w:bCs/>
          <w:lang w:val="af-ZA" w:eastAsia="af-ZA"/>
        </w:rPr>
        <w:t xml:space="preserve"> </w:t>
      </w:r>
      <w:r>
        <w:rPr>
          <w:bCs/>
          <w:lang w:eastAsia="af-ZA"/>
        </w:rPr>
        <w:t xml:space="preserve">Strengthen supervision mechanisms to ensure the successful execution of the performance management cycle. The </w:t>
      </w:r>
      <w:r>
        <w:rPr>
          <w:bCs/>
          <w:lang w:val="af-ZA" w:eastAsia="af-ZA"/>
        </w:rPr>
        <w:t>managers should apply</w:t>
      </w:r>
      <w:r>
        <w:rPr>
          <w:bCs/>
          <w:lang w:eastAsia="af-ZA"/>
        </w:rPr>
        <w:t xml:space="preserve"> a participative management style to involve staff in decision-making processes. This approach fosters a sense of ownership </w:t>
      </w:r>
      <w:r>
        <w:rPr>
          <w:bCs/>
          <w:lang w:eastAsia="af-ZA"/>
        </w:rPr>
        <w:lastRenderedPageBreak/>
        <w:t>and engagement among employees, leading to improved performance and innovative solutions.</w:t>
      </w:r>
    </w:p>
    <w:p w14:paraId="2CBE336C" w14:textId="77777777" w:rsidR="009F33CD" w:rsidRDefault="00E40740">
      <w:pPr>
        <w:pStyle w:val="Heading3"/>
        <w:rPr>
          <w:lang w:eastAsia="af-ZA"/>
        </w:rPr>
      </w:pPr>
      <w:bookmarkStart w:id="1773" w:name="_Toc188444026"/>
      <w:bookmarkStart w:id="1774" w:name="_Toc188442652"/>
      <w:bookmarkStart w:id="1775" w:name="_Toc224160711"/>
      <w:bookmarkStart w:id="1776" w:name="_Toc224237774"/>
      <w:r>
        <w:rPr>
          <w:lang w:eastAsia="af-ZA"/>
        </w:rPr>
        <w:t>5.4.2 Employees</w:t>
      </w:r>
      <w:bookmarkEnd w:id="1773"/>
      <w:bookmarkEnd w:id="1774"/>
      <w:r w:rsidR="002364D1">
        <w:rPr>
          <w:lang w:eastAsia="af-ZA"/>
        </w:rPr>
        <w:t xml:space="preserve"> of Devolved healthcare Services</w:t>
      </w:r>
      <w:bookmarkEnd w:id="1775"/>
      <w:bookmarkEnd w:id="1776"/>
    </w:p>
    <w:p w14:paraId="17C77E3E" w14:textId="77777777" w:rsidR="008B4817" w:rsidRDefault="00E40740">
      <w:pPr>
        <w:tabs>
          <w:tab w:val="left" w:pos="720"/>
        </w:tabs>
        <w:spacing w:before="240"/>
        <w:rPr>
          <w:lang w:eastAsia="af-ZA"/>
        </w:rPr>
      </w:pPr>
      <w:r>
        <w:rPr>
          <w:lang w:eastAsia="af-ZA"/>
        </w:rPr>
        <w:t>The research findings recommends that employees of devolved healthcare services should embrace and integrate their human activities with the environmental concerns that affect their performance at work. It is recommended that employees should adopt green employee resourcing practices including job search from hospital website, embracing online applications, and learning on how to be interviewed through online video</w:t>
      </w:r>
      <w:r>
        <w:rPr>
          <w:bCs/>
          <w:lang w:eastAsia="af-ZA"/>
        </w:rPr>
        <w:t xml:space="preserve">. The Level Five hospitals' employees should adopt and embrace online and web-based training modules, which not only save resources for the hospital but also allow for flexible learning schedules. The employees should develop a culture of green innovation amongst themselves and utilize digital platforms for sharing information and knowledge on current and emerging healthcare issues with those related to environmental conservation and protection. </w:t>
      </w:r>
      <w:r w:rsidR="008B4817" w:rsidRPr="008B4817">
        <w:rPr>
          <w:bCs/>
          <w:lang w:eastAsia="af-ZA"/>
        </w:rPr>
        <w:t>There is a need to design office and consultation spaces in accordance with eco-friendly building regulations to enhance employee’s safety and health</w:t>
      </w:r>
      <w:r w:rsidR="008B4817">
        <w:rPr>
          <w:bCs/>
          <w:lang w:eastAsia="af-ZA"/>
        </w:rPr>
        <w:t>.</w:t>
      </w:r>
    </w:p>
    <w:p w14:paraId="5B42D95A" w14:textId="77777777" w:rsidR="009F33CD" w:rsidRDefault="00E40740">
      <w:pPr>
        <w:tabs>
          <w:tab w:val="left" w:pos="720"/>
        </w:tabs>
        <w:spacing w:before="240"/>
        <w:rPr>
          <w:lang w:eastAsia="af-ZA"/>
        </w:rPr>
      </w:pPr>
      <w:r>
        <w:rPr>
          <w:bCs/>
          <w:lang w:eastAsia="af-ZA"/>
        </w:rPr>
        <w:t>Employees should support the management in implementing robust green occupational safety and health management practices aimed at reducing accidents and injuries. This not only ensures a safer work environment but also boosts employee productivity and morale.</w:t>
      </w:r>
      <w:r>
        <w:rPr>
          <w:bCs/>
          <w:lang w:val="af-ZA" w:eastAsia="af-ZA"/>
        </w:rPr>
        <w:t xml:space="preserve"> Employees should embrace </w:t>
      </w:r>
      <w:r>
        <w:rPr>
          <w:bCs/>
          <w:lang w:eastAsia="af-ZA"/>
        </w:rPr>
        <w:t>the adoption of paperless offices to foster a clean and organized work environment. This practice not only reduces waste but also enhances efficiency and contributes to environmental sustainability. Employees who are provided with eco-friendly safety gadgets should use them prudently to ensure their protection and promote sustainability. The h</w:t>
      </w:r>
      <w:r>
        <w:rPr>
          <w:lang w:eastAsia="af-ZA"/>
        </w:rPr>
        <w:t xml:space="preserve">ospital employees should also apply eco-friendly healthcare waste disposal methods, such as waste minimization, segregation, and recycling. These practices help in managing waste effectively thereby reducing environmental impact and boosting employee motivation.  </w:t>
      </w:r>
    </w:p>
    <w:p w14:paraId="2E9940D1" w14:textId="77777777" w:rsidR="007C3FC0" w:rsidRDefault="007C3FC0">
      <w:pPr>
        <w:tabs>
          <w:tab w:val="left" w:pos="720"/>
        </w:tabs>
        <w:spacing w:before="240"/>
        <w:rPr>
          <w:lang w:eastAsia="af-ZA"/>
        </w:rPr>
      </w:pPr>
    </w:p>
    <w:p w14:paraId="485853B6" w14:textId="77777777" w:rsidR="009F33CD" w:rsidRDefault="00E40740">
      <w:pPr>
        <w:tabs>
          <w:tab w:val="left" w:pos="720"/>
        </w:tabs>
        <w:spacing w:before="240"/>
        <w:rPr>
          <w:lang w:eastAsia="af-ZA"/>
        </w:rPr>
      </w:pPr>
      <w:r>
        <w:rPr>
          <w:lang w:eastAsia="af-ZA"/>
        </w:rPr>
        <w:lastRenderedPageBreak/>
        <w:t xml:space="preserve">Each employee of Level Five Hospitals should </w:t>
      </w:r>
      <w:r>
        <w:rPr>
          <w:bCs/>
          <w:lang w:eastAsia="af-ZA"/>
        </w:rPr>
        <w:t>continuously aim to achieve performance targets and environmental objectives. They can raise their voice regarding regular review of their objectives, update, and alignment with the hospital's performance and sustainability goals. Employees should feel specifically encouraged to improve both their job performance and their environmental practices.</w:t>
      </w:r>
      <w:r>
        <w:rPr>
          <w:lang w:eastAsia="af-ZA"/>
        </w:rPr>
        <w:t xml:space="preserve"> The green behaviours of devolved healthcare employees will </w:t>
      </w:r>
      <w:r w:rsidR="008444FB">
        <w:rPr>
          <w:lang w:eastAsia="af-ZA"/>
        </w:rPr>
        <w:t>spill over</w:t>
      </w:r>
      <w:r>
        <w:rPr>
          <w:lang w:eastAsia="af-ZA"/>
        </w:rPr>
        <w:t xml:space="preserve"> to their homes as they transfer pro-environmental values and demonstrate them through their contribution and involvement in environmental conservation and protection processes at home and community.</w:t>
      </w:r>
      <w:r>
        <w:rPr>
          <w:bCs/>
          <w:lang w:eastAsia="af-ZA"/>
        </w:rPr>
        <w:t xml:space="preserve"> </w:t>
      </w:r>
    </w:p>
    <w:p w14:paraId="7F905963" w14:textId="77777777" w:rsidR="009F33CD" w:rsidRDefault="00E40740">
      <w:pPr>
        <w:pStyle w:val="Heading3"/>
        <w:rPr>
          <w:lang w:eastAsia="af-ZA"/>
        </w:rPr>
      </w:pPr>
      <w:bookmarkStart w:id="1777" w:name="_Toc188442653"/>
      <w:bookmarkStart w:id="1778" w:name="_Toc188444027"/>
      <w:bookmarkStart w:id="1779" w:name="_Toc224160712"/>
      <w:bookmarkStart w:id="1780" w:name="_Toc224237775"/>
      <w:r>
        <w:rPr>
          <w:lang w:eastAsia="af-ZA"/>
        </w:rPr>
        <w:t>5.4.3 County Government</w:t>
      </w:r>
      <w:bookmarkEnd w:id="1777"/>
      <w:bookmarkEnd w:id="1778"/>
      <w:r w:rsidR="002364D1">
        <w:rPr>
          <w:lang w:eastAsia="af-ZA"/>
        </w:rPr>
        <w:t>- Department of Health</w:t>
      </w:r>
      <w:bookmarkEnd w:id="1779"/>
      <w:bookmarkEnd w:id="1780"/>
    </w:p>
    <w:p w14:paraId="5FC216DC" w14:textId="77777777" w:rsidR="009F33CD" w:rsidRDefault="00E40740">
      <w:pPr>
        <w:tabs>
          <w:tab w:val="left" w:pos="720"/>
        </w:tabs>
        <w:spacing w:before="240"/>
        <w:rPr>
          <w:lang w:eastAsia="af-ZA"/>
        </w:rPr>
      </w:pPr>
      <w:r>
        <w:rPr>
          <w:lang w:val="af-ZA" w:eastAsia="af-ZA"/>
        </w:rPr>
        <w:t xml:space="preserve">The County Public Service Board and county health departments </w:t>
      </w:r>
      <w:r>
        <w:rPr>
          <w:lang w:eastAsia="af-ZA"/>
        </w:rPr>
        <w:t xml:space="preserve">should vigorously implement green employee resourcing practices including advertising job openings on hospital websites, embracing online applications, conducting online video interviews, and applying green selection criteria. Green awareness criteria should be integrated into employee resourcing activities, ensuring that all staff understand and are committed to the hospital's environmental goals. The County Department of Health with the assistance of hospital HR managers should establish strong and recognizable Green Human Resource Management (GHRM) policies and practices. These policies should focus on attracting, motivating, and retaining green employees who can perform and are aligned with the hospital's sustainability objectives. </w:t>
      </w:r>
    </w:p>
    <w:p w14:paraId="33F3E557" w14:textId="77777777" w:rsidR="009F33CD" w:rsidRDefault="00E40740">
      <w:pPr>
        <w:tabs>
          <w:tab w:val="left" w:pos="720"/>
        </w:tabs>
        <w:spacing w:before="240"/>
        <w:rPr>
          <w:lang w:eastAsia="af-ZA"/>
        </w:rPr>
      </w:pPr>
      <w:r>
        <w:rPr>
          <w:bCs/>
          <w:lang w:val="af-ZA" w:eastAsia="af-ZA"/>
        </w:rPr>
        <w:t xml:space="preserve">The County Department of health and hospital management should </w:t>
      </w:r>
      <w:bookmarkStart w:id="1781" w:name="_Hlk188434586"/>
      <w:r>
        <w:rPr>
          <w:bCs/>
          <w:lang w:val="af-ZA" w:eastAsia="af-ZA"/>
        </w:rPr>
        <w:t>provide</w:t>
      </w:r>
      <w:r>
        <w:rPr>
          <w:bCs/>
          <w:lang w:eastAsia="af-ZA"/>
        </w:rPr>
        <w:t xml:space="preserve"> employees with eco-friendly safety gadgets to ensure their protection while also improving operational efficiency and promoting sustainability</w:t>
      </w:r>
      <w:bookmarkEnd w:id="1781"/>
      <w:r>
        <w:rPr>
          <w:bCs/>
          <w:lang w:eastAsia="af-ZA"/>
        </w:rPr>
        <w:t>.</w:t>
      </w:r>
      <w:r>
        <w:rPr>
          <w:lang w:eastAsia="af-ZA"/>
        </w:rPr>
        <w:t xml:space="preserve"> </w:t>
      </w:r>
      <w:r w:rsidR="00B30EA4" w:rsidRPr="007B3701">
        <w:rPr>
          <w:bCs/>
          <w:lang w:eastAsia="af-ZA"/>
        </w:rPr>
        <w:t>Level Five hospital should buy eco-friendly electronic equipment that save energy and expand intranet to reduce paper use in service provision</w:t>
      </w:r>
      <w:r w:rsidR="00B30EA4">
        <w:rPr>
          <w:bCs/>
          <w:lang w:val="af-ZA" w:eastAsia="af-ZA"/>
        </w:rPr>
        <w:t xml:space="preserve">. </w:t>
      </w:r>
      <w:r>
        <w:rPr>
          <w:bCs/>
          <w:lang w:val="af-ZA" w:eastAsia="af-ZA"/>
        </w:rPr>
        <w:t>The county department of health with the help of a human resource managers should e</w:t>
      </w:r>
      <w:r>
        <w:rPr>
          <w:bCs/>
          <w:lang w:eastAsia="af-ZA"/>
        </w:rPr>
        <w:t xml:space="preserve">stablish a recognition program that acknowledges and rewards employees who meet their performance targets and actively participate in environmental management initiatives. </w:t>
      </w:r>
      <w:r>
        <w:rPr>
          <w:lang w:eastAsia="af-ZA"/>
        </w:rPr>
        <w:t xml:space="preserve">Clear and strong GHRM policies will help position the level five hospitals as leaders in healthcare performance and environmental stewardship, further enhancing their appeal to both current and </w:t>
      </w:r>
      <w:r>
        <w:rPr>
          <w:lang w:eastAsia="af-ZA"/>
        </w:rPr>
        <w:lastRenderedPageBreak/>
        <w:t>potential employees. By adopting these recommendations, county government through Level Five Hospitals can create a workforce that is not only skilled and innovative but also deeply committed to environmental sustainability, ultimately leading to improved performance of healthcare services.</w:t>
      </w:r>
    </w:p>
    <w:p w14:paraId="2EB21844" w14:textId="77777777" w:rsidR="009F33CD" w:rsidRPr="00B30EA4" w:rsidRDefault="00E40740">
      <w:pPr>
        <w:tabs>
          <w:tab w:val="left" w:pos="720"/>
        </w:tabs>
        <w:spacing w:before="240"/>
        <w:rPr>
          <w:lang w:eastAsia="af-ZA"/>
        </w:rPr>
      </w:pPr>
      <w:r>
        <w:rPr>
          <w:lang w:eastAsia="af-ZA"/>
        </w:rPr>
        <w:t>This study underscores the importance of management style in performance of devolved healthcare services and, therefore, the County Department of Health should ensure that hospital management strictly follows established rules, policies, and procedures to enhance performance. Clear guidelines and consistent enforcement create a stable and efficient work environment. Managers should actively support and promote green initiatives within the hospital, while at the same time recognizing and rewarding departments and individuals who contribute to excellent delivery of healthcare service and environmental sustainability.</w:t>
      </w:r>
      <w:r>
        <w:rPr>
          <w:lang w:val="af-ZA" w:eastAsia="af-ZA"/>
        </w:rPr>
        <w:t xml:space="preserve"> County department of health should also ensure provision of </w:t>
      </w:r>
      <w:r>
        <w:rPr>
          <w:lang w:eastAsia="af-ZA"/>
        </w:rPr>
        <w:t>effective supervision that can identify areas for improvement, provide timely feedback, and support employees in achieving their performance goals.</w:t>
      </w:r>
    </w:p>
    <w:p w14:paraId="0159C47F" w14:textId="77777777" w:rsidR="009F33CD" w:rsidRDefault="00E40740">
      <w:pPr>
        <w:pStyle w:val="Heading3"/>
        <w:rPr>
          <w:lang w:eastAsia="af-ZA"/>
        </w:rPr>
      </w:pPr>
      <w:bookmarkStart w:id="1782" w:name="_Toc188442654"/>
      <w:bookmarkStart w:id="1783" w:name="_Toc188444028"/>
      <w:bookmarkStart w:id="1784" w:name="_Toc224160713"/>
      <w:bookmarkStart w:id="1785" w:name="_Toc224237776"/>
      <w:r>
        <w:rPr>
          <w:lang w:eastAsia="af-ZA"/>
        </w:rPr>
        <w:t>5.4.4 Development Partners</w:t>
      </w:r>
      <w:bookmarkEnd w:id="1782"/>
      <w:bookmarkEnd w:id="1783"/>
      <w:r w:rsidR="002364D1">
        <w:rPr>
          <w:lang w:eastAsia="af-ZA"/>
        </w:rPr>
        <w:t xml:space="preserve"> in Health Sector</w:t>
      </w:r>
      <w:bookmarkEnd w:id="1784"/>
      <w:bookmarkEnd w:id="1785"/>
    </w:p>
    <w:p w14:paraId="6BD3DCCE" w14:textId="77777777" w:rsidR="009F33CD" w:rsidRDefault="00E40740">
      <w:pPr>
        <w:tabs>
          <w:tab w:val="left" w:pos="720"/>
        </w:tabs>
        <w:spacing w:before="240"/>
        <w:rPr>
          <w:bCs/>
          <w:lang w:eastAsia="af-ZA"/>
        </w:rPr>
      </w:pPr>
      <w:r>
        <w:rPr>
          <w:bCs/>
          <w:lang w:eastAsia="af-ZA"/>
        </w:rPr>
        <w:t>Development partners in the health sector shall use the study findings as a source of information to allocate and channel their financial aid to specific areas of devolved healthcare services that are eco-friendly such as green training of employees and provision of equipment that enhance use of digital platform for patient diagnosis and treatment. In addition, development partners can use the results to give their financial support towards sustainable universal healthcare and climate resilience. The development partners should ensure that the tools, equipment, and commodities that they may provide to healthcare facilities are environmentally friendly in usage and disposal to minimize carbon footprints.</w:t>
      </w:r>
    </w:p>
    <w:p w14:paraId="39CAAC2B" w14:textId="77777777" w:rsidR="009F33CD" w:rsidRDefault="00E40740">
      <w:pPr>
        <w:pStyle w:val="Heading3"/>
        <w:rPr>
          <w:lang w:eastAsia="af-ZA"/>
        </w:rPr>
      </w:pPr>
      <w:bookmarkStart w:id="1786" w:name="_Toc188442655"/>
      <w:bookmarkStart w:id="1787" w:name="_Toc188444029"/>
      <w:bookmarkStart w:id="1788" w:name="_Toc224160714"/>
      <w:bookmarkStart w:id="1789" w:name="_Toc224237777"/>
      <w:r>
        <w:rPr>
          <w:lang w:eastAsia="af-ZA"/>
        </w:rPr>
        <w:t xml:space="preserve">5.4.5 </w:t>
      </w:r>
      <w:r w:rsidR="002364D1">
        <w:rPr>
          <w:lang w:eastAsia="af-ZA"/>
        </w:rPr>
        <w:t xml:space="preserve">Academic and Research </w:t>
      </w:r>
      <w:r>
        <w:rPr>
          <w:lang w:eastAsia="af-ZA"/>
        </w:rPr>
        <w:t>Scholars</w:t>
      </w:r>
      <w:bookmarkEnd w:id="1786"/>
      <w:bookmarkEnd w:id="1787"/>
      <w:bookmarkEnd w:id="1788"/>
      <w:bookmarkEnd w:id="1789"/>
    </w:p>
    <w:p w14:paraId="2F3BD134" w14:textId="77777777" w:rsidR="009F33CD" w:rsidRDefault="00E40740">
      <w:pPr>
        <w:tabs>
          <w:tab w:val="left" w:pos="720"/>
        </w:tabs>
        <w:spacing w:before="240"/>
        <w:rPr>
          <w:bCs/>
          <w:lang w:eastAsia="af-ZA"/>
        </w:rPr>
      </w:pPr>
      <w:r>
        <w:rPr>
          <w:bCs/>
          <w:lang w:eastAsia="af-ZA"/>
        </w:rPr>
        <w:t xml:space="preserve">This study's results recommend further study on GHRM practices that add literature to the body of research knowledge about the effect of green HRM practices on the performance of devolved healthcare services. The scholars can use the empirical </w:t>
      </w:r>
      <w:r>
        <w:rPr>
          <w:bCs/>
          <w:lang w:eastAsia="af-ZA"/>
        </w:rPr>
        <w:lastRenderedPageBreak/>
        <w:t xml:space="preserve">findings of this study to replicate similar studies in other sectors of the economy. It is recommended that this study can serve as a foundation for further research in the health sector to fill literature gaps. Relevant green HR practices and concepts in the healthcare sector can also be developed from this study which could be useful for reference. </w:t>
      </w:r>
    </w:p>
    <w:p w14:paraId="24D57ABB" w14:textId="77777777" w:rsidR="009F33CD" w:rsidRDefault="00E40740">
      <w:pPr>
        <w:pStyle w:val="Heading3"/>
      </w:pPr>
      <w:bookmarkStart w:id="1790" w:name="_Toc185614194"/>
      <w:bookmarkStart w:id="1791" w:name="_Toc187080966"/>
      <w:bookmarkStart w:id="1792" w:name="_Toc178945147"/>
      <w:bookmarkStart w:id="1793" w:name="_Toc188444030"/>
      <w:bookmarkStart w:id="1794" w:name="_Toc188442656"/>
      <w:bookmarkStart w:id="1795" w:name="_Toc224160715"/>
      <w:bookmarkStart w:id="1796" w:name="_Toc224237778"/>
      <w:bookmarkEnd w:id="1768"/>
      <w:bookmarkEnd w:id="1769"/>
      <w:r>
        <w:t>5.4.6 Recommendation for Policy</w:t>
      </w:r>
      <w:bookmarkEnd w:id="1790"/>
      <w:bookmarkEnd w:id="1791"/>
      <w:bookmarkEnd w:id="1792"/>
      <w:r>
        <w:t xml:space="preserve"> Makers</w:t>
      </w:r>
      <w:bookmarkEnd w:id="1793"/>
      <w:bookmarkEnd w:id="1794"/>
      <w:bookmarkEnd w:id="1795"/>
      <w:bookmarkEnd w:id="1796"/>
    </w:p>
    <w:p w14:paraId="2CD20C4F" w14:textId="77777777" w:rsidR="007B3701" w:rsidRDefault="00E40740">
      <w:r>
        <w:t xml:space="preserve">Drawing from the study's conclusions, the following policy recommendations are proposed to enhance the performance of devolved healthcare services through effective Green Human Resource Management (GHRM) practices: Level five hospitals should formulate strong policies that mandate green recruitment practices across healthcare service institutions. This includes </w:t>
      </w:r>
      <w:r w:rsidR="007B3701">
        <w:rPr>
          <w:bCs/>
        </w:rPr>
        <w:t>m</w:t>
      </w:r>
      <w:r w:rsidR="007B3701" w:rsidRPr="007B3701">
        <w:rPr>
          <w:bCs/>
        </w:rPr>
        <w:t>ak</w:t>
      </w:r>
      <w:r w:rsidR="007B3701">
        <w:rPr>
          <w:bCs/>
        </w:rPr>
        <w:t>ing</w:t>
      </w:r>
      <w:r w:rsidR="007B3701" w:rsidRPr="007B3701">
        <w:rPr>
          <w:bCs/>
        </w:rPr>
        <w:t xml:space="preserve"> green awareness information mandatory in job advertisements, interviews, and selection not only for clinicians but also for administrative employees.</w:t>
      </w:r>
      <w:r w:rsidR="007B3701">
        <w:rPr>
          <w:bCs/>
        </w:rPr>
        <w:t xml:space="preserve"> </w:t>
      </w:r>
      <w:r>
        <w:t>Create policies that require regular green training programs for all healthcare employees. These programs should focus on eco-friendly practices, green innovation, and continuous learning to enhance employee performance and environmental sustainability. Integrate green performance evaluation criteria into the overall performance appraisal system</w:t>
      </w:r>
      <w:r w:rsidR="009737FA">
        <w:t xml:space="preserve"> to enable employees set their own objectives and targets</w:t>
      </w:r>
      <w:r w:rsidR="008444FB">
        <w:t>.</w:t>
      </w:r>
      <w:r w:rsidR="009737FA" w:rsidRPr="009737FA">
        <w:rPr>
          <w:bCs/>
        </w:rPr>
        <w:t xml:space="preserve"> There is need for inclusion of individual measurable green objectives and targets in performance appraisal system</w:t>
      </w:r>
      <w:r>
        <w:t xml:space="preserve">. Policies should ensure that employees are assessed based on their contributions to environmental sustainability, with clear and measurable targets. </w:t>
      </w:r>
      <w:r w:rsidR="00D54FDF" w:rsidRPr="00D54FDF">
        <w:rPr>
          <w:bCs/>
        </w:rPr>
        <w:t>There is need to embrace and conduct paperless (on-line) performance appraisals</w:t>
      </w:r>
      <w:r w:rsidR="00D54FDF">
        <w:rPr>
          <w:bCs/>
        </w:rPr>
        <w:t xml:space="preserve"> that includes </w:t>
      </w:r>
      <w:r w:rsidR="00D54FDF" w:rsidRPr="00D54FDF">
        <w:rPr>
          <w:bCs/>
        </w:rPr>
        <w:t>individual measurable green objectives and targets</w:t>
      </w:r>
      <w:r w:rsidR="00D54FDF">
        <w:rPr>
          <w:bCs/>
        </w:rPr>
        <w:t>.</w:t>
      </w:r>
      <w:r w:rsidR="00D54FDF">
        <w:t xml:space="preserve"> </w:t>
      </w:r>
      <w:r>
        <w:t>Develop policies that mandate the use of eco-friendly safety gear and regular green safety and health audits.</w:t>
      </w:r>
      <w:r w:rsidR="009737FA">
        <w:t xml:space="preserve"> </w:t>
      </w:r>
      <w:r>
        <w:t>These policies should promote practices that reduce accidents, improve indoor air quality, and foster a safer work   environment.</w:t>
      </w:r>
      <w:r w:rsidR="009737FA" w:rsidRPr="009737FA">
        <w:rPr>
          <w:bCs/>
          <w:lang w:eastAsia="af-ZA"/>
        </w:rPr>
        <w:t xml:space="preserve"> </w:t>
      </w:r>
    </w:p>
    <w:p w14:paraId="112F0B45" w14:textId="77777777" w:rsidR="009F33CD" w:rsidRDefault="00E40740">
      <w:r>
        <w:t xml:space="preserve"> Formulate policies that encourage a balance between participative and bureaucratic management styles. This approach involves staff in decision-making processes while ensuring structured and accountable environmental protection practices. Establish strong policies that strengthen supervision mechanisms to ensure the successful implementation of GHRM practices. These policies should include regular monitoring, feedback, and support systems to enhance employee performance and adherence to </w:t>
      </w:r>
      <w:r>
        <w:lastRenderedPageBreak/>
        <w:t>environmental standards. By adopting these policy recommendations, healthcare institutions can create a sustainable and efficient workforce, ultimately leading to improved performance of devolved healthcare services.</w:t>
      </w:r>
    </w:p>
    <w:p w14:paraId="54CFFE01" w14:textId="77777777" w:rsidR="009F33CD" w:rsidRDefault="00E40740">
      <w:pPr>
        <w:pStyle w:val="Heading2"/>
        <w:spacing w:before="240"/>
        <w:rPr>
          <w:lang w:val="en-GB"/>
        </w:rPr>
      </w:pPr>
      <w:bookmarkStart w:id="1797" w:name="_Toc224237779"/>
      <w:r>
        <w:rPr>
          <w:lang w:val="en-GB"/>
        </w:rPr>
        <w:t>5.5 Suggestions for Further Study</w:t>
      </w:r>
      <w:bookmarkEnd w:id="1797"/>
    </w:p>
    <w:p w14:paraId="4A503F15" w14:textId="77777777" w:rsidR="009F33CD" w:rsidRDefault="00E40740">
      <w:pPr>
        <w:autoSpaceDE/>
        <w:autoSpaceDN/>
        <w:adjustRightInd/>
        <w:spacing w:after="240"/>
        <w:rPr>
          <w:rFonts w:eastAsia="Arial Unicode MS" w:cs="Times New Roman"/>
          <w:bCs/>
          <w:szCs w:val="24"/>
        </w:rPr>
      </w:pPr>
      <w:r>
        <w:rPr>
          <w:rFonts w:eastAsia="Arial Unicode MS" w:cs="Times New Roman"/>
          <w:bCs/>
          <w:szCs w:val="24"/>
        </w:rPr>
        <w:t xml:space="preserve">This study was based on Level Five Hospitals in Kenya and therefore, future research should consider other levels of hospitals in the health sector or replicate </w:t>
      </w:r>
      <w:r w:rsidR="00E14D05">
        <w:rPr>
          <w:rFonts w:eastAsia="Arial Unicode MS" w:cs="Times New Roman"/>
          <w:bCs/>
          <w:szCs w:val="24"/>
        </w:rPr>
        <w:t>the study and include the healthcare employees</w:t>
      </w:r>
      <w:r>
        <w:rPr>
          <w:rFonts w:eastAsia="Arial Unicode MS" w:cs="Times New Roman"/>
          <w:bCs/>
          <w:szCs w:val="24"/>
        </w:rPr>
        <w:t xml:space="preserve">. Only four GHRM practices (green employee resourcing, green training, green occupational safety and health, and green performance evaluation) were considered in the current study, it is therefore necessary to consider other green human resource management practices in future studies to take care of the 35.6% unexplained variations in the study model. </w:t>
      </w:r>
      <w:r w:rsidR="00E7249B">
        <w:rPr>
          <w:rFonts w:eastAsia="Arial Unicode MS" w:cs="Times New Roman"/>
          <w:bCs/>
          <w:szCs w:val="24"/>
        </w:rPr>
        <w:t xml:space="preserve">In addition, a different moderating variable can be introduced into the same study to determine its influence. </w:t>
      </w:r>
      <w:r>
        <w:rPr>
          <w:rFonts w:eastAsia="Arial Unicode MS" w:cs="Times New Roman"/>
          <w:bCs/>
          <w:szCs w:val="24"/>
        </w:rPr>
        <w:t>A study can be done to investigate the challenges faced by healthcare institutions in implementing green HRM policies</w:t>
      </w:r>
      <w:r w:rsidR="00E14D05">
        <w:rPr>
          <w:rFonts w:eastAsia="Arial Unicode MS" w:cs="Times New Roman"/>
          <w:bCs/>
          <w:szCs w:val="24"/>
        </w:rPr>
        <w:t xml:space="preserve"> and practices</w:t>
      </w:r>
      <w:r>
        <w:rPr>
          <w:rFonts w:eastAsia="Arial Unicode MS" w:cs="Times New Roman"/>
          <w:bCs/>
          <w:szCs w:val="24"/>
        </w:rPr>
        <w:t xml:space="preserve">. Further </w:t>
      </w:r>
      <w:r w:rsidR="003F6E38">
        <w:rPr>
          <w:rFonts w:eastAsia="Arial Unicode MS" w:cs="Times New Roman"/>
          <w:bCs/>
          <w:szCs w:val="24"/>
        </w:rPr>
        <w:t>a comparative analysis of GHRM practices and organizational performance in leve</w:t>
      </w:r>
      <w:r w:rsidR="00E14D05">
        <w:rPr>
          <w:rFonts w:eastAsia="Arial Unicode MS" w:cs="Times New Roman"/>
          <w:bCs/>
          <w:szCs w:val="24"/>
        </w:rPr>
        <w:t>l five hospitals</w:t>
      </w:r>
      <w:r w:rsidR="003F6E38">
        <w:rPr>
          <w:rFonts w:eastAsia="Arial Unicode MS" w:cs="Times New Roman"/>
          <w:bCs/>
          <w:szCs w:val="24"/>
        </w:rPr>
        <w:t xml:space="preserve"> can be conducted</w:t>
      </w:r>
      <w:r>
        <w:rPr>
          <w:rFonts w:eastAsia="Arial Unicode MS" w:cs="Times New Roman"/>
          <w:bCs/>
          <w:szCs w:val="24"/>
        </w:rPr>
        <w:t>. Further study can be done on sustainable competitive advantage in hospitals through the application of GHRM practices. There is a need for more research to be conducted in GHRM to provide more evidence-based outcomes that will enhance the necessity for vigorous application of this concept in modern healthcare service organizations. By pursuing these areas of research, scholars can contribute to a more comprehensive understanding of the interplay between green HRM practices and the performance of devolved healthcare services, ultimately driving both sustainability and efficiency in the sector.</w:t>
      </w:r>
    </w:p>
    <w:p w14:paraId="0390F6DA" w14:textId="77777777" w:rsidR="009F33CD" w:rsidRDefault="00E40740">
      <w:pPr>
        <w:pStyle w:val="Heading1"/>
      </w:pPr>
      <w:r>
        <w:rPr>
          <w:rFonts w:eastAsia="Arial Unicode MS"/>
          <w:bCs/>
        </w:rPr>
        <w:br w:type="page"/>
      </w:r>
      <w:bookmarkStart w:id="1798" w:name="_Toc224237780"/>
      <w:r>
        <w:lastRenderedPageBreak/>
        <w:t>REFERENCES</w:t>
      </w:r>
      <w:bookmarkEnd w:id="1798"/>
    </w:p>
    <w:p w14:paraId="6B5AC416" w14:textId="77777777" w:rsidR="009F33CD" w:rsidRDefault="00E40740" w:rsidP="005163BD">
      <w:pPr>
        <w:ind w:left="720" w:hanging="720"/>
      </w:pPr>
      <w:bookmarkStart w:id="1799" w:name="_Hlk178960491"/>
      <w:r>
        <w:t xml:space="preserve">Abdou, A. H., Hassan, T. H., Dief, E., &amp; Moustafa, M. (2020). A Description of Green Hotel Practices and Their Role in Achieving Sustainable Development. </w:t>
      </w:r>
      <w:r>
        <w:rPr>
          <w:i/>
          <w:iCs/>
        </w:rPr>
        <w:t xml:space="preserve">Sustainability, 12 </w:t>
      </w:r>
      <w:r>
        <w:t>(22), 9624.</w:t>
      </w:r>
    </w:p>
    <w:p w14:paraId="1421775B" w14:textId="77777777" w:rsidR="00CB7A47" w:rsidRDefault="00E40740" w:rsidP="005163BD">
      <w:pPr>
        <w:ind w:left="720" w:hanging="720"/>
      </w:pPr>
      <w:r>
        <w:rPr>
          <w:rFonts w:eastAsia="Times New Roman" w:cs="Times New Roman"/>
          <w:szCs w:val="24"/>
        </w:rPr>
        <w:t>Aburahma, I.A., Amuna, Y.M., &amp; Aqel, A.M. (2020). The Relationship between GHRM Practices and Organizational Performance- Case study: Gaza University.</w:t>
      </w:r>
      <w:r>
        <w:t xml:space="preserve"> </w:t>
      </w:r>
      <w:r>
        <w:rPr>
          <w:i/>
        </w:rPr>
        <w:t>International Journal of Academic Management Science Research,</w:t>
      </w:r>
      <w:r>
        <w:t xml:space="preserve"> </w:t>
      </w:r>
      <w:r>
        <w:rPr>
          <w:i/>
        </w:rPr>
        <w:t>4</w:t>
      </w:r>
      <w:r>
        <w:t>(4), 1-8</w:t>
      </w:r>
      <w:r w:rsidR="00CB7A47">
        <w:t>.</w:t>
      </w:r>
    </w:p>
    <w:p w14:paraId="62EC9F2B" w14:textId="77777777" w:rsidR="000459F3" w:rsidRDefault="00CB7A47" w:rsidP="005163BD">
      <w:pPr>
        <w:ind w:left="720" w:hanging="720"/>
      </w:pPr>
      <w:r w:rsidRPr="00CB7A47">
        <w:t>Abdulameer, H., &amp; Ibrahim, M. (2025). Effect of Green Training on Individual Environmental Performance: Evidence from Oil and Gas Industry in Iraq. </w:t>
      </w:r>
      <w:r w:rsidRPr="00CB7A47">
        <w:rPr>
          <w:i/>
          <w:iCs/>
        </w:rPr>
        <w:t>International Journal of Energy Economics and Policy, 15</w:t>
      </w:r>
      <w:r w:rsidRPr="00CB7A47">
        <w:t>(1), 339-346. </w:t>
      </w:r>
    </w:p>
    <w:p w14:paraId="2AA32EE8" w14:textId="77777777" w:rsidR="009F33CD" w:rsidRDefault="00E40740" w:rsidP="005163BD">
      <w:pPr>
        <w:ind w:left="720" w:hanging="720"/>
        <w:rPr>
          <w:rFonts w:cs="Times New Roman"/>
          <w:szCs w:val="24"/>
        </w:rPr>
      </w:pPr>
      <w:r>
        <w:rPr>
          <w:rFonts w:cs="Times New Roman"/>
          <w:szCs w:val="24"/>
        </w:rPr>
        <w:t xml:space="preserve">Adjei-Bamfo, P., Bempong, B., Osei, J., &amp; Kusi-Sarpong, S. (2020). Green Candidate Selection for Organizational Environmental Management, </w:t>
      </w:r>
      <w:r>
        <w:rPr>
          <w:rFonts w:cs="Times New Roman"/>
          <w:i/>
          <w:szCs w:val="24"/>
        </w:rPr>
        <w:t>International Journal of Manpower</w:t>
      </w:r>
      <w:r>
        <w:rPr>
          <w:rFonts w:cs="Times New Roman"/>
          <w:szCs w:val="24"/>
        </w:rPr>
        <w:t xml:space="preserve">, </w:t>
      </w:r>
      <w:r>
        <w:rPr>
          <w:rFonts w:cs="Times New Roman"/>
          <w:i/>
          <w:szCs w:val="24"/>
        </w:rPr>
        <w:t>41</w:t>
      </w:r>
      <w:r>
        <w:rPr>
          <w:rFonts w:cs="Times New Roman"/>
          <w:szCs w:val="24"/>
        </w:rPr>
        <w:t>(7), 1081-1096.</w:t>
      </w:r>
    </w:p>
    <w:p w14:paraId="514B3E8A" w14:textId="77777777" w:rsidR="009F33CD" w:rsidRDefault="00E40740" w:rsidP="005163BD">
      <w:pPr>
        <w:autoSpaceDE/>
        <w:autoSpaceDN/>
        <w:adjustRightInd/>
        <w:ind w:left="720" w:hanging="720"/>
        <w:rPr>
          <w:rFonts w:eastAsia="SimSun" w:cs="Times New Roman"/>
          <w:bCs/>
        </w:rPr>
      </w:pPr>
      <w:r w:rsidRPr="00032D3E">
        <w:rPr>
          <w:rFonts w:eastAsia="SimSun" w:cs="Times New Roman"/>
          <w:bCs/>
          <w:lang w:val="it-IT"/>
        </w:rPr>
        <w:t xml:space="preserve">Adriana, L. T. D., Fahira, K. T., Nailissa’adah, M., &amp; El Maula, H. (2020, May). </w:t>
      </w:r>
      <w:r>
        <w:rPr>
          <w:rFonts w:eastAsia="SimSun" w:cs="Times New Roman"/>
          <w:bCs/>
        </w:rPr>
        <w:t xml:space="preserve">A Review the Important of Green Human Resource Management Practices Toward Employee Green Behaviour in Organization. </w:t>
      </w:r>
      <w:r>
        <w:rPr>
          <w:rFonts w:eastAsia="SimSun" w:cs="Times New Roman"/>
          <w:bCs/>
          <w:i/>
        </w:rPr>
        <w:t>Journal of International Conference Proceedings</w:t>
      </w:r>
      <w:r>
        <w:rPr>
          <w:rFonts w:eastAsia="SimSun" w:cs="Times New Roman"/>
          <w:bCs/>
        </w:rPr>
        <w:t xml:space="preserve">, </w:t>
      </w:r>
      <w:r>
        <w:rPr>
          <w:rFonts w:eastAsia="SimSun" w:cs="Times New Roman"/>
          <w:bCs/>
          <w:i/>
        </w:rPr>
        <w:t>3</w:t>
      </w:r>
      <w:r>
        <w:rPr>
          <w:rFonts w:eastAsia="SimSun" w:cs="Times New Roman"/>
          <w:bCs/>
        </w:rPr>
        <w:t>(1), 124-135.</w:t>
      </w:r>
    </w:p>
    <w:p w14:paraId="4EAB202E" w14:textId="77777777" w:rsidR="009F33CD" w:rsidRDefault="00E40740" w:rsidP="005163BD">
      <w:pPr>
        <w:ind w:left="720" w:hanging="720"/>
        <w:rPr>
          <w:rFonts w:eastAsia="Times New Roman" w:cs="Times New Roman"/>
          <w:bCs/>
          <w:color w:val="000000" w:themeColor="text1"/>
          <w:szCs w:val="24"/>
        </w:rPr>
      </w:pPr>
      <w:r>
        <w:rPr>
          <w:rFonts w:eastAsia="Times New Roman" w:cs="Times New Roman"/>
          <w:bCs/>
          <w:color w:val="000000" w:themeColor="text1"/>
          <w:szCs w:val="24"/>
        </w:rPr>
        <w:t>Afaneh, J. A. A., Al Doghan, M. A., Aliane, N., &amp; Abdelwahed, N. A. A. (2023). Green GRM Practices and Quality of Corporate Performance: The Avenues Towards Green Business. </w:t>
      </w:r>
      <w:r>
        <w:rPr>
          <w:rFonts w:eastAsia="Times New Roman" w:cs="Times New Roman"/>
          <w:bCs/>
          <w:i/>
          <w:iCs/>
          <w:color w:val="000000" w:themeColor="text1"/>
          <w:szCs w:val="24"/>
        </w:rPr>
        <w:t>Journal of Law and Sustainable Development</w:t>
      </w:r>
      <w:r>
        <w:rPr>
          <w:rFonts w:eastAsia="Times New Roman" w:cs="Times New Roman"/>
          <w:bCs/>
          <w:color w:val="000000" w:themeColor="text1"/>
          <w:szCs w:val="24"/>
        </w:rPr>
        <w:t>, </w:t>
      </w:r>
      <w:r>
        <w:rPr>
          <w:rFonts w:eastAsia="Times New Roman" w:cs="Times New Roman"/>
          <w:bCs/>
          <w:i/>
          <w:iCs/>
          <w:color w:val="000000" w:themeColor="text1"/>
          <w:szCs w:val="24"/>
        </w:rPr>
        <w:t>11</w:t>
      </w:r>
      <w:r>
        <w:rPr>
          <w:rFonts w:eastAsia="Times New Roman" w:cs="Times New Roman"/>
          <w:bCs/>
          <w:color w:val="000000" w:themeColor="text1"/>
          <w:szCs w:val="24"/>
        </w:rPr>
        <w:t xml:space="preserve">(11) </w:t>
      </w:r>
    </w:p>
    <w:p w14:paraId="15FE5BB5" w14:textId="77777777" w:rsidR="009F33CD" w:rsidRDefault="00E40740" w:rsidP="005163BD">
      <w:pPr>
        <w:autoSpaceDE/>
        <w:autoSpaceDN/>
        <w:adjustRightInd/>
        <w:ind w:left="720" w:hanging="720"/>
        <w:rPr>
          <w:rFonts w:eastAsia="SimSun" w:cs="Times New Roman"/>
          <w:bCs/>
          <w:color w:val="000000"/>
          <w:szCs w:val="24"/>
        </w:rPr>
      </w:pPr>
      <w:r>
        <w:rPr>
          <w:rFonts w:eastAsia="SimSun" w:cs="Times New Roman"/>
          <w:bCs/>
          <w:color w:val="000000"/>
          <w:szCs w:val="24"/>
        </w:rPr>
        <w:t>Ahmed, S. (2015). Green Human Resource Management: Policies and practices. </w:t>
      </w:r>
      <w:r>
        <w:rPr>
          <w:rFonts w:eastAsia="SimSun" w:cs="Times New Roman"/>
          <w:bCs/>
          <w:i/>
          <w:iCs/>
          <w:color w:val="000000"/>
          <w:szCs w:val="24"/>
        </w:rPr>
        <w:t>Cogent Business &amp; Management,</w:t>
      </w:r>
      <w:r>
        <w:rPr>
          <w:rFonts w:eastAsia="SimSun"/>
          <w:bCs/>
          <w:i/>
          <w:iCs/>
          <w:szCs w:val="24"/>
        </w:rPr>
        <w:t xml:space="preserve"> Cogent Business &amp; Management,</w:t>
      </w:r>
      <w:r>
        <w:rPr>
          <w:rFonts w:eastAsia="SimSun"/>
          <w:bCs/>
          <w:szCs w:val="24"/>
        </w:rPr>
        <w:t xml:space="preserve"> </w:t>
      </w:r>
      <w:r>
        <w:rPr>
          <w:rFonts w:eastAsia="SimSun"/>
          <w:bCs/>
          <w:i/>
          <w:szCs w:val="24"/>
        </w:rPr>
        <w:t>Omega</w:t>
      </w:r>
      <w:r>
        <w:rPr>
          <w:rFonts w:eastAsia="SimSun"/>
          <w:bCs/>
          <w:szCs w:val="24"/>
        </w:rPr>
        <w:t xml:space="preserve"> </w:t>
      </w:r>
      <w:r>
        <w:rPr>
          <w:rFonts w:eastAsia="SimSun"/>
          <w:bCs/>
          <w:i/>
          <w:szCs w:val="24"/>
        </w:rPr>
        <w:t>3</w:t>
      </w:r>
      <w:r>
        <w:rPr>
          <w:rFonts w:eastAsia="SimSun"/>
          <w:bCs/>
          <w:szCs w:val="24"/>
        </w:rPr>
        <w:t>(6), 639–656</w:t>
      </w:r>
    </w:p>
    <w:p w14:paraId="5A10DDCF"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Al Khajeh, E. H. (2018). Impact of Leadership Styles on Organizational Performance. </w:t>
      </w:r>
      <w:r>
        <w:rPr>
          <w:rFonts w:eastAsia="Times New Roman" w:cs="Times New Roman"/>
          <w:bCs/>
          <w:i/>
          <w:iCs/>
          <w:szCs w:val="24"/>
        </w:rPr>
        <w:t>Journal of Human Resources Management Research</w:t>
      </w:r>
      <w:r>
        <w:rPr>
          <w:rFonts w:eastAsia="Times New Roman" w:cs="Times New Roman"/>
          <w:bCs/>
          <w:szCs w:val="24"/>
        </w:rPr>
        <w:t>, 1-10.</w:t>
      </w:r>
    </w:p>
    <w:p w14:paraId="541A2ABC" w14:textId="77777777" w:rsidR="009F33CD" w:rsidRDefault="00E40740" w:rsidP="005163BD">
      <w:pPr>
        <w:ind w:left="720" w:hanging="720"/>
        <w:rPr>
          <w:rFonts w:eastAsia="Times New Roman" w:cs="Times New Roman"/>
          <w:bCs/>
          <w:szCs w:val="24"/>
        </w:rPr>
      </w:pPr>
      <w:r>
        <w:rPr>
          <w:rFonts w:eastAsia="Times New Roman" w:cs="Times New Roman"/>
          <w:bCs/>
          <w:szCs w:val="24"/>
        </w:rPr>
        <w:lastRenderedPageBreak/>
        <w:t xml:space="preserve">Al-Abri, R., &amp; Al-Balushi, A. (2014). Patient Satisfaction Survey as a Tool Towards Quality Improvement. </w:t>
      </w:r>
      <w:r>
        <w:rPr>
          <w:rFonts w:eastAsia="Times New Roman" w:cs="Times New Roman"/>
          <w:bCs/>
          <w:i/>
          <w:iCs/>
          <w:szCs w:val="24"/>
        </w:rPr>
        <w:t>Oman Medical Journal, 29</w:t>
      </w:r>
      <w:r>
        <w:rPr>
          <w:rFonts w:eastAsia="Times New Roman" w:cs="Times New Roman"/>
          <w:bCs/>
          <w:szCs w:val="24"/>
        </w:rPr>
        <w:t xml:space="preserve">(1), 3–7. </w:t>
      </w:r>
    </w:p>
    <w:p w14:paraId="0AE654A7" w14:textId="77777777" w:rsidR="009F33CD" w:rsidRDefault="00E40740" w:rsidP="005163BD">
      <w:pPr>
        <w:autoSpaceDE/>
        <w:autoSpaceDN/>
        <w:adjustRightInd/>
        <w:ind w:left="720" w:hanging="720"/>
        <w:rPr>
          <w:rFonts w:eastAsia="SimSun" w:cs="Times New Roman"/>
          <w:bCs/>
        </w:rPr>
      </w:pPr>
      <w:r>
        <w:rPr>
          <w:rFonts w:eastAsia="SimSun" w:cs="Times New Roman"/>
          <w:bCs/>
        </w:rPr>
        <w:t xml:space="preserve">Alnajdawi, S., Emeagwali, O. L., &amp; Elrehail, H. (2017). The Interplay among Green Human Resource Practices, Organization Citizenship Behaviour for Environment and Sustainable Corporate Performance: Evidence from Jordan. </w:t>
      </w:r>
      <w:r>
        <w:rPr>
          <w:rFonts w:eastAsia="SimSun" w:cs="Times New Roman"/>
          <w:bCs/>
          <w:i/>
          <w:iCs/>
        </w:rPr>
        <w:t>Journal of Environmental Accounting and Management</w:t>
      </w:r>
      <w:r>
        <w:rPr>
          <w:rFonts w:eastAsia="SimSun" w:cs="Times New Roman"/>
          <w:bCs/>
        </w:rPr>
        <w:t xml:space="preserve">, </w:t>
      </w:r>
      <w:r>
        <w:rPr>
          <w:rFonts w:eastAsia="SimSun" w:cs="Times New Roman"/>
          <w:bCs/>
          <w:i/>
        </w:rPr>
        <w:t>5</w:t>
      </w:r>
      <w:r>
        <w:rPr>
          <w:rFonts w:eastAsia="SimSun" w:cs="Times New Roman"/>
          <w:bCs/>
        </w:rPr>
        <w:t>(3), 171-184.</w:t>
      </w:r>
    </w:p>
    <w:p w14:paraId="414A42CA" w14:textId="77777777" w:rsidR="009F33CD" w:rsidRDefault="00E40740" w:rsidP="005163BD">
      <w:pPr>
        <w:autoSpaceDE/>
        <w:autoSpaceDN/>
        <w:adjustRightInd/>
        <w:ind w:left="720" w:hanging="720"/>
        <w:rPr>
          <w:rFonts w:eastAsia="SimSun" w:cs="Times New Roman"/>
          <w:bCs/>
        </w:rPr>
      </w:pPr>
      <w:r>
        <w:rPr>
          <w:rFonts w:eastAsia="SimSun" w:cs="Times New Roman"/>
          <w:bCs/>
        </w:rPr>
        <w:t xml:space="preserve">Amjad, F., Abbas, W., Zia-Ur-Rehman, M., Baig, S. A., Hashim, M., Khan, A., &amp; Rehman, H. U. (2021). Effect of Green Human Resource Management Practices on Organizational Sustainability: The Mediating Role of Environmental and Employee Performance. </w:t>
      </w:r>
      <w:r>
        <w:rPr>
          <w:rFonts w:eastAsia="SimSun" w:cs="Times New Roman"/>
          <w:bCs/>
          <w:i/>
          <w:iCs/>
        </w:rPr>
        <w:t>Journal of Environmental Science and Pollution Research, 28</w:t>
      </w:r>
      <w:r>
        <w:rPr>
          <w:rFonts w:eastAsia="SimSun" w:cs="Times New Roman"/>
          <w:bCs/>
        </w:rPr>
        <w:t>, 28191-28206.</w:t>
      </w:r>
    </w:p>
    <w:p w14:paraId="58F11B18" w14:textId="77777777" w:rsidR="009F33CD" w:rsidRDefault="00E40740" w:rsidP="005163BD">
      <w:pPr>
        <w:autoSpaceDE/>
        <w:autoSpaceDN/>
        <w:adjustRightInd/>
        <w:ind w:left="720" w:hanging="720"/>
        <w:rPr>
          <w:rFonts w:eastAsia="SimSun" w:cs="Times New Roman"/>
          <w:bCs/>
        </w:rPr>
      </w:pPr>
      <w:r>
        <w:rPr>
          <w:rFonts w:cs="Times New Roman"/>
          <w:color w:val="000000" w:themeColor="text1"/>
          <w:szCs w:val="24"/>
        </w:rPr>
        <w:t xml:space="preserve">AnuSingh, L., </w:t>
      </w:r>
      <w:r>
        <w:rPr>
          <w:rFonts w:cs="Times New Roman"/>
          <w:color w:val="000000"/>
          <w:szCs w:val="24"/>
        </w:rPr>
        <w:t>&amp; Goyal, S. (2015). Effect of Human Resource Management Factors on Environmental Performance in Manufacturing Companies: An Empirical Evidence</w:t>
      </w:r>
      <w:r>
        <w:rPr>
          <w:rFonts w:cs="Times New Roman"/>
          <w:i/>
          <w:color w:val="000000"/>
          <w:szCs w:val="24"/>
        </w:rPr>
        <w:t>, International Journal of Engineering and Management Science</w:t>
      </w:r>
      <w:r>
        <w:rPr>
          <w:rFonts w:cs="Times New Roman"/>
          <w:color w:val="000000"/>
          <w:szCs w:val="24"/>
        </w:rPr>
        <w:t xml:space="preserve">, </w:t>
      </w:r>
      <w:r>
        <w:rPr>
          <w:rFonts w:cs="Times New Roman"/>
          <w:i/>
          <w:color w:val="000000"/>
          <w:szCs w:val="24"/>
        </w:rPr>
        <w:t>6</w:t>
      </w:r>
      <w:r>
        <w:rPr>
          <w:rFonts w:cs="Times New Roman"/>
          <w:color w:val="000000"/>
          <w:szCs w:val="24"/>
        </w:rPr>
        <w:t xml:space="preserve">(1), 23-30. </w:t>
      </w:r>
    </w:p>
    <w:p w14:paraId="34A94E26" w14:textId="77777777" w:rsidR="009F33CD" w:rsidRDefault="00E40740" w:rsidP="005163BD">
      <w:pPr>
        <w:ind w:left="720" w:hanging="720"/>
        <w:rPr>
          <w:rFonts w:eastAsia="Times New Roman" w:cs="Times New Roman"/>
          <w:color w:val="000000"/>
          <w:szCs w:val="24"/>
        </w:rPr>
      </w:pPr>
      <w:r>
        <w:rPr>
          <w:rFonts w:eastAsia="Times New Roman" w:cs="Times New Roman"/>
          <w:szCs w:val="24"/>
        </w:rPr>
        <w:t xml:space="preserve">Armstrong, </w:t>
      </w:r>
      <w:r>
        <w:rPr>
          <w:rFonts w:eastAsia="Times New Roman" w:cs="Times New Roman"/>
          <w:color w:val="000000"/>
          <w:szCs w:val="24"/>
        </w:rPr>
        <w:t xml:space="preserve">M. (2016). </w:t>
      </w:r>
      <w:r>
        <w:rPr>
          <w:rFonts w:eastAsia="Times New Roman" w:cs="Times New Roman"/>
          <w:i/>
          <w:color w:val="000000"/>
          <w:szCs w:val="24"/>
        </w:rPr>
        <w:t>Armstrong’s Handbook of Human Resource Management Practice</w:t>
      </w:r>
      <w:r>
        <w:rPr>
          <w:rFonts w:eastAsia="Times New Roman" w:cs="Times New Roman"/>
          <w:color w:val="000000"/>
          <w:szCs w:val="24"/>
        </w:rPr>
        <w:t>. (16</w:t>
      </w:r>
      <w:r>
        <w:rPr>
          <w:rFonts w:eastAsia="Times New Roman" w:cs="Times New Roman"/>
          <w:color w:val="000000"/>
          <w:szCs w:val="24"/>
          <w:vertAlign w:val="superscript"/>
        </w:rPr>
        <w:t>th</w:t>
      </w:r>
      <w:r>
        <w:rPr>
          <w:rFonts w:eastAsia="Times New Roman" w:cs="Times New Roman"/>
          <w:color w:val="000000"/>
          <w:szCs w:val="24"/>
        </w:rPr>
        <w:t xml:space="preserve"> ed.). United Kingdom, USA.</w:t>
      </w:r>
    </w:p>
    <w:p w14:paraId="5E27C6E5" w14:textId="77777777" w:rsidR="009F33CD" w:rsidRDefault="00E40740" w:rsidP="005163BD">
      <w:pPr>
        <w:ind w:left="720" w:hanging="720"/>
        <w:rPr>
          <w:rFonts w:eastAsia="TimesNewRoman" w:cs="Times New Roman"/>
          <w:color w:val="222222"/>
          <w:szCs w:val="24"/>
        </w:rPr>
      </w:pPr>
      <w:bookmarkStart w:id="1800" w:name="_Hlk174526491"/>
      <w:r>
        <w:rPr>
          <w:rFonts w:eastAsia="TimesNewRoman" w:cs="Times New Roman"/>
          <w:szCs w:val="24"/>
        </w:rPr>
        <w:t>Arulrajah,</w:t>
      </w:r>
      <w:r>
        <w:rPr>
          <w:rFonts w:eastAsia="TimesNewRoman" w:cs="Times New Roman"/>
          <w:color w:val="222222"/>
          <w:szCs w:val="24"/>
        </w:rPr>
        <w:t xml:space="preserve"> A., Opatha, H. D. N., &amp; Nawaratne, N. J. (2015). </w:t>
      </w:r>
      <w:r>
        <w:rPr>
          <w:rFonts w:eastAsia="Times New Roman" w:cs="Times New Roman"/>
          <w:szCs w:val="24"/>
        </w:rPr>
        <w:t xml:space="preserve">Green Human Resource Management Practices: A Review, </w:t>
      </w:r>
      <w:r>
        <w:rPr>
          <w:rFonts w:eastAsia="TimesNewRoman" w:cs="Times New Roman"/>
          <w:color w:val="222222"/>
          <w:szCs w:val="24"/>
        </w:rPr>
        <w:t>Sri</w:t>
      </w:r>
      <w:r>
        <w:rPr>
          <w:rFonts w:eastAsia="TimesNewRoman" w:cs="Times New Roman"/>
          <w:i/>
          <w:iCs/>
          <w:color w:val="222222"/>
          <w:szCs w:val="24"/>
        </w:rPr>
        <w:t xml:space="preserve"> Lankan Journal of Human Resource Management</w:t>
      </w:r>
      <w:r>
        <w:rPr>
          <w:rFonts w:eastAsia="TimesNewRoman" w:cs="Times New Roman"/>
          <w:color w:val="222222"/>
          <w:szCs w:val="24"/>
        </w:rPr>
        <w:t xml:space="preserve">, </w:t>
      </w:r>
      <w:r>
        <w:rPr>
          <w:rFonts w:eastAsia="TimesNewRoman" w:cs="Times New Roman"/>
          <w:i/>
          <w:color w:val="222222"/>
          <w:szCs w:val="24"/>
        </w:rPr>
        <w:t>5</w:t>
      </w:r>
      <w:r>
        <w:rPr>
          <w:rFonts w:eastAsia="TimesNewRoman" w:cs="Times New Roman"/>
          <w:color w:val="222222"/>
          <w:szCs w:val="24"/>
        </w:rPr>
        <w:t>(1), 37-62.</w:t>
      </w:r>
    </w:p>
    <w:p w14:paraId="370616C9" w14:textId="77777777" w:rsidR="009F33CD" w:rsidRDefault="00E40740" w:rsidP="005163BD">
      <w:pPr>
        <w:ind w:left="720" w:hanging="720"/>
        <w:rPr>
          <w:rFonts w:eastAsia="TimesNewRoman" w:cs="Times New Roman"/>
          <w:color w:val="222222"/>
          <w:szCs w:val="24"/>
        </w:rPr>
      </w:pPr>
      <w:bookmarkStart w:id="1801" w:name="_Hlk174533221"/>
      <w:bookmarkEnd w:id="1800"/>
      <w:r>
        <w:rPr>
          <w:rFonts w:eastAsia="TimesNewRoman" w:cs="Times New Roman"/>
          <w:szCs w:val="24"/>
        </w:rPr>
        <w:t>Arulrajah,</w:t>
      </w:r>
      <w:r>
        <w:rPr>
          <w:rFonts w:eastAsia="TimesNewRoman" w:cs="Times New Roman"/>
          <w:color w:val="222222"/>
          <w:szCs w:val="24"/>
        </w:rPr>
        <w:t xml:space="preserve"> A., Opatha, H. D. N., &amp; Nawaratne, N. J. (2016). Green Employee Performance; </w:t>
      </w:r>
      <w:r>
        <w:rPr>
          <w:rFonts w:eastAsia="TimesNewRoman" w:cs="Times New Roman"/>
          <w:i/>
          <w:color w:val="222222"/>
          <w:szCs w:val="24"/>
        </w:rPr>
        <w:t>A systematic Attempt towards Measurement</w:t>
      </w:r>
      <w:r>
        <w:rPr>
          <w:rFonts w:eastAsia="TimesNewRoman" w:cs="Times New Roman"/>
          <w:color w:val="222222"/>
          <w:szCs w:val="24"/>
        </w:rPr>
        <w:t xml:space="preserve">: </w:t>
      </w:r>
      <w:r>
        <w:rPr>
          <w:rFonts w:eastAsia="TimesNewRoman" w:cs="Times New Roman"/>
          <w:i/>
          <w:iCs/>
          <w:color w:val="222222"/>
          <w:szCs w:val="24"/>
        </w:rPr>
        <w:t>Sri Lankan Journal of Human Resource Management</w:t>
      </w:r>
      <w:r>
        <w:rPr>
          <w:rFonts w:eastAsia="TimesNewRoman" w:cs="Times New Roman"/>
          <w:color w:val="222222"/>
          <w:szCs w:val="24"/>
        </w:rPr>
        <w:t xml:space="preserve">, </w:t>
      </w:r>
      <w:r>
        <w:rPr>
          <w:rFonts w:eastAsia="TimesNewRoman" w:cs="Times New Roman"/>
          <w:i/>
          <w:color w:val="222222"/>
          <w:szCs w:val="24"/>
        </w:rPr>
        <w:t>6</w:t>
      </w:r>
      <w:r>
        <w:rPr>
          <w:rFonts w:eastAsia="TimesNewRoman" w:cs="Times New Roman"/>
          <w:color w:val="222222"/>
          <w:szCs w:val="24"/>
        </w:rPr>
        <w:t>(1), 37-62.</w:t>
      </w:r>
    </w:p>
    <w:p w14:paraId="7FA4DD74" w14:textId="77777777" w:rsidR="009F33CD" w:rsidRDefault="00E40740" w:rsidP="005163BD">
      <w:pPr>
        <w:ind w:left="720" w:hanging="720"/>
        <w:rPr>
          <w:rFonts w:eastAsia="Times New Roman" w:cs="Times New Roman"/>
          <w:szCs w:val="24"/>
        </w:rPr>
      </w:pPr>
      <w:bookmarkStart w:id="1802" w:name="_Hlk176682169"/>
      <w:bookmarkStart w:id="1803" w:name="_Hlk176689403"/>
      <w:bookmarkEnd w:id="1801"/>
      <w:r w:rsidRPr="00032D3E">
        <w:rPr>
          <w:rFonts w:eastAsia="Times New Roman" w:cs="Times New Roman"/>
          <w:szCs w:val="24"/>
          <w:lang w:val="it-IT"/>
        </w:rPr>
        <w:t xml:space="preserve">Atmojo, J. T., Sudaryanto, W. T., Widiyanto, A., Ernawati, &amp; Arrandini, D. (2020). </w:t>
      </w:r>
      <w:r>
        <w:rPr>
          <w:rFonts w:eastAsia="Times New Roman" w:cs="Times New Roman"/>
          <w:szCs w:val="24"/>
        </w:rPr>
        <w:t xml:space="preserve">Telemedicine, Cost-Effectiveness, and Patients' Satisfaction: A Systematic Review. </w:t>
      </w:r>
      <w:r>
        <w:rPr>
          <w:rFonts w:eastAsia="Times New Roman" w:cs="Times New Roman"/>
          <w:i/>
          <w:iCs/>
          <w:szCs w:val="24"/>
        </w:rPr>
        <w:t>Journal of Health Policy Management, 5</w:t>
      </w:r>
      <w:r>
        <w:rPr>
          <w:rFonts w:eastAsia="Times New Roman" w:cs="Times New Roman"/>
          <w:szCs w:val="24"/>
        </w:rPr>
        <w:t>(2), 103-107.</w:t>
      </w:r>
      <w:bookmarkEnd w:id="1802"/>
      <w:bookmarkEnd w:id="1803"/>
    </w:p>
    <w:p w14:paraId="72D0B36F" w14:textId="77777777" w:rsidR="009F33CD" w:rsidRDefault="00E40740" w:rsidP="005163BD">
      <w:pPr>
        <w:ind w:left="720" w:hanging="720"/>
        <w:rPr>
          <w:rFonts w:eastAsia="Times New Roman" w:cs="Times New Roman"/>
          <w:szCs w:val="24"/>
        </w:rPr>
      </w:pPr>
      <w:r>
        <w:rPr>
          <w:rFonts w:eastAsia="SimSun" w:cs="Times New Roman"/>
          <w:bCs/>
        </w:rPr>
        <w:lastRenderedPageBreak/>
        <w:t xml:space="preserve">Ayman, A., Farheen, N., &amp; Ildikó, R. (2021). Impact of Green Human Resources Practices on Green Work Engagement in the Renewable Energy Departments, </w:t>
      </w:r>
      <w:r>
        <w:rPr>
          <w:rFonts w:eastAsia="SimSun" w:cs="Times New Roman"/>
          <w:bCs/>
          <w:i/>
        </w:rPr>
        <w:t>Published by Canadian Center of Science and Education, International Business Research</w:t>
      </w:r>
      <w:r>
        <w:rPr>
          <w:rFonts w:eastAsia="SimSun" w:cs="Times New Roman"/>
          <w:bCs/>
        </w:rPr>
        <w:t xml:space="preserve">, </w:t>
      </w:r>
      <w:r>
        <w:rPr>
          <w:rFonts w:eastAsia="SimSun" w:cs="Times New Roman"/>
          <w:bCs/>
          <w:i/>
        </w:rPr>
        <w:t>14</w:t>
      </w:r>
      <w:r>
        <w:rPr>
          <w:rFonts w:eastAsia="SimSun" w:cs="Times New Roman"/>
          <w:bCs/>
        </w:rPr>
        <w:t xml:space="preserve"> (6).</w:t>
      </w:r>
    </w:p>
    <w:p w14:paraId="4B8092BF" w14:textId="77777777" w:rsidR="009F33CD" w:rsidRDefault="00E40740" w:rsidP="005163BD">
      <w:pPr>
        <w:ind w:left="720" w:hanging="720"/>
      </w:pPr>
      <w:r w:rsidRPr="001B7BDB">
        <w:rPr>
          <w:lang w:val="it-IT"/>
        </w:rPr>
        <w:t xml:space="preserve">Banda, S., Nkungula, N., Chiumia, I. K., Rylance, J., &amp; Limbani, F. (2023). </w:t>
      </w:r>
      <w:r>
        <w:t xml:space="preserve">Tools for Measuring Client Experiences and Satisfaction with Healthcare in low- and middle-income countries: A Systematic Review of Measurement Properties. </w:t>
      </w:r>
      <w:r>
        <w:rPr>
          <w:i/>
          <w:iCs/>
        </w:rPr>
        <w:t>BMC Health Services Research</w:t>
      </w:r>
      <w:r>
        <w:t xml:space="preserve">, </w:t>
      </w:r>
      <w:r>
        <w:rPr>
          <w:i/>
        </w:rPr>
        <w:t>23</w:t>
      </w:r>
      <w:r>
        <w:t>, 133.</w:t>
      </w:r>
    </w:p>
    <w:p w14:paraId="1E8A991B" w14:textId="77777777" w:rsidR="009F33CD" w:rsidRDefault="00E40740" w:rsidP="005163BD">
      <w:pPr>
        <w:ind w:left="720" w:hanging="720"/>
        <w:rPr>
          <w:rFonts w:eastAsia="Times New Roman" w:cs="Times New Roman"/>
          <w:szCs w:val="24"/>
        </w:rPr>
      </w:pPr>
      <w:r>
        <w:rPr>
          <w:rFonts w:eastAsia="Times New Roman" w:cs="Times New Roman"/>
          <w:szCs w:val="24"/>
        </w:rPr>
        <w:t xml:space="preserve">Barasa, E.W., Manyara, A.M., Molyneux, S., &amp; Tsofa, B. (2017). Recentralization within decentralization: County hospital autonomy under devolution in Kenya. </w:t>
      </w:r>
    </w:p>
    <w:p w14:paraId="462073FB" w14:textId="77777777" w:rsidR="009F33CD" w:rsidRDefault="00E40740" w:rsidP="005163BD">
      <w:pPr>
        <w:ind w:left="720" w:hanging="720"/>
        <w:rPr>
          <w:rFonts w:eastAsia="SimSun" w:cs="Times New Roman"/>
          <w:bCs/>
        </w:rPr>
      </w:pPr>
      <w:r>
        <w:t xml:space="preserve">Bechtel, M.M., Bernauer, T., &amp; Meyer, R. (2012). The Green Side of Protectionism: Environmental Concerns and Three Facets of Trade Policy Preferences, </w:t>
      </w:r>
      <w:r>
        <w:rPr>
          <w:i/>
          <w:iCs/>
        </w:rPr>
        <w:t xml:space="preserve">Review of International Political Economy, </w:t>
      </w:r>
      <w:r>
        <w:rPr>
          <w:i/>
        </w:rPr>
        <w:t>19</w:t>
      </w:r>
      <w:r>
        <w:t>(5), 837-866.</w:t>
      </w:r>
    </w:p>
    <w:p w14:paraId="660E2F7C" w14:textId="77777777" w:rsidR="009F33CD" w:rsidRDefault="00E40740" w:rsidP="005163BD">
      <w:pPr>
        <w:autoSpaceDE/>
        <w:autoSpaceDN/>
        <w:adjustRightInd/>
        <w:ind w:left="720" w:hanging="720"/>
        <w:rPr>
          <w:rFonts w:eastAsia="SimSun" w:cs="Times New Roman"/>
          <w:bCs/>
        </w:rPr>
      </w:pPr>
      <w:bookmarkStart w:id="1804" w:name="_Hlk174042129"/>
      <w:r>
        <w:rPr>
          <w:rFonts w:eastAsia="SimSun" w:cs="Times New Roman"/>
          <w:bCs/>
        </w:rPr>
        <w:t>Bhatnagar, J., &amp; Aggarwal, P. (2020). Meaningful Work as a Mediator Between Perceived Organizational Support for Environment and Employee Eco-Initiatives, Psychological Capital and Alienation. </w:t>
      </w:r>
      <w:r>
        <w:rPr>
          <w:rFonts w:eastAsia="SimSun" w:cs="Times New Roman"/>
          <w:bCs/>
          <w:i/>
          <w:iCs/>
        </w:rPr>
        <w:t>Employee Relations: The International Journal</w:t>
      </w:r>
      <w:r>
        <w:rPr>
          <w:rFonts w:eastAsia="SimSun" w:cs="Times New Roman"/>
          <w:bCs/>
        </w:rPr>
        <w:t>, </w:t>
      </w:r>
      <w:r>
        <w:rPr>
          <w:rFonts w:eastAsia="SimSun" w:cs="Times New Roman"/>
          <w:bCs/>
          <w:i/>
          <w:iCs/>
        </w:rPr>
        <w:t>42</w:t>
      </w:r>
      <w:r>
        <w:rPr>
          <w:rFonts w:eastAsia="SimSun" w:cs="Times New Roman"/>
          <w:bCs/>
        </w:rPr>
        <w:t>(6), 1487-1511.</w:t>
      </w:r>
    </w:p>
    <w:p w14:paraId="494096F1" w14:textId="77777777" w:rsidR="009F33CD" w:rsidRDefault="00E40740" w:rsidP="005163BD">
      <w:pPr>
        <w:ind w:left="720" w:hanging="720"/>
        <w:rPr>
          <w:rFonts w:cs="Times New Roman"/>
          <w:color w:val="000000"/>
          <w:szCs w:val="24"/>
        </w:rPr>
      </w:pPr>
      <w:bookmarkStart w:id="1805" w:name="_Hlk174515158"/>
      <w:r>
        <w:rPr>
          <w:rFonts w:cs="Times New Roman"/>
          <w:color w:val="000000"/>
          <w:szCs w:val="24"/>
        </w:rPr>
        <w:t xml:space="preserve">Bhutto, A., &amp; Auranzeb (2016). Effect of GHRM on Performance of Firms in Pakistani: </w:t>
      </w:r>
      <w:r>
        <w:rPr>
          <w:rFonts w:cs="Times New Roman"/>
          <w:i/>
          <w:color w:val="000000"/>
          <w:szCs w:val="24"/>
        </w:rPr>
        <w:t>European Journal of Business and Management,</w:t>
      </w:r>
      <w:r>
        <w:rPr>
          <w:rFonts w:cs="Times New Roman"/>
          <w:color w:val="000000"/>
          <w:szCs w:val="24"/>
        </w:rPr>
        <w:t xml:space="preserve"> </w:t>
      </w:r>
      <w:r>
        <w:rPr>
          <w:rFonts w:cs="Times New Roman"/>
          <w:i/>
          <w:color w:val="000000"/>
          <w:szCs w:val="24"/>
        </w:rPr>
        <w:t>16</w:t>
      </w:r>
      <w:r>
        <w:rPr>
          <w:rFonts w:cs="Times New Roman"/>
          <w:color w:val="000000"/>
          <w:szCs w:val="24"/>
        </w:rPr>
        <w:t>(8), 119-125.</w:t>
      </w:r>
    </w:p>
    <w:p w14:paraId="4DEB6ECC" w14:textId="77777777" w:rsidR="009F33CD" w:rsidRDefault="00E40740" w:rsidP="005163BD">
      <w:pPr>
        <w:ind w:left="720" w:hanging="720"/>
        <w:rPr>
          <w:rFonts w:cs="Times New Roman"/>
          <w:color w:val="000000"/>
          <w:szCs w:val="24"/>
        </w:rPr>
      </w:pPr>
      <w:bookmarkStart w:id="1806" w:name="_Hlk177381028"/>
      <w:bookmarkEnd w:id="1805"/>
      <w:r>
        <w:rPr>
          <w:rFonts w:cs="Times New Roman"/>
          <w:color w:val="000000"/>
          <w:szCs w:val="24"/>
        </w:rPr>
        <w:t xml:space="preserve">Bouzid, J., Jaouhar, S., Zaid, A., Bouhlou, L., &amp; Chahlaoui, A. (2021). Evaluation of the Bacteriological and Physicochemical Risk of Hospital Effluents: Case of the Mohamed V Hospital in Meknes. </w:t>
      </w:r>
      <w:r>
        <w:rPr>
          <w:rFonts w:cs="Times New Roman"/>
          <w:i/>
          <w:iCs/>
          <w:color w:val="000000"/>
          <w:szCs w:val="24"/>
        </w:rPr>
        <w:t>E3S Web of Conferences,</w:t>
      </w:r>
      <w:r>
        <w:rPr>
          <w:rFonts w:cs="Times New Roman"/>
          <w:color w:val="000000"/>
          <w:szCs w:val="24"/>
        </w:rPr>
        <w:t> </w:t>
      </w:r>
      <w:r>
        <w:rPr>
          <w:rFonts w:cs="Times New Roman"/>
          <w:i/>
          <w:iCs/>
          <w:color w:val="000000"/>
          <w:szCs w:val="24"/>
        </w:rPr>
        <w:t>319,</w:t>
      </w:r>
      <w:r>
        <w:rPr>
          <w:rFonts w:cs="Times New Roman"/>
          <w:color w:val="000000"/>
          <w:szCs w:val="24"/>
        </w:rPr>
        <w:t> 01105.</w:t>
      </w:r>
    </w:p>
    <w:bookmarkEnd w:id="1804"/>
    <w:bookmarkEnd w:id="1806"/>
    <w:p w14:paraId="5C065A61" w14:textId="77777777" w:rsidR="009F33CD" w:rsidRPr="001B7BDB" w:rsidRDefault="00E40740" w:rsidP="005163BD">
      <w:pPr>
        <w:ind w:left="720" w:hanging="720"/>
        <w:rPr>
          <w:rFonts w:cs="Times New Roman"/>
          <w:color w:val="000000"/>
          <w:szCs w:val="24"/>
          <w:lang w:val="it-IT"/>
        </w:rPr>
      </w:pPr>
      <w:r>
        <w:rPr>
          <w:rFonts w:cs="Times New Roman"/>
          <w:color w:val="000000"/>
          <w:szCs w:val="24"/>
        </w:rPr>
        <w:t xml:space="preserve">Boxall, P., &amp; Purcell, J. (2003). Strategy and Human Resource Management. </w:t>
      </w:r>
      <w:r w:rsidRPr="001B7BDB">
        <w:rPr>
          <w:rFonts w:cs="Times New Roman"/>
          <w:color w:val="000000"/>
          <w:szCs w:val="24"/>
          <w:lang w:val="it-IT"/>
        </w:rPr>
        <w:t>London, Palgrave Macmillan.</w:t>
      </w:r>
    </w:p>
    <w:p w14:paraId="7AC62602" w14:textId="77777777" w:rsidR="009F33CD" w:rsidRDefault="00E40740" w:rsidP="005163BD">
      <w:pPr>
        <w:ind w:left="705" w:hanging="720"/>
      </w:pPr>
      <w:r w:rsidRPr="001B7BDB">
        <w:rPr>
          <w:lang w:val="it-IT"/>
        </w:rPr>
        <w:t xml:space="preserve">Caffaro, F., Cremasco, M. M., Bagagiolo, G., Vigoroso, L., &amp; Cavallo, E. (2018). </w:t>
      </w:r>
      <w:r>
        <w:t xml:space="preserve">Effectiveness of Occupational Safety and Health Training for Migrant Farmworkers: A Scoping Review. </w:t>
      </w:r>
      <w:r>
        <w:rPr>
          <w:i/>
        </w:rPr>
        <w:t>Public Health</w:t>
      </w:r>
      <w:r>
        <w:t xml:space="preserve">, </w:t>
      </w:r>
      <w:r>
        <w:rPr>
          <w:i/>
        </w:rPr>
        <w:t>160</w:t>
      </w:r>
      <w:r>
        <w:t xml:space="preserve">, 10-17. </w:t>
      </w:r>
    </w:p>
    <w:p w14:paraId="1EAD14B6" w14:textId="77777777" w:rsidR="009F33CD" w:rsidRDefault="00E40740" w:rsidP="005163BD">
      <w:pPr>
        <w:ind w:left="705" w:hanging="720"/>
      </w:pPr>
      <w:r>
        <w:lastRenderedPageBreak/>
        <w:t xml:space="preserve">Dadzie, E., Salisu, A. M., Janusz, D., Akiyode, O., Marshall, P., Phanouvong, S., Kawie, A., Bekele, H., Tembo, M., Teklemariam, S., Elmusharaf, M., Cohen, S., Mesfin, Y., Loembé, M. M., &amp; Wabinga, H. (2025). (Un)Sustainable Science: Greening Practices in Research, Clinical Microbiology, and Veterinary Laboratories Locally and Globally. </w:t>
      </w:r>
      <w:r>
        <w:rPr>
          <w:i/>
          <w:iCs/>
        </w:rPr>
        <w:t>Open Forum Infectious Diseases, 12</w:t>
      </w:r>
      <w:r>
        <w:t>(2).</w:t>
      </w:r>
    </w:p>
    <w:p w14:paraId="710058DD" w14:textId="77777777" w:rsidR="009F33CD" w:rsidRDefault="00E40740" w:rsidP="005163BD">
      <w:pPr>
        <w:ind w:left="705" w:hanging="720"/>
      </w:pPr>
      <w:r>
        <w:rPr>
          <w:rFonts w:eastAsia="Times New Roman" w:cs="Times New Roman"/>
          <w:szCs w:val="24"/>
        </w:rPr>
        <w:t xml:space="preserve">Carmona-Moreno, E., Cespedes-Lorente, J., &amp; Martínez-del-Río, J. (2012). Environmental Human Resource Management and Competitive Advantage. </w:t>
      </w:r>
      <w:r>
        <w:rPr>
          <w:rFonts w:eastAsia="Times New Roman" w:cs="Times New Roman"/>
          <w:i/>
          <w:iCs/>
          <w:szCs w:val="24"/>
        </w:rPr>
        <w:t>Management Research: Journal of the Iberoamerican Academy of Management, 10</w:t>
      </w:r>
      <w:r>
        <w:rPr>
          <w:rFonts w:eastAsia="Times New Roman" w:cs="Times New Roman"/>
          <w:szCs w:val="24"/>
        </w:rPr>
        <w:t>(2), 125-142.</w:t>
      </w:r>
    </w:p>
    <w:p w14:paraId="355E12D1" w14:textId="77777777" w:rsidR="009F33CD" w:rsidRDefault="00E40740" w:rsidP="005163BD">
      <w:pPr>
        <w:ind w:left="705" w:hanging="720"/>
      </w:pPr>
      <w:bookmarkStart w:id="1807" w:name="_Hlk175331155"/>
      <w:r>
        <w:t xml:space="preserve">Carson, </w:t>
      </w:r>
      <w:bookmarkEnd w:id="1807"/>
      <w:r>
        <w:t xml:space="preserve">E., Fenton, L., McLennan, K., Moroney, R., &amp; Roslender, R. (2020). Climate-related Risk Disclosure and Financial Performance:  Impacts and the Role of Assurance. </w:t>
      </w:r>
      <w:r>
        <w:rPr>
          <w:i/>
        </w:rPr>
        <w:t>Accounting, Auditing &amp; Accountability Journal</w:t>
      </w:r>
      <w:r>
        <w:t xml:space="preserve">, </w:t>
      </w:r>
      <w:r>
        <w:rPr>
          <w:i/>
        </w:rPr>
        <w:t>33</w:t>
      </w:r>
      <w:r>
        <w:t>(3), 703–735.</w:t>
      </w:r>
    </w:p>
    <w:p w14:paraId="7504B191" w14:textId="77777777" w:rsidR="009F33CD" w:rsidRDefault="00E40740" w:rsidP="005163BD">
      <w:pPr>
        <w:ind w:left="705" w:hanging="720"/>
      </w:pPr>
      <w:r>
        <w:t xml:space="preserve">Catherine, A.D. (2016). A study on Effectiveness of Green Recruitment Practices Among HR Executives of IT Sector. </w:t>
      </w:r>
      <w:r>
        <w:rPr>
          <w:i/>
          <w:iCs/>
        </w:rPr>
        <w:t>OSR Journal of Business and Management</w:t>
      </w:r>
      <w:r>
        <w:t>, 08-11.</w:t>
      </w:r>
    </w:p>
    <w:p w14:paraId="501CF91E" w14:textId="77777777" w:rsidR="009F33CD" w:rsidRDefault="00E40740" w:rsidP="005163BD">
      <w:pPr>
        <w:ind w:left="720" w:hanging="720"/>
      </w:pPr>
      <w:r>
        <w:t xml:space="preserve">Chaudhary, R. (2020). Green Human Resource Management and Employee Green Behaviour: An Empirical Analysis. </w:t>
      </w:r>
      <w:r>
        <w:rPr>
          <w:i/>
        </w:rPr>
        <w:t>Corporate Social Responsibility and Environmental Management, 27</w:t>
      </w:r>
      <w:r>
        <w:t>(2), 630-641.</w:t>
      </w:r>
    </w:p>
    <w:p w14:paraId="028DCE0B" w14:textId="77777777" w:rsidR="009F33CD" w:rsidRDefault="00E40740" w:rsidP="005163BD">
      <w:pPr>
        <w:ind w:left="720" w:hanging="720"/>
        <w:rPr>
          <w:rFonts w:eastAsia="Times New Roman" w:cs="Times New Roman"/>
          <w:bCs/>
          <w:color w:val="000000" w:themeColor="text1"/>
          <w:szCs w:val="24"/>
        </w:rPr>
      </w:pPr>
      <w:r>
        <w:rPr>
          <w:rFonts w:eastAsia="Times New Roman" w:cs="Times New Roman"/>
          <w:bCs/>
          <w:color w:val="000000" w:themeColor="text1"/>
          <w:szCs w:val="24"/>
        </w:rPr>
        <w:t>Cheema, S., &amp; Javed, F. (2017). The Effects of Corporate Social Responsibility Toward Green Human Resource Management: The Mediating Role of Sustainable Environment. </w:t>
      </w:r>
      <w:r>
        <w:rPr>
          <w:rFonts w:eastAsia="Times New Roman" w:cs="Times New Roman"/>
          <w:bCs/>
          <w:i/>
          <w:iCs/>
          <w:color w:val="000000" w:themeColor="text1"/>
          <w:szCs w:val="24"/>
        </w:rPr>
        <w:t>Cogent Business &amp; Management, 4</w:t>
      </w:r>
      <w:r>
        <w:rPr>
          <w:rFonts w:eastAsia="Times New Roman" w:cs="Times New Roman"/>
          <w:bCs/>
          <w:color w:val="000000" w:themeColor="text1"/>
          <w:szCs w:val="24"/>
        </w:rPr>
        <w:t>(1).</w:t>
      </w:r>
    </w:p>
    <w:p w14:paraId="15261CD1" w14:textId="77777777" w:rsidR="009F33CD" w:rsidRDefault="00E40740" w:rsidP="005163BD">
      <w:pPr>
        <w:ind w:left="720" w:hanging="720"/>
        <w:rPr>
          <w:rFonts w:cs="Times New Roman"/>
          <w:color w:val="231F20"/>
          <w:szCs w:val="24"/>
        </w:rPr>
      </w:pPr>
      <w:r>
        <w:rPr>
          <w:rFonts w:cs="Times New Roman"/>
          <w:color w:val="231F20"/>
          <w:szCs w:val="24"/>
        </w:rPr>
        <w:t>Chen, Y.S., Chang, C.H., &amp; Lin, Y.H. (2014). Green Transformational Leadership and Green Performance: The Mediation Effects of Green Mindfulness and Green Self-Efficacy. </w:t>
      </w:r>
      <w:r>
        <w:rPr>
          <w:rFonts w:cs="Times New Roman"/>
          <w:i/>
          <w:iCs/>
          <w:color w:val="231F20"/>
          <w:szCs w:val="24"/>
        </w:rPr>
        <w:t>Sustainability</w:t>
      </w:r>
      <w:r>
        <w:rPr>
          <w:rFonts w:cs="Times New Roman"/>
          <w:color w:val="231F20"/>
          <w:szCs w:val="24"/>
        </w:rPr>
        <w:t>, </w:t>
      </w:r>
      <w:r>
        <w:rPr>
          <w:rFonts w:cs="Times New Roman"/>
          <w:i/>
          <w:iCs/>
          <w:color w:val="231F20"/>
          <w:szCs w:val="24"/>
        </w:rPr>
        <w:t>6</w:t>
      </w:r>
      <w:r>
        <w:rPr>
          <w:rFonts w:cs="Times New Roman"/>
          <w:color w:val="231F20"/>
          <w:szCs w:val="24"/>
        </w:rPr>
        <w:t>(10), 6604–6621.</w:t>
      </w:r>
    </w:p>
    <w:p w14:paraId="722C46D5" w14:textId="77777777" w:rsidR="009F33CD" w:rsidRDefault="00E40740" w:rsidP="005163BD">
      <w:pPr>
        <w:ind w:left="705" w:hanging="720"/>
        <w:rPr>
          <w:i/>
          <w:iCs/>
          <w:szCs w:val="24"/>
        </w:rPr>
      </w:pPr>
      <w:r>
        <w:rPr>
          <w:szCs w:val="24"/>
        </w:rPr>
        <w:t xml:space="preserve">Cherian, P., &amp; Jacob, J. (2012). A study of Green HR Practices and its Effective Implementation in the Organization: A review. </w:t>
      </w:r>
      <w:r>
        <w:rPr>
          <w:i/>
          <w:iCs/>
          <w:szCs w:val="24"/>
        </w:rPr>
        <w:t xml:space="preserve">International Journal of Business and Management, 7(21), 25–33. </w:t>
      </w:r>
    </w:p>
    <w:p w14:paraId="27A6401B" w14:textId="77777777" w:rsidR="009F33CD" w:rsidRDefault="00E40740" w:rsidP="005163BD">
      <w:pPr>
        <w:ind w:left="720" w:hanging="720"/>
      </w:pPr>
      <w:r>
        <w:lastRenderedPageBreak/>
        <w:t>Chuah, S. C., Mohd, I. H., Kamaruddin, J. N. B., &amp; Md Noh, N. (2021). Impact of Green Human Resource Management Practices Towards Green Lifestyle and Job Performance. </w:t>
      </w:r>
      <w:r>
        <w:rPr>
          <w:i/>
          <w:iCs/>
        </w:rPr>
        <w:t>Global Business &amp; Management Research</w:t>
      </w:r>
      <w:r>
        <w:t>, </w:t>
      </w:r>
      <w:r>
        <w:rPr>
          <w:i/>
          <w:iCs/>
        </w:rPr>
        <w:t>13</w:t>
      </w:r>
      <w:r>
        <w:t>(4).</w:t>
      </w:r>
    </w:p>
    <w:p w14:paraId="2FF626D9" w14:textId="77777777" w:rsidR="009F33CD" w:rsidRDefault="00E40740" w:rsidP="005163BD">
      <w:pPr>
        <w:autoSpaceDE/>
        <w:autoSpaceDN/>
        <w:adjustRightInd/>
        <w:ind w:left="720" w:hanging="720"/>
        <w:rPr>
          <w:rFonts w:eastAsia="Times New Roman" w:cs="Times New Roman"/>
          <w:bCs/>
          <w:iCs/>
          <w:szCs w:val="24"/>
        </w:rPr>
      </w:pPr>
      <w:r>
        <w:rPr>
          <w:rFonts w:eastAsia="Times New Roman" w:cs="Times New Roman"/>
          <w:bCs/>
          <w:iCs/>
          <w:szCs w:val="24"/>
        </w:rPr>
        <w:t xml:space="preserve">Cooper, D. R., &amp; Schindler, P. S. (2013). </w:t>
      </w:r>
      <w:r>
        <w:rPr>
          <w:rFonts w:eastAsia="Times New Roman" w:cs="Times New Roman"/>
          <w:bCs/>
          <w:i/>
          <w:iCs/>
          <w:szCs w:val="24"/>
        </w:rPr>
        <w:t>Business Research Methods</w:t>
      </w:r>
      <w:r>
        <w:rPr>
          <w:rFonts w:eastAsia="Times New Roman" w:cs="Times New Roman"/>
          <w:bCs/>
          <w:iCs/>
          <w:szCs w:val="24"/>
        </w:rPr>
        <w:t>. (12</w:t>
      </w:r>
      <w:r>
        <w:rPr>
          <w:rFonts w:eastAsia="Times New Roman" w:cs="Times New Roman"/>
          <w:bCs/>
          <w:iCs/>
          <w:szCs w:val="24"/>
          <w:vertAlign w:val="superscript"/>
        </w:rPr>
        <w:t>th</w:t>
      </w:r>
      <w:r>
        <w:rPr>
          <w:rFonts w:eastAsia="Times New Roman" w:cs="Times New Roman"/>
          <w:bCs/>
          <w:iCs/>
          <w:szCs w:val="24"/>
        </w:rPr>
        <w:t xml:space="preserve"> ed). Irvin: McGraw-Hill.</w:t>
      </w:r>
    </w:p>
    <w:p w14:paraId="113D20E9" w14:textId="77777777" w:rsidR="00A94C37" w:rsidRPr="00A94C37" w:rsidRDefault="00A94C37" w:rsidP="005163BD">
      <w:pPr>
        <w:ind w:left="720" w:hanging="720"/>
        <w:rPr>
          <w:rFonts w:eastAsia="Times New Roman" w:cs="Times New Roman"/>
          <w:szCs w:val="24"/>
        </w:rPr>
      </w:pPr>
      <w:r w:rsidRPr="00A94C37">
        <w:rPr>
          <w:rFonts w:eastAsia="Times New Roman" w:cs="Times New Roman"/>
          <w:szCs w:val="24"/>
        </w:rPr>
        <w:t xml:space="preserve">Creswell, J. W., &amp; Creswell, J. D. (2023). Research </w:t>
      </w:r>
      <w:r>
        <w:rPr>
          <w:rFonts w:eastAsia="Times New Roman" w:cs="Times New Roman"/>
          <w:szCs w:val="24"/>
        </w:rPr>
        <w:t>D</w:t>
      </w:r>
      <w:r w:rsidRPr="00A94C37">
        <w:rPr>
          <w:rFonts w:eastAsia="Times New Roman" w:cs="Times New Roman"/>
          <w:szCs w:val="24"/>
        </w:rPr>
        <w:t xml:space="preserve">esign: Qualitative, </w:t>
      </w:r>
      <w:r>
        <w:rPr>
          <w:rFonts w:eastAsia="Times New Roman" w:cs="Times New Roman"/>
          <w:szCs w:val="24"/>
        </w:rPr>
        <w:t>Q</w:t>
      </w:r>
      <w:r w:rsidRPr="00A94C37">
        <w:rPr>
          <w:rFonts w:eastAsia="Times New Roman" w:cs="Times New Roman"/>
          <w:szCs w:val="24"/>
        </w:rPr>
        <w:t xml:space="preserve">uantitative, and </w:t>
      </w:r>
      <w:r>
        <w:rPr>
          <w:rFonts w:eastAsia="Times New Roman" w:cs="Times New Roman"/>
          <w:szCs w:val="24"/>
        </w:rPr>
        <w:t>M</w:t>
      </w:r>
      <w:r w:rsidRPr="00A94C37">
        <w:rPr>
          <w:rFonts w:eastAsia="Times New Roman" w:cs="Times New Roman"/>
          <w:szCs w:val="24"/>
        </w:rPr>
        <w:t xml:space="preserve">ixed methods </w:t>
      </w:r>
      <w:r>
        <w:rPr>
          <w:rFonts w:eastAsia="Times New Roman" w:cs="Times New Roman"/>
          <w:szCs w:val="24"/>
        </w:rPr>
        <w:t>A</w:t>
      </w:r>
      <w:r w:rsidRPr="00A94C37">
        <w:rPr>
          <w:rFonts w:eastAsia="Times New Roman" w:cs="Times New Roman"/>
          <w:szCs w:val="24"/>
        </w:rPr>
        <w:t>pproaches, 6</w:t>
      </w:r>
      <w:r w:rsidR="0041178B" w:rsidRPr="00A94C37">
        <w:rPr>
          <w:rFonts w:eastAsia="Times New Roman" w:cs="Times New Roman"/>
          <w:szCs w:val="24"/>
          <w:vertAlign w:val="superscript"/>
        </w:rPr>
        <w:t>th</w:t>
      </w:r>
      <w:r w:rsidR="0041178B" w:rsidRPr="00A94C37">
        <w:rPr>
          <w:rFonts w:eastAsia="Times New Roman" w:cs="Times New Roman"/>
          <w:szCs w:val="24"/>
        </w:rPr>
        <w:t xml:space="preserve"> edition</w:t>
      </w:r>
      <w:r w:rsidRPr="00A94C37">
        <w:rPr>
          <w:rFonts w:eastAsia="Times New Roman" w:cs="Times New Roman"/>
          <w:szCs w:val="24"/>
        </w:rPr>
        <w:t>, SAGE Publications.</w:t>
      </w:r>
    </w:p>
    <w:p w14:paraId="71244875"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Daily, B., Bishop, J., &amp; Massoud, J. (2012). Role of Training and Empowerment on Environmental Performance in the Mexican </w:t>
      </w:r>
      <w:r>
        <w:rPr>
          <w:rFonts w:eastAsia="Times New Roman" w:cs="Times New Roman"/>
          <w:bCs/>
          <w:iCs/>
          <w:szCs w:val="24"/>
        </w:rPr>
        <w:t xml:space="preserve">maquiladora </w:t>
      </w:r>
      <w:r>
        <w:rPr>
          <w:rFonts w:eastAsia="Times New Roman" w:cs="Times New Roman"/>
          <w:bCs/>
          <w:szCs w:val="24"/>
        </w:rPr>
        <w:t xml:space="preserve">industry: </w:t>
      </w:r>
      <w:r>
        <w:rPr>
          <w:rFonts w:eastAsia="Times New Roman" w:cs="Times New Roman"/>
          <w:bCs/>
          <w:i/>
          <w:iCs/>
          <w:szCs w:val="24"/>
        </w:rPr>
        <w:t>International Journal of Operations and Production Management,</w:t>
      </w:r>
      <w:r>
        <w:rPr>
          <w:rFonts w:eastAsia="Times New Roman" w:cs="Times New Roman"/>
          <w:bCs/>
          <w:szCs w:val="24"/>
        </w:rPr>
        <w:t xml:space="preserve"> </w:t>
      </w:r>
      <w:r>
        <w:rPr>
          <w:rFonts w:eastAsia="Times New Roman" w:cs="Times New Roman"/>
          <w:bCs/>
          <w:i/>
          <w:szCs w:val="24"/>
        </w:rPr>
        <w:t>32</w:t>
      </w:r>
      <w:r>
        <w:rPr>
          <w:rFonts w:eastAsia="Times New Roman" w:cs="Times New Roman"/>
          <w:bCs/>
          <w:szCs w:val="24"/>
        </w:rPr>
        <w:t>(5), 631-647.</w:t>
      </w:r>
    </w:p>
    <w:p w14:paraId="17FCAB17"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Daily, B., Bishop. J., &amp; Steiner, R. (2009). The Mediating Role of Environmental Management System and Teamwork on HR Factors and Environmental Performance: </w:t>
      </w:r>
      <w:r>
        <w:rPr>
          <w:rFonts w:eastAsia="Times New Roman" w:cs="Times New Roman"/>
          <w:bCs/>
          <w:i/>
          <w:iCs/>
          <w:szCs w:val="24"/>
        </w:rPr>
        <w:t xml:space="preserve">Journal of Applied Business Research, </w:t>
      </w:r>
      <w:r>
        <w:rPr>
          <w:rFonts w:eastAsia="Times New Roman" w:cs="Times New Roman"/>
          <w:bCs/>
          <w:i/>
          <w:szCs w:val="24"/>
        </w:rPr>
        <w:t>23</w:t>
      </w:r>
      <w:r>
        <w:rPr>
          <w:rFonts w:eastAsia="Times New Roman" w:cs="Times New Roman"/>
          <w:bCs/>
          <w:szCs w:val="24"/>
        </w:rPr>
        <w:t>(1), 95-110.</w:t>
      </w:r>
    </w:p>
    <w:p w14:paraId="533C4B20" w14:textId="77777777" w:rsidR="009F33CD" w:rsidRDefault="00E40740" w:rsidP="005163BD">
      <w:pPr>
        <w:ind w:left="720" w:hanging="720"/>
        <w:rPr>
          <w:rFonts w:eastAsia="Times New Roman" w:cs="Times New Roman"/>
          <w:szCs w:val="24"/>
        </w:rPr>
      </w:pPr>
      <w:r>
        <w:rPr>
          <w:rFonts w:eastAsia="Times New Roman" w:cs="Times New Roman"/>
          <w:szCs w:val="24"/>
        </w:rPr>
        <w:t xml:space="preserve">Danilwan, Y., Isnaini, D. B. Y., Pratama, I., &amp; Dirhamsyah, D. (2020). Inducing organizational citizenship behaviour through green human resource management bundle: drawing implications for environmentally sustainable performance. A case </w:t>
      </w:r>
      <w:r w:rsidR="0041178B">
        <w:rPr>
          <w:rFonts w:eastAsia="Times New Roman" w:cs="Times New Roman"/>
          <w:szCs w:val="24"/>
        </w:rPr>
        <w:t>S</w:t>
      </w:r>
      <w:r>
        <w:rPr>
          <w:rFonts w:eastAsia="Times New Roman" w:cs="Times New Roman"/>
          <w:szCs w:val="24"/>
        </w:rPr>
        <w:t>tudy. </w:t>
      </w:r>
      <w:r>
        <w:rPr>
          <w:rFonts w:eastAsia="Times New Roman" w:cs="Times New Roman"/>
          <w:i/>
          <w:iCs/>
          <w:szCs w:val="24"/>
        </w:rPr>
        <w:t>Journal of Security and Sustainability Issues</w:t>
      </w:r>
      <w:r>
        <w:rPr>
          <w:rFonts w:eastAsia="Times New Roman" w:cs="Times New Roman"/>
          <w:szCs w:val="24"/>
        </w:rPr>
        <w:t xml:space="preserve">, </w:t>
      </w:r>
      <w:r>
        <w:rPr>
          <w:rFonts w:eastAsia="Times New Roman" w:cs="Times New Roman"/>
          <w:i/>
          <w:iCs/>
          <w:szCs w:val="24"/>
        </w:rPr>
        <w:t>10,</w:t>
      </w:r>
      <w:r>
        <w:rPr>
          <w:rFonts w:eastAsia="Times New Roman" w:cs="Times New Roman"/>
          <w:szCs w:val="24"/>
        </w:rPr>
        <w:t xml:space="preserve"> 39-52.</w:t>
      </w:r>
    </w:p>
    <w:p w14:paraId="4B1AE630"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Darvishmotevali, M., &amp; Altinay, L. (2022). Green HRM, Environmental Awareness and Green Behaviours: The Moderating Role of Servant Leadership. </w:t>
      </w:r>
      <w:r>
        <w:rPr>
          <w:rFonts w:eastAsia="Times New Roman" w:cs="Times New Roman"/>
          <w:bCs/>
          <w:i/>
          <w:iCs/>
          <w:szCs w:val="24"/>
        </w:rPr>
        <w:t xml:space="preserve">Tourism Management. </w:t>
      </w:r>
      <w:r>
        <w:rPr>
          <w:rFonts w:eastAsia="Times New Roman" w:cs="Times New Roman"/>
          <w:bCs/>
          <w:i/>
          <w:szCs w:val="24"/>
        </w:rPr>
        <w:t>88</w:t>
      </w:r>
      <w:r>
        <w:rPr>
          <w:rFonts w:eastAsia="Times New Roman" w:cs="Times New Roman"/>
          <w:bCs/>
          <w:szCs w:val="24"/>
        </w:rPr>
        <w:t>, 104401.</w:t>
      </w:r>
    </w:p>
    <w:p w14:paraId="61FD97ED" w14:textId="77777777" w:rsidR="009F33CD" w:rsidRDefault="00E40740" w:rsidP="005163BD">
      <w:pPr>
        <w:ind w:left="720" w:hanging="720"/>
        <w:rPr>
          <w:rFonts w:eastAsia="Times New Roman" w:cs="Times New Roman"/>
          <w:bCs/>
          <w:szCs w:val="24"/>
        </w:rPr>
      </w:pPr>
      <w:r>
        <w:rPr>
          <w:rFonts w:eastAsia="Times New Roman" w:cs="Times New Roman"/>
          <w:bCs/>
          <w:szCs w:val="24"/>
        </w:rPr>
        <w:t>Delery, J.E., &amp; Roumpi, D. (2017). Strategic Human Resource Management, Human Capital and Competitive Advantage: Is the field going in circles? </w:t>
      </w:r>
      <w:r>
        <w:rPr>
          <w:rFonts w:eastAsia="Times New Roman" w:cs="Times New Roman"/>
          <w:bCs/>
          <w:i/>
          <w:iCs/>
          <w:szCs w:val="24"/>
        </w:rPr>
        <w:t>Human Resource Management, Journal</w:t>
      </w:r>
      <w:r>
        <w:rPr>
          <w:rFonts w:eastAsia="Times New Roman" w:cs="Times New Roman"/>
          <w:bCs/>
          <w:szCs w:val="24"/>
        </w:rPr>
        <w:t>, </w:t>
      </w:r>
      <w:r>
        <w:rPr>
          <w:rFonts w:eastAsia="Times New Roman" w:cs="Times New Roman"/>
          <w:bCs/>
          <w:i/>
          <w:iCs/>
          <w:szCs w:val="24"/>
        </w:rPr>
        <w:t>27</w:t>
      </w:r>
      <w:r>
        <w:rPr>
          <w:rFonts w:eastAsia="Times New Roman" w:cs="Times New Roman"/>
          <w:bCs/>
          <w:szCs w:val="24"/>
        </w:rPr>
        <w:t>, 1–21.</w:t>
      </w:r>
    </w:p>
    <w:p w14:paraId="58BA4CCB" w14:textId="77777777" w:rsidR="009F33CD" w:rsidRDefault="00E40740" w:rsidP="005163BD">
      <w:pPr>
        <w:ind w:left="720" w:hanging="720"/>
        <w:rPr>
          <w:rFonts w:eastAsia="Times New Roman" w:cs="Times New Roman"/>
          <w:szCs w:val="24"/>
        </w:rPr>
      </w:pPr>
      <w:r>
        <w:rPr>
          <w:rFonts w:eastAsia="Times New Roman" w:cs="Times New Roman"/>
          <w:szCs w:val="24"/>
        </w:rPr>
        <w:t xml:space="preserve">Everitt, B. S., &amp; Skrondal, A. (2010). </w:t>
      </w:r>
      <w:r>
        <w:rPr>
          <w:rFonts w:eastAsia="Times New Roman" w:cs="Times New Roman"/>
          <w:i/>
          <w:iCs/>
          <w:szCs w:val="24"/>
        </w:rPr>
        <w:t>The Cambridge Dictionary of Statistics</w:t>
      </w:r>
      <w:r>
        <w:rPr>
          <w:rFonts w:eastAsia="Times New Roman" w:cs="Times New Roman"/>
          <w:szCs w:val="24"/>
        </w:rPr>
        <w:t>. Cambridge University Press.</w:t>
      </w:r>
    </w:p>
    <w:p w14:paraId="7E20DE96" w14:textId="77777777" w:rsidR="009F33CD" w:rsidRDefault="00E40740" w:rsidP="005163BD">
      <w:pPr>
        <w:ind w:left="720" w:hanging="720"/>
        <w:rPr>
          <w:rFonts w:eastAsia="Times New Roman" w:cs="Times New Roman"/>
          <w:bCs/>
          <w:szCs w:val="24"/>
        </w:rPr>
      </w:pPr>
      <w:r>
        <w:rPr>
          <w:rFonts w:eastAsia="Times New Roman" w:cs="Times New Roman"/>
          <w:bCs/>
          <w:szCs w:val="24"/>
        </w:rPr>
        <w:lastRenderedPageBreak/>
        <w:t>Field, A. (2013). </w:t>
      </w:r>
      <w:r>
        <w:rPr>
          <w:rFonts w:eastAsia="Times New Roman" w:cs="Times New Roman"/>
          <w:bCs/>
          <w:i/>
          <w:szCs w:val="24"/>
        </w:rPr>
        <w:t>Discovering Statistics Using IBM SPSS Statistics</w:t>
      </w:r>
      <w:r w:rsidR="00562F28">
        <w:rPr>
          <w:rFonts w:eastAsia="Times New Roman" w:cs="Times New Roman"/>
          <w:bCs/>
          <w:szCs w:val="24"/>
        </w:rPr>
        <w:t xml:space="preserve">, </w:t>
      </w:r>
      <w:r>
        <w:rPr>
          <w:rFonts w:eastAsia="Times New Roman" w:cs="Times New Roman"/>
          <w:bCs/>
          <w:szCs w:val="24"/>
        </w:rPr>
        <w:t>4</w:t>
      </w:r>
      <w:r w:rsidR="00562F28" w:rsidRPr="00562F28">
        <w:rPr>
          <w:rFonts w:eastAsia="Times New Roman" w:cs="Times New Roman"/>
          <w:bCs/>
          <w:szCs w:val="24"/>
          <w:vertAlign w:val="superscript"/>
        </w:rPr>
        <w:t>th</w:t>
      </w:r>
      <w:r w:rsidR="00562F28">
        <w:rPr>
          <w:rFonts w:eastAsia="Times New Roman" w:cs="Times New Roman"/>
          <w:bCs/>
          <w:szCs w:val="24"/>
        </w:rPr>
        <w:t xml:space="preserve"> </w:t>
      </w:r>
      <w:r>
        <w:rPr>
          <w:rFonts w:eastAsia="Times New Roman" w:cs="Times New Roman"/>
          <w:bCs/>
          <w:szCs w:val="24"/>
        </w:rPr>
        <w:t>ed</w:t>
      </w:r>
      <w:r w:rsidR="00562F28">
        <w:rPr>
          <w:rFonts w:eastAsia="Times New Roman" w:cs="Times New Roman"/>
          <w:bCs/>
          <w:szCs w:val="24"/>
        </w:rPr>
        <w:t>ition</w:t>
      </w:r>
      <w:r>
        <w:rPr>
          <w:rFonts w:eastAsia="Times New Roman" w:cs="Times New Roman"/>
          <w:bCs/>
          <w:szCs w:val="24"/>
        </w:rPr>
        <w:t>, SAGE Publications.</w:t>
      </w:r>
    </w:p>
    <w:p w14:paraId="4E080E56"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Gastwirth, J. L., &amp; Weiwen Miao, Y. R. (2009). The Impact of Levene’s Test of Equality of Variances on Statistical Theory and Practice. </w:t>
      </w:r>
      <w:r>
        <w:rPr>
          <w:rFonts w:eastAsia="Times New Roman" w:cs="Times New Roman"/>
          <w:bCs/>
          <w:i/>
          <w:szCs w:val="24"/>
        </w:rPr>
        <w:t>Statistical Science</w:t>
      </w:r>
      <w:r>
        <w:rPr>
          <w:rFonts w:eastAsia="Times New Roman" w:cs="Times New Roman"/>
          <w:bCs/>
          <w:szCs w:val="24"/>
        </w:rPr>
        <w:t xml:space="preserve">, </w:t>
      </w:r>
      <w:r>
        <w:rPr>
          <w:rFonts w:eastAsia="Times New Roman" w:cs="Times New Roman"/>
          <w:bCs/>
          <w:i/>
          <w:szCs w:val="24"/>
        </w:rPr>
        <w:t>24</w:t>
      </w:r>
      <w:r>
        <w:rPr>
          <w:rFonts w:eastAsia="Times New Roman" w:cs="Times New Roman"/>
          <w:bCs/>
          <w:szCs w:val="24"/>
        </w:rPr>
        <w:t>(3), 343-360.</w:t>
      </w:r>
    </w:p>
    <w:p w14:paraId="261ADE2C" w14:textId="77777777" w:rsidR="009F33CD" w:rsidRDefault="00E40740" w:rsidP="005163BD">
      <w:pPr>
        <w:ind w:left="720" w:hanging="720"/>
      </w:pPr>
      <w:r>
        <w:t xml:space="preserve">Gilal, F. G., Ashraf, Z., Gilal, N. G., Gilal, R. G., &amp; Channa, N. A. (2019). Promoting Environmental Performance Through Green Human Resource Management Practices in Higher Education Institutions: A Moderated Mediation Model. </w:t>
      </w:r>
      <w:r>
        <w:rPr>
          <w:i/>
        </w:rPr>
        <w:t>Corporate Social Responsibility and Environmental Management, 26</w:t>
      </w:r>
      <w:r>
        <w:t>(6), 1579–1590.</w:t>
      </w:r>
    </w:p>
    <w:p w14:paraId="6FCA0B28" w14:textId="77777777" w:rsidR="009F33CD" w:rsidRDefault="00E40740" w:rsidP="005163BD">
      <w:pPr>
        <w:ind w:left="720" w:hanging="720"/>
      </w:pPr>
      <w:r>
        <w:t xml:space="preserve">Grant, C., &amp; Osanloo, A. (2014). Understanding, Selecting, and Integrating a Theoretical Framework in Dissertation Research: Creating the Blueprint for ‘House’. </w:t>
      </w:r>
      <w:r>
        <w:rPr>
          <w:i/>
          <w:iCs/>
        </w:rPr>
        <w:t>Administrative Issues Journal</w:t>
      </w:r>
      <w:r>
        <w:rPr>
          <w:i/>
        </w:rPr>
        <w:t>: Connecting Education, Practice and Research</w:t>
      </w:r>
      <w:r>
        <w:t>, 12-22.</w:t>
      </w:r>
    </w:p>
    <w:p w14:paraId="351B012E" w14:textId="77777777" w:rsidR="009F33CD" w:rsidRDefault="00E40740" w:rsidP="005163BD">
      <w:pPr>
        <w:ind w:left="720" w:hanging="720"/>
      </w:pPr>
      <w:r>
        <w:t xml:space="preserve">Guerci, M., Longoni, A., &amp; Luzzini, D. (2016). Translating Stakeholder Pressures into Environmental Performance: The Mediating Role of Green HRM Practices. </w:t>
      </w:r>
      <w:r>
        <w:rPr>
          <w:i/>
          <w:iCs/>
        </w:rPr>
        <w:t>The International Journal of Human Resource Management, 27</w:t>
      </w:r>
      <w:r>
        <w:t>(2), 262-289.</w:t>
      </w:r>
    </w:p>
    <w:p w14:paraId="68092118" w14:textId="77777777" w:rsidR="009F33CD" w:rsidRDefault="00E40740" w:rsidP="005163BD">
      <w:pPr>
        <w:ind w:left="720" w:hanging="720"/>
        <w:rPr>
          <w:rFonts w:eastAsia="TimesNewRoman" w:cs="Times New Roman"/>
          <w:szCs w:val="24"/>
        </w:rPr>
      </w:pPr>
      <w:r>
        <w:rPr>
          <w:rFonts w:eastAsia="TimesNewRoman" w:cs="Times New Roman"/>
          <w:szCs w:val="24"/>
        </w:rPr>
        <w:t xml:space="preserve">Guerci, M., Scapolan, A., Montanari, F., &amp; Epifanio, A. (2016).  Green and Non-Green Recruitment Practices on Attraction of Job Applicants: </w:t>
      </w:r>
      <w:r>
        <w:rPr>
          <w:rFonts w:eastAsia="TimesNewRoman" w:cs="Times New Roman"/>
          <w:i/>
          <w:iCs/>
          <w:szCs w:val="24"/>
        </w:rPr>
        <w:t>Journal of Human Resource Management</w:t>
      </w:r>
      <w:r>
        <w:rPr>
          <w:rFonts w:eastAsia="TimesNewRoman" w:cs="Times New Roman"/>
          <w:szCs w:val="24"/>
        </w:rPr>
        <w:t xml:space="preserve">, </w:t>
      </w:r>
      <w:r>
        <w:rPr>
          <w:rFonts w:eastAsia="TimesNewRoman" w:cs="Times New Roman"/>
          <w:i/>
          <w:iCs/>
          <w:szCs w:val="24"/>
        </w:rPr>
        <w:t>27(</w:t>
      </w:r>
      <w:r>
        <w:rPr>
          <w:rFonts w:eastAsia="TimesNewRoman" w:cs="Times New Roman"/>
          <w:szCs w:val="24"/>
        </w:rPr>
        <w:t>2), 129 -150.</w:t>
      </w:r>
    </w:p>
    <w:p w14:paraId="41477853" w14:textId="77777777" w:rsidR="009F33CD" w:rsidRDefault="00E40740" w:rsidP="005163BD">
      <w:pPr>
        <w:ind w:left="720" w:hanging="720"/>
        <w:rPr>
          <w:rFonts w:cs="Times New Roman"/>
          <w:iCs/>
          <w:szCs w:val="24"/>
        </w:rPr>
      </w:pPr>
      <w:r>
        <w:rPr>
          <w:rFonts w:cs="Times New Roman"/>
          <w:szCs w:val="24"/>
        </w:rPr>
        <w:t xml:space="preserve">Guni, A. (2015). </w:t>
      </w:r>
      <w:r>
        <w:rPr>
          <w:rFonts w:cs="Times New Roman"/>
          <w:iCs/>
          <w:szCs w:val="24"/>
        </w:rPr>
        <w:t xml:space="preserve">Effect of Off-the-job Training on Organizational Productivity with a focus on Christian Medical and Dental Association of Kenya. </w:t>
      </w:r>
      <w:r>
        <w:rPr>
          <w:rFonts w:cs="Times New Roman"/>
          <w:bCs/>
          <w:i/>
          <w:iCs/>
          <w:szCs w:val="24"/>
        </w:rPr>
        <w:t>International Journal on Recent and Innovation Trends in Computing and Communication, 2</w:t>
      </w:r>
      <w:r>
        <w:rPr>
          <w:rFonts w:cs="Times New Roman"/>
          <w:bCs/>
          <w:iCs/>
          <w:szCs w:val="24"/>
        </w:rPr>
        <w:t>(11), 3633 – 3638.</w:t>
      </w:r>
    </w:p>
    <w:p w14:paraId="6DDFE37D" w14:textId="77777777" w:rsidR="009F33CD" w:rsidRDefault="00E40740" w:rsidP="005163BD">
      <w:pPr>
        <w:ind w:left="720" w:hanging="720"/>
        <w:rPr>
          <w:rFonts w:eastAsia="TimesNewRoman" w:cs="Times New Roman"/>
          <w:szCs w:val="24"/>
        </w:rPr>
      </w:pPr>
      <w:r>
        <w:rPr>
          <w:rFonts w:cs="Times New Roman"/>
          <w:szCs w:val="24"/>
        </w:rPr>
        <w:t>Gupta, H. (2018). Assessing Organizations Performance on the Basis of GHRM Practices Using BWM</w:t>
      </w:r>
      <w:r>
        <w:rPr>
          <w:rFonts w:eastAsia="TimesNewRoman" w:cs="Times New Roman"/>
          <w:szCs w:val="24"/>
        </w:rPr>
        <w:t xml:space="preserve"> </w:t>
      </w:r>
      <w:r>
        <w:rPr>
          <w:rFonts w:cs="Times New Roman"/>
          <w:szCs w:val="24"/>
        </w:rPr>
        <w:t xml:space="preserve">and Fuzzy TOPSIS, </w:t>
      </w:r>
      <w:r>
        <w:rPr>
          <w:rFonts w:cs="Times New Roman"/>
          <w:i/>
          <w:szCs w:val="24"/>
        </w:rPr>
        <w:t>Journal of Environmental Management</w:t>
      </w:r>
      <w:r>
        <w:rPr>
          <w:rFonts w:cs="Times New Roman"/>
          <w:szCs w:val="24"/>
        </w:rPr>
        <w:t xml:space="preserve">, </w:t>
      </w:r>
      <w:r>
        <w:rPr>
          <w:rFonts w:cs="Times New Roman"/>
          <w:i/>
          <w:szCs w:val="24"/>
        </w:rPr>
        <w:t>226</w:t>
      </w:r>
      <w:r>
        <w:rPr>
          <w:rFonts w:cs="Times New Roman"/>
          <w:szCs w:val="24"/>
        </w:rPr>
        <w:t>, 201-216.</w:t>
      </w:r>
    </w:p>
    <w:p w14:paraId="41271C5C" w14:textId="77777777" w:rsidR="009F33CD" w:rsidRDefault="00E40740" w:rsidP="005163BD">
      <w:pPr>
        <w:autoSpaceDE/>
        <w:autoSpaceDN/>
        <w:adjustRightInd/>
        <w:ind w:left="720" w:hanging="720"/>
        <w:rPr>
          <w:rFonts w:eastAsia="Times New Roman" w:cs="Times New Roman"/>
          <w:szCs w:val="24"/>
        </w:rPr>
      </w:pPr>
      <w:r>
        <w:rPr>
          <w:rFonts w:eastAsia="Times New Roman" w:cs="Times New Roman"/>
          <w:szCs w:val="24"/>
        </w:rPr>
        <w:lastRenderedPageBreak/>
        <w:t xml:space="preserve">Halawi, A., &amp; Zaraket, W. (2018). Impact of Green Human Resource Management on Employee Behaviour. </w:t>
      </w:r>
      <w:r>
        <w:rPr>
          <w:rFonts w:eastAsia="Times New Roman" w:cs="Times New Roman"/>
          <w:i/>
          <w:iCs/>
          <w:szCs w:val="24"/>
        </w:rPr>
        <w:t>Journal of Applied Business Research,</w:t>
      </w:r>
      <w:r>
        <w:rPr>
          <w:rFonts w:eastAsia="Times New Roman" w:cs="Times New Roman"/>
          <w:szCs w:val="24"/>
        </w:rPr>
        <w:t xml:space="preserve"> </w:t>
      </w:r>
      <w:r>
        <w:rPr>
          <w:rFonts w:eastAsia="Times New Roman" w:cs="Times New Roman"/>
          <w:i/>
          <w:szCs w:val="24"/>
        </w:rPr>
        <w:t>6</w:t>
      </w:r>
      <w:r>
        <w:rPr>
          <w:rFonts w:eastAsia="Times New Roman" w:cs="Times New Roman"/>
          <w:szCs w:val="24"/>
        </w:rPr>
        <w:t>,18-34.</w:t>
      </w:r>
    </w:p>
    <w:p w14:paraId="1477C945" w14:textId="77777777" w:rsidR="009F33CD" w:rsidRDefault="00E40740" w:rsidP="005163BD">
      <w:pPr>
        <w:ind w:left="720" w:hanging="720"/>
        <w:rPr>
          <w:rFonts w:cs="Times New Roman"/>
          <w:bCs/>
          <w:color w:val="000000"/>
          <w:szCs w:val="24"/>
        </w:rPr>
      </w:pPr>
      <w:r>
        <w:rPr>
          <w:rFonts w:cs="Times New Roman"/>
          <w:bCs/>
          <w:color w:val="000000"/>
          <w:szCs w:val="24"/>
        </w:rPr>
        <w:t>Haldorai, K., Kim, W. G., &amp; Garcia, F. (2022). Top Management Green Commitment, and Green Intellectual Capital as Enablers of Hotel Environmental Performance: The Mediating Role of Green Human Resource Management. </w:t>
      </w:r>
      <w:r>
        <w:rPr>
          <w:rFonts w:cs="Times New Roman"/>
          <w:bCs/>
          <w:i/>
          <w:iCs/>
          <w:color w:val="000000"/>
          <w:szCs w:val="24"/>
        </w:rPr>
        <w:t>Journal of Tourism Management</w:t>
      </w:r>
      <w:r>
        <w:rPr>
          <w:rFonts w:cs="Times New Roman"/>
          <w:bCs/>
          <w:color w:val="000000"/>
          <w:szCs w:val="24"/>
        </w:rPr>
        <w:t xml:space="preserve">, </w:t>
      </w:r>
      <w:r>
        <w:rPr>
          <w:rFonts w:cs="Times New Roman"/>
          <w:bCs/>
          <w:i/>
          <w:color w:val="000000"/>
          <w:szCs w:val="24"/>
        </w:rPr>
        <w:t>88</w:t>
      </w:r>
      <w:r>
        <w:rPr>
          <w:rFonts w:cs="Times New Roman"/>
          <w:bCs/>
          <w:color w:val="000000"/>
          <w:szCs w:val="24"/>
        </w:rPr>
        <w:t>,104452.</w:t>
      </w:r>
    </w:p>
    <w:p w14:paraId="5271195B" w14:textId="77777777" w:rsidR="009F33CD" w:rsidRDefault="00E40740" w:rsidP="005163BD">
      <w:pPr>
        <w:autoSpaceDE/>
        <w:autoSpaceDN/>
        <w:adjustRightInd/>
        <w:ind w:left="720" w:hanging="720"/>
        <w:rPr>
          <w:rFonts w:eastAsia="Times New Roman" w:cs="Times New Roman"/>
          <w:szCs w:val="24"/>
        </w:rPr>
      </w:pPr>
      <w:r>
        <w:rPr>
          <w:rFonts w:eastAsia="Times New Roman" w:cs="Times New Roman"/>
          <w:szCs w:val="24"/>
        </w:rPr>
        <w:t>Hameed, S. A., &amp; Mohamed, N. S. (2016). HRM Practices and Organizational Performance in Hospitals. </w:t>
      </w:r>
      <w:r>
        <w:rPr>
          <w:rFonts w:eastAsia="Times New Roman" w:cs="Times New Roman"/>
          <w:i/>
          <w:iCs/>
          <w:szCs w:val="24"/>
        </w:rPr>
        <w:t>IOSR Journal of Business and Management</w:t>
      </w:r>
      <w:r>
        <w:rPr>
          <w:rFonts w:eastAsia="Times New Roman" w:cs="Times New Roman"/>
          <w:szCs w:val="24"/>
        </w:rPr>
        <w:t xml:space="preserve">, </w:t>
      </w:r>
      <w:r>
        <w:rPr>
          <w:rFonts w:eastAsia="Times New Roman" w:cs="Times New Roman"/>
          <w:i/>
          <w:szCs w:val="24"/>
        </w:rPr>
        <w:t>18</w:t>
      </w:r>
      <w:r>
        <w:rPr>
          <w:rFonts w:eastAsia="Times New Roman" w:cs="Times New Roman"/>
          <w:szCs w:val="24"/>
        </w:rPr>
        <w:t>(11), 34-41.</w:t>
      </w:r>
    </w:p>
    <w:p w14:paraId="57E6A83A" w14:textId="77777777" w:rsidR="009F33CD" w:rsidRDefault="00E40740" w:rsidP="005163BD">
      <w:pPr>
        <w:ind w:left="720" w:hanging="720"/>
        <w:rPr>
          <w:rFonts w:cs="Times New Roman"/>
          <w:color w:val="000000"/>
          <w:szCs w:val="24"/>
        </w:rPr>
      </w:pPr>
      <w:r>
        <w:rPr>
          <w:rFonts w:cs="Times New Roman"/>
          <w:color w:val="000000"/>
          <w:szCs w:val="24"/>
        </w:rPr>
        <w:t>Hameed, Z., Khan, I. U., Islam, T., Sheikh, Z., &amp; Naeem, R. M. (2020). Do green HRM practices influence employees' environmental performance? </w:t>
      </w:r>
      <w:r>
        <w:rPr>
          <w:rFonts w:cs="Times New Roman"/>
          <w:i/>
          <w:iCs/>
          <w:color w:val="000000"/>
          <w:szCs w:val="24"/>
        </w:rPr>
        <w:t>International Journal of Manpower</w:t>
      </w:r>
      <w:r>
        <w:rPr>
          <w:rFonts w:cs="Times New Roman"/>
          <w:color w:val="000000"/>
          <w:szCs w:val="24"/>
        </w:rPr>
        <w:t>, </w:t>
      </w:r>
      <w:r>
        <w:rPr>
          <w:rFonts w:cs="Times New Roman"/>
          <w:i/>
          <w:iCs/>
          <w:color w:val="000000"/>
          <w:szCs w:val="24"/>
        </w:rPr>
        <w:t>41</w:t>
      </w:r>
      <w:r>
        <w:rPr>
          <w:rFonts w:cs="Times New Roman"/>
          <w:color w:val="000000"/>
          <w:szCs w:val="24"/>
        </w:rPr>
        <w:t>(7), 1061-1079.</w:t>
      </w:r>
    </w:p>
    <w:p w14:paraId="46D08FB0" w14:textId="77777777" w:rsidR="00562F28" w:rsidRDefault="00E40740" w:rsidP="005163BD">
      <w:pPr>
        <w:ind w:left="720" w:hanging="720"/>
        <w:rPr>
          <w:rFonts w:cs="Times New Roman"/>
          <w:bCs/>
          <w:color w:val="000000"/>
          <w:szCs w:val="24"/>
        </w:rPr>
      </w:pPr>
      <w:r>
        <w:rPr>
          <w:rFonts w:cs="Times New Roman"/>
          <w:bCs/>
          <w:color w:val="000000"/>
          <w:szCs w:val="24"/>
        </w:rPr>
        <w:t>Hamel, G., Doz, Y. L., &amp; Prahalad, C. K. (1989). Collaborate with your competitors and win. </w:t>
      </w:r>
      <w:r>
        <w:rPr>
          <w:rFonts w:cs="Times New Roman"/>
          <w:bCs/>
          <w:i/>
          <w:iCs/>
          <w:color w:val="000000"/>
          <w:szCs w:val="24"/>
        </w:rPr>
        <w:t>Harvard business review</w:t>
      </w:r>
      <w:r>
        <w:rPr>
          <w:rFonts w:cs="Times New Roman"/>
          <w:bCs/>
          <w:color w:val="000000"/>
          <w:szCs w:val="24"/>
        </w:rPr>
        <w:t>, </w:t>
      </w:r>
      <w:r>
        <w:rPr>
          <w:rFonts w:cs="Times New Roman"/>
          <w:bCs/>
          <w:i/>
          <w:iCs/>
          <w:color w:val="000000"/>
          <w:szCs w:val="24"/>
        </w:rPr>
        <w:t>67</w:t>
      </w:r>
      <w:r>
        <w:rPr>
          <w:rFonts w:cs="Times New Roman"/>
          <w:bCs/>
          <w:color w:val="000000"/>
          <w:szCs w:val="24"/>
        </w:rPr>
        <w:t>(1), 133-139.</w:t>
      </w:r>
    </w:p>
    <w:p w14:paraId="4A252BE1" w14:textId="77777777" w:rsidR="00562F28" w:rsidRDefault="00562F28" w:rsidP="005163BD">
      <w:pPr>
        <w:ind w:left="720" w:hanging="720"/>
        <w:rPr>
          <w:rFonts w:cs="Times New Roman"/>
          <w:bCs/>
          <w:color w:val="000000"/>
          <w:szCs w:val="24"/>
        </w:rPr>
      </w:pPr>
      <w:r w:rsidRPr="00562F28">
        <w:rPr>
          <w:rFonts w:cs="Times New Roman"/>
          <w:bCs/>
          <w:color w:val="000000"/>
          <w:szCs w:val="24"/>
        </w:rPr>
        <w:t xml:space="preserve">Hair, J. F., Page, M., &amp; Brunsveld, N. (2024). Essentials of </w:t>
      </w:r>
      <w:r>
        <w:rPr>
          <w:rFonts w:cs="Times New Roman"/>
          <w:bCs/>
          <w:color w:val="000000"/>
          <w:szCs w:val="24"/>
        </w:rPr>
        <w:t>B</w:t>
      </w:r>
      <w:r w:rsidRPr="00562F28">
        <w:rPr>
          <w:rFonts w:cs="Times New Roman"/>
          <w:bCs/>
          <w:color w:val="000000"/>
          <w:szCs w:val="24"/>
        </w:rPr>
        <w:t xml:space="preserve">usiness </w:t>
      </w:r>
      <w:r>
        <w:rPr>
          <w:rFonts w:cs="Times New Roman"/>
          <w:bCs/>
          <w:color w:val="000000"/>
          <w:szCs w:val="24"/>
        </w:rPr>
        <w:t>R</w:t>
      </w:r>
      <w:r w:rsidRPr="00562F28">
        <w:rPr>
          <w:rFonts w:cs="Times New Roman"/>
          <w:bCs/>
          <w:color w:val="000000"/>
          <w:szCs w:val="24"/>
        </w:rPr>
        <w:t>esearch methods</w:t>
      </w:r>
      <w:r>
        <w:rPr>
          <w:rFonts w:cs="Times New Roman"/>
          <w:bCs/>
          <w:color w:val="000000"/>
          <w:szCs w:val="24"/>
        </w:rPr>
        <w:t xml:space="preserve"> </w:t>
      </w:r>
      <w:r w:rsidRPr="00562F28">
        <w:rPr>
          <w:rFonts w:cs="Times New Roman"/>
          <w:bCs/>
          <w:color w:val="000000"/>
          <w:szCs w:val="24"/>
        </w:rPr>
        <w:t>5</w:t>
      </w:r>
      <w:r w:rsidRPr="00562F28">
        <w:rPr>
          <w:rFonts w:cs="Times New Roman"/>
          <w:bCs/>
          <w:color w:val="000000"/>
          <w:szCs w:val="24"/>
          <w:vertAlign w:val="superscript"/>
        </w:rPr>
        <w:t>th</w:t>
      </w:r>
      <w:r>
        <w:rPr>
          <w:rFonts w:cs="Times New Roman"/>
          <w:bCs/>
          <w:color w:val="000000"/>
          <w:szCs w:val="24"/>
        </w:rPr>
        <w:t xml:space="preserve"> </w:t>
      </w:r>
      <w:r w:rsidRPr="00562F28">
        <w:rPr>
          <w:rFonts w:cs="Times New Roman"/>
          <w:bCs/>
          <w:color w:val="000000"/>
          <w:szCs w:val="24"/>
        </w:rPr>
        <w:t>ed</w:t>
      </w:r>
      <w:r>
        <w:rPr>
          <w:rFonts w:cs="Times New Roman"/>
          <w:bCs/>
          <w:color w:val="000000"/>
          <w:szCs w:val="24"/>
        </w:rPr>
        <w:t>ition,</w:t>
      </w:r>
      <w:r w:rsidRPr="00562F28">
        <w:rPr>
          <w:rFonts w:cs="Times New Roman"/>
          <w:bCs/>
          <w:color w:val="000000"/>
          <w:szCs w:val="24"/>
        </w:rPr>
        <w:t xml:space="preserve"> Routledge.</w:t>
      </w:r>
    </w:p>
    <w:p w14:paraId="0F112185" w14:textId="77777777" w:rsidR="009F33CD" w:rsidRDefault="00E40740" w:rsidP="005163BD">
      <w:pPr>
        <w:ind w:left="720" w:hanging="720"/>
        <w:rPr>
          <w:rFonts w:cs="Times New Roman"/>
          <w:color w:val="000000"/>
          <w:szCs w:val="24"/>
        </w:rPr>
      </w:pPr>
      <w:r>
        <w:rPr>
          <w:rFonts w:cs="Times New Roman"/>
          <w:bCs/>
          <w:color w:val="000000"/>
          <w:szCs w:val="24"/>
        </w:rPr>
        <w:t xml:space="preserve">Haridas, P.K., &amp; Sivasubramanaian, C. (2016). Effect of GHRM Practices on performance of Firms in Manufacturing Industry: </w:t>
      </w:r>
      <w:r>
        <w:rPr>
          <w:rFonts w:cs="Times New Roman"/>
          <w:i/>
          <w:color w:val="000000"/>
          <w:szCs w:val="24"/>
        </w:rPr>
        <w:t>International Journal of Engineering Technology Science and Research.</w:t>
      </w:r>
      <w:r>
        <w:rPr>
          <w:rFonts w:cs="Times New Roman"/>
          <w:color w:val="000000"/>
          <w:szCs w:val="24"/>
        </w:rPr>
        <w:t xml:space="preserve"> </w:t>
      </w:r>
      <w:r>
        <w:rPr>
          <w:rFonts w:cs="Times New Roman"/>
          <w:i/>
          <w:color w:val="000000"/>
          <w:szCs w:val="24"/>
        </w:rPr>
        <w:t>3</w:t>
      </w:r>
      <w:r>
        <w:rPr>
          <w:rFonts w:cs="Times New Roman"/>
          <w:color w:val="000000"/>
          <w:szCs w:val="24"/>
        </w:rPr>
        <w:t>(12), 49-54.</w:t>
      </w:r>
    </w:p>
    <w:p w14:paraId="1F3FA96F" w14:textId="77777777" w:rsidR="009F33CD" w:rsidRDefault="00E40740" w:rsidP="005163BD">
      <w:pPr>
        <w:ind w:left="720" w:hanging="720"/>
        <w:rPr>
          <w:rFonts w:cs="Times New Roman"/>
          <w:bCs/>
          <w:szCs w:val="24"/>
        </w:rPr>
      </w:pPr>
      <w:r>
        <w:rPr>
          <w:rFonts w:cs="Times New Roman"/>
          <w:bCs/>
          <w:szCs w:val="24"/>
        </w:rPr>
        <w:t>Hossari, H., &amp; Elfahli, K. (2023). Green Human Resource Management: An Exploratory Study from Moroccan ISO 14001 Certified Companies. Intech Open. doi: 10.5772/intechopen.105565.</w:t>
      </w:r>
    </w:p>
    <w:p w14:paraId="6853D10D" w14:textId="77777777" w:rsidR="009F33CD" w:rsidRDefault="00E40740" w:rsidP="005163BD">
      <w:pPr>
        <w:ind w:left="720" w:hanging="720"/>
        <w:rPr>
          <w:rFonts w:eastAsia="TimesNewRoman" w:cs="Times New Roman"/>
          <w:bCs/>
          <w:szCs w:val="24"/>
        </w:rPr>
      </w:pPr>
      <w:r>
        <w:t xml:space="preserve">Huang, J., &amp; Li, Y. (2017). Green Innovation and Performance: The View of Organizational Capability and Social Reciprocity. </w:t>
      </w:r>
      <w:r>
        <w:rPr>
          <w:i/>
        </w:rPr>
        <w:t>Journal of Business Ethics</w:t>
      </w:r>
      <w:r>
        <w:t xml:space="preserve">, </w:t>
      </w:r>
      <w:r>
        <w:rPr>
          <w:i/>
        </w:rPr>
        <w:t>145</w:t>
      </w:r>
      <w:r>
        <w:t xml:space="preserve">(2), 309–324. </w:t>
      </w:r>
    </w:p>
    <w:p w14:paraId="7287D5BB" w14:textId="77777777" w:rsidR="009F33CD" w:rsidRDefault="00E40740" w:rsidP="005163BD">
      <w:pPr>
        <w:ind w:left="720" w:hanging="720"/>
        <w:rPr>
          <w:rFonts w:eastAsia="TimesNewRoman" w:cs="Times New Roman"/>
          <w:szCs w:val="24"/>
        </w:rPr>
      </w:pPr>
      <w:r>
        <w:rPr>
          <w:rFonts w:eastAsia="TimesNewRoman" w:cs="Times New Roman"/>
          <w:szCs w:val="24"/>
        </w:rPr>
        <w:lastRenderedPageBreak/>
        <w:t xml:space="preserve">Huma, A., Urooj, I., &amp; Shabnam P. (2017). </w:t>
      </w:r>
      <w:r>
        <w:rPr>
          <w:rFonts w:eastAsia="TimesNewRoman" w:cs="Times New Roman"/>
          <w:bCs/>
          <w:szCs w:val="24"/>
        </w:rPr>
        <w:t>Impact of GHRM Practices on Job Seekers’ Attraction:</w:t>
      </w:r>
      <w:r>
        <w:rPr>
          <w:rFonts w:eastAsia="TimesNewRoman" w:cs="Times New Roman"/>
          <w:b/>
          <w:bCs/>
          <w:szCs w:val="24"/>
        </w:rPr>
        <w:t xml:space="preserve"> </w:t>
      </w:r>
      <w:r>
        <w:rPr>
          <w:rFonts w:eastAsia="TimesNewRoman" w:cs="Times New Roman"/>
          <w:i/>
          <w:szCs w:val="24"/>
        </w:rPr>
        <w:t>Journal of Resource Development and Management</w:t>
      </w:r>
      <w:r>
        <w:rPr>
          <w:rFonts w:eastAsia="TimesNewRoman" w:cs="Times New Roman"/>
          <w:szCs w:val="24"/>
        </w:rPr>
        <w:t xml:space="preserve">, </w:t>
      </w:r>
      <w:r>
        <w:rPr>
          <w:rFonts w:eastAsia="TimesNewRoman" w:cs="Times New Roman"/>
          <w:i/>
          <w:szCs w:val="24"/>
        </w:rPr>
        <w:t>38</w:t>
      </w:r>
      <w:r>
        <w:rPr>
          <w:rFonts w:eastAsia="TimesNewRoman" w:cs="Times New Roman"/>
          <w:szCs w:val="24"/>
        </w:rPr>
        <w:t>, 26-32.</w:t>
      </w:r>
    </w:p>
    <w:p w14:paraId="601F6A5B" w14:textId="77777777" w:rsidR="009F33CD" w:rsidRDefault="00E40740" w:rsidP="005163BD">
      <w:pPr>
        <w:ind w:left="720" w:hanging="720"/>
        <w:rPr>
          <w:rFonts w:eastAsia="Times New Roman" w:cs="Times New Roman"/>
          <w:bCs/>
          <w:color w:val="000000" w:themeColor="text1"/>
          <w:szCs w:val="24"/>
        </w:rPr>
      </w:pPr>
      <w:bookmarkStart w:id="1808" w:name="_Hlk176695529"/>
      <w:r>
        <w:rPr>
          <w:rFonts w:eastAsia="Times New Roman" w:cs="Times New Roman"/>
          <w:bCs/>
          <w:color w:val="000000" w:themeColor="text1"/>
          <w:szCs w:val="24"/>
        </w:rPr>
        <w:t xml:space="preserve">Jabbour, C. (2019). How Green is Human Resource Management Practices, Organizational Culture, Learning and Teamwork in Brazil? </w:t>
      </w:r>
      <w:r>
        <w:rPr>
          <w:rFonts w:eastAsia="Times New Roman" w:cs="Times New Roman"/>
          <w:bCs/>
          <w:i/>
          <w:color w:val="000000" w:themeColor="text1"/>
          <w:szCs w:val="24"/>
        </w:rPr>
        <w:t>Journal of</w:t>
      </w:r>
      <w:r>
        <w:rPr>
          <w:rFonts w:eastAsia="Times New Roman" w:cs="Times New Roman"/>
          <w:bCs/>
          <w:color w:val="000000" w:themeColor="text1"/>
          <w:szCs w:val="24"/>
        </w:rPr>
        <w:t xml:space="preserve"> </w:t>
      </w:r>
      <w:r>
        <w:rPr>
          <w:rFonts w:eastAsia="Times New Roman" w:cs="Times New Roman"/>
          <w:bCs/>
          <w:i/>
          <w:iCs/>
          <w:color w:val="000000" w:themeColor="text1"/>
          <w:szCs w:val="24"/>
        </w:rPr>
        <w:t xml:space="preserve">Industrial and Commercial Training, </w:t>
      </w:r>
      <w:r>
        <w:rPr>
          <w:rFonts w:eastAsia="Times New Roman" w:cs="Times New Roman"/>
          <w:bCs/>
          <w:i/>
          <w:color w:val="000000" w:themeColor="text1"/>
          <w:szCs w:val="24"/>
        </w:rPr>
        <w:t>43</w:t>
      </w:r>
      <w:r>
        <w:rPr>
          <w:rFonts w:eastAsia="Times New Roman" w:cs="Times New Roman"/>
          <w:bCs/>
          <w:color w:val="000000" w:themeColor="text1"/>
          <w:szCs w:val="24"/>
        </w:rPr>
        <w:t>(2), 98-105.</w:t>
      </w:r>
    </w:p>
    <w:bookmarkEnd w:id="1808"/>
    <w:p w14:paraId="304015FA" w14:textId="77777777" w:rsidR="009F33CD" w:rsidRDefault="00E40740" w:rsidP="005163BD">
      <w:pPr>
        <w:ind w:left="720" w:hanging="720"/>
        <w:rPr>
          <w:rFonts w:eastAsia="Times New Roman" w:cs="Times New Roman"/>
          <w:bCs/>
          <w:color w:val="000000" w:themeColor="text1"/>
          <w:szCs w:val="24"/>
        </w:rPr>
      </w:pPr>
      <w:r>
        <w:rPr>
          <w:rFonts w:eastAsia="Times New Roman" w:cs="Times New Roman"/>
          <w:bCs/>
          <w:color w:val="000000" w:themeColor="text1"/>
          <w:szCs w:val="24"/>
        </w:rPr>
        <w:t xml:space="preserve">Jabbour, C., Santos, F., &amp; Nagano, M. (2013). Contribution of HRM to Environmental Management: </w:t>
      </w:r>
      <w:r>
        <w:rPr>
          <w:rFonts w:eastAsia="Times New Roman" w:cs="Times New Roman"/>
          <w:bCs/>
          <w:i/>
          <w:iCs/>
          <w:color w:val="000000" w:themeColor="text1"/>
          <w:szCs w:val="24"/>
        </w:rPr>
        <w:t>International Journal of Human Resource Management</w:t>
      </w:r>
      <w:r>
        <w:rPr>
          <w:rFonts w:eastAsia="Times New Roman" w:cs="Times New Roman"/>
          <w:bCs/>
          <w:color w:val="000000" w:themeColor="text1"/>
          <w:szCs w:val="24"/>
        </w:rPr>
        <w:t xml:space="preserve">, </w:t>
      </w:r>
      <w:r>
        <w:rPr>
          <w:rFonts w:eastAsia="Times New Roman" w:cs="Times New Roman"/>
          <w:bCs/>
          <w:i/>
          <w:color w:val="000000" w:themeColor="text1"/>
          <w:szCs w:val="24"/>
        </w:rPr>
        <w:t>21</w:t>
      </w:r>
      <w:r>
        <w:rPr>
          <w:rFonts w:eastAsia="Times New Roman" w:cs="Times New Roman"/>
          <w:bCs/>
          <w:color w:val="000000" w:themeColor="text1"/>
          <w:szCs w:val="24"/>
        </w:rPr>
        <w:t>(7), 1049-1089.</w:t>
      </w:r>
    </w:p>
    <w:p w14:paraId="2597E765" w14:textId="77777777" w:rsidR="009F33CD" w:rsidRDefault="00E40740" w:rsidP="005163BD">
      <w:pPr>
        <w:ind w:left="720" w:hanging="720"/>
        <w:rPr>
          <w:rFonts w:eastAsia="Times New Roman" w:cs="Times New Roman"/>
          <w:bCs/>
          <w:color w:val="000000" w:themeColor="text1"/>
          <w:szCs w:val="24"/>
        </w:rPr>
      </w:pPr>
      <w:r>
        <w:rPr>
          <w:rFonts w:eastAsia="Times New Roman" w:cs="Times New Roman"/>
          <w:bCs/>
          <w:color w:val="000000" w:themeColor="text1"/>
          <w:szCs w:val="24"/>
        </w:rPr>
        <w:t xml:space="preserve">Jackson, S., Renwick, D., Jabbour, C., &amp; Camen, M. (2011). State of the Art and Future Directions of GHRM: </w:t>
      </w:r>
      <w:r>
        <w:rPr>
          <w:rFonts w:eastAsia="Times New Roman" w:cs="Times New Roman"/>
          <w:bCs/>
          <w:i/>
          <w:iCs/>
          <w:color w:val="000000" w:themeColor="text1"/>
          <w:szCs w:val="24"/>
        </w:rPr>
        <w:t>German Journal of Research in Human Resource Management</w:t>
      </w:r>
      <w:r>
        <w:rPr>
          <w:rFonts w:eastAsia="Times New Roman" w:cs="Times New Roman"/>
          <w:bCs/>
          <w:color w:val="000000" w:themeColor="text1"/>
          <w:szCs w:val="24"/>
        </w:rPr>
        <w:t xml:space="preserve">, </w:t>
      </w:r>
      <w:r>
        <w:rPr>
          <w:rFonts w:eastAsia="Times New Roman" w:cs="Times New Roman"/>
          <w:bCs/>
          <w:i/>
          <w:color w:val="000000" w:themeColor="text1"/>
          <w:szCs w:val="24"/>
        </w:rPr>
        <w:t>25</w:t>
      </w:r>
      <w:r>
        <w:rPr>
          <w:rFonts w:eastAsia="Times New Roman" w:cs="Times New Roman"/>
          <w:bCs/>
          <w:color w:val="000000" w:themeColor="text1"/>
          <w:szCs w:val="24"/>
        </w:rPr>
        <w:t>(2), 99-116.</w:t>
      </w:r>
    </w:p>
    <w:p w14:paraId="4F94E3C9" w14:textId="77777777" w:rsidR="009F33CD" w:rsidRDefault="00E40740" w:rsidP="005163BD">
      <w:pPr>
        <w:ind w:left="720" w:hanging="720"/>
        <w:rPr>
          <w:rFonts w:cs="Times New Roman"/>
          <w:bCs/>
          <w:szCs w:val="24"/>
        </w:rPr>
      </w:pPr>
      <w:r>
        <w:rPr>
          <w:rFonts w:cs="Times New Roman"/>
          <w:bCs/>
          <w:szCs w:val="24"/>
        </w:rPr>
        <w:t>Jelimo, M. (2018). Effects of Occupational Health and Safety Practices on Employees’ Productivity in Mumias Sugar Company, Kenya, Nairobi.</w:t>
      </w:r>
    </w:p>
    <w:p w14:paraId="1DF3648C" w14:textId="77777777" w:rsidR="009F33CD" w:rsidRDefault="00E40740" w:rsidP="005163BD">
      <w:pPr>
        <w:ind w:left="720" w:hanging="720"/>
        <w:rPr>
          <w:rFonts w:cs="Times New Roman"/>
          <w:bCs/>
          <w:szCs w:val="24"/>
        </w:rPr>
      </w:pPr>
      <w:r>
        <w:rPr>
          <w:rFonts w:cs="Times New Roman"/>
          <w:bCs/>
          <w:szCs w:val="24"/>
        </w:rPr>
        <w:t xml:space="preserve">Kaaria, A. G. (2019). Human Resource Information, Top Management Commitment and Performance of Commercial State Corporations in Kenya, Published PhD Thesis, JKUAT, Nairobi. </w:t>
      </w:r>
    </w:p>
    <w:p w14:paraId="1D651020" w14:textId="77777777" w:rsidR="009F33CD" w:rsidRDefault="00E40740" w:rsidP="005163BD">
      <w:pPr>
        <w:ind w:left="720" w:hanging="720"/>
        <w:rPr>
          <w:rFonts w:cs="Times New Roman"/>
          <w:bCs/>
          <w:szCs w:val="24"/>
        </w:rPr>
      </w:pPr>
      <w:r>
        <w:t xml:space="preserve">Kamut, A. K. (2023). Determinants of Revenue Collection in Public Hospitals in Kenya.  </w:t>
      </w:r>
      <w:r>
        <w:rPr>
          <w:i/>
        </w:rPr>
        <w:t>African Journal of Commercial Studies</w:t>
      </w:r>
      <w:r>
        <w:t xml:space="preserve">, </w:t>
      </w:r>
      <w:r>
        <w:rPr>
          <w:i/>
        </w:rPr>
        <w:t>3</w:t>
      </w:r>
      <w:r>
        <w:t>(1), 27 – 33.</w:t>
      </w:r>
    </w:p>
    <w:p w14:paraId="4928571E" w14:textId="77777777" w:rsidR="009F33CD" w:rsidRDefault="00E40740" w:rsidP="005163BD">
      <w:pPr>
        <w:ind w:left="720" w:hanging="720"/>
      </w:pPr>
      <w:bookmarkStart w:id="1809" w:name="_Hlk174514114"/>
      <w:r>
        <w:rPr>
          <w:rFonts w:cs="Times New Roman"/>
          <w:bCs/>
          <w:szCs w:val="24"/>
        </w:rPr>
        <w:t xml:space="preserve">Kellner, A., Townsend, K., Wilkinson, A., Lawrence, S.A., &amp; Greenfield, D. (2016). Learning to Manage: Development Experiences of Hospital Frontline Managers. </w:t>
      </w:r>
      <w:r>
        <w:rPr>
          <w:rFonts w:cs="Times New Roman"/>
          <w:bCs/>
          <w:i/>
          <w:iCs/>
          <w:szCs w:val="24"/>
        </w:rPr>
        <w:t xml:space="preserve">Human Resource Management Journal, </w:t>
      </w:r>
      <w:r>
        <w:rPr>
          <w:rFonts w:cs="Times New Roman"/>
          <w:bCs/>
          <w:i/>
          <w:szCs w:val="24"/>
        </w:rPr>
        <w:t>26</w:t>
      </w:r>
      <w:r>
        <w:rPr>
          <w:rFonts w:cs="Times New Roman"/>
          <w:bCs/>
          <w:szCs w:val="24"/>
        </w:rPr>
        <w:t>(4), 505–522.</w:t>
      </w:r>
    </w:p>
    <w:bookmarkEnd w:id="1809"/>
    <w:p w14:paraId="2BA2FC48" w14:textId="77777777" w:rsidR="009F33CD" w:rsidRDefault="00E40740" w:rsidP="005163BD">
      <w:pPr>
        <w:ind w:left="720" w:hanging="720"/>
        <w:rPr>
          <w:rFonts w:cs="Times New Roman"/>
          <w:szCs w:val="24"/>
        </w:rPr>
      </w:pPr>
      <w:r>
        <w:rPr>
          <w:rFonts w:eastAsia="Times New Roman" w:cs="Times New Roman"/>
          <w:bCs/>
          <w:szCs w:val="24"/>
        </w:rPr>
        <w:t>Kenyan Healthcare Sector (2016).</w:t>
      </w:r>
      <w:bookmarkStart w:id="1810" w:name="_Hlk175328982"/>
      <w:r>
        <w:rPr>
          <w:rFonts w:cs="Times New Roman"/>
          <w:bCs/>
          <w:szCs w:val="24"/>
        </w:rPr>
        <w:t xml:space="preserve"> </w:t>
      </w:r>
      <w:bookmarkEnd w:id="1810"/>
      <w:r>
        <w:rPr>
          <w:rFonts w:cs="Times New Roman"/>
          <w:szCs w:val="24"/>
        </w:rPr>
        <w:t xml:space="preserve">Opportunities for the Dutch Life Sciences &amp; Health Sector </w:t>
      </w:r>
      <w:r>
        <w:rPr>
          <w:rFonts w:eastAsia="Times New Roman" w:cs="Times New Roman"/>
          <w:bCs/>
          <w:szCs w:val="24"/>
        </w:rPr>
        <w:t xml:space="preserve">Study commissioned by the Embassy of the Kingdom of the Netherlands in Nairobi: </w:t>
      </w:r>
      <w:r>
        <w:rPr>
          <w:rFonts w:cs="Times New Roman"/>
          <w:szCs w:val="24"/>
        </w:rPr>
        <w:t>Economic Fact sheet</w:t>
      </w:r>
    </w:p>
    <w:p w14:paraId="26B51C97" w14:textId="77777777" w:rsidR="009F33CD" w:rsidRDefault="00E40740" w:rsidP="005163BD">
      <w:pPr>
        <w:ind w:left="720" w:hanging="720"/>
        <w:rPr>
          <w:rFonts w:eastAsia="Times New Roman" w:cs="Times New Roman"/>
          <w:bCs/>
          <w:szCs w:val="24"/>
        </w:rPr>
      </w:pPr>
      <w:r>
        <w:rPr>
          <w:rFonts w:eastAsia="Times New Roman" w:cs="Times New Roman"/>
          <w:szCs w:val="24"/>
        </w:rPr>
        <w:t xml:space="preserve">Khadijah, K. (2015). </w:t>
      </w:r>
      <w:r>
        <w:rPr>
          <w:rFonts w:eastAsia="Times New Roman" w:cs="Times New Roman"/>
          <w:bCs/>
          <w:i/>
          <w:szCs w:val="24"/>
        </w:rPr>
        <w:t xml:space="preserve">Devolved HRM Policy Guidelines </w:t>
      </w:r>
      <w:r>
        <w:rPr>
          <w:rFonts w:eastAsia="Times New Roman" w:cs="Times New Roman"/>
          <w:i/>
          <w:szCs w:val="24"/>
        </w:rPr>
        <w:t xml:space="preserve">on </w:t>
      </w:r>
      <w:r>
        <w:rPr>
          <w:rFonts w:eastAsia="Times New Roman" w:cs="Times New Roman"/>
          <w:bCs/>
          <w:i/>
          <w:szCs w:val="24"/>
        </w:rPr>
        <w:t>Health workers</w:t>
      </w:r>
      <w:r>
        <w:rPr>
          <w:rFonts w:eastAsia="Times New Roman" w:cs="Times New Roman"/>
          <w:bCs/>
          <w:szCs w:val="24"/>
        </w:rPr>
        <w:t>. Ministry of Health, Kenya.</w:t>
      </w:r>
    </w:p>
    <w:p w14:paraId="0D169CCF" w14:textId="77777777" w:rsidR="009F33CD" w:rsidRDefault="00E40740" w:rsidP="005163BD">
      <w:pPr>
        <w:ind w:left="720" w:hanging="720"/>
        <w:rPr>
          <w:rFonts w:cs="Times New Roman"/>
          <w:bCs/>
          <w:szCs w:val="24"/>
        </w:rPr>
      </w:pPr>
      <w:bookmarkStart w:id="1811" w:name="_Hlk176679586"/>
      <w:r>
        <w:rPr>
          <w:rFonts w:cs="Times New Roman"/>
          <w:bCs/>
          <w:szCs w:val="24"/>
        </w:rPr>
        <w:lastRenderedPageBreak/>
        <w:t>Kim, Y. J., Kim, W. G., Choi, H. M., &amp; Phetvaroon, K. (2019). The Effect of Green Human Resource Management on Hotel Employees’ Eco-Friendly Behaviour and Environmental Performance. </w:t>
      </w:r>
      <w:r>
        <w:rPr>
          <w:rFonts w:cs="Times New Roman"/>
          <w:bCs/>
          <w:i/>
          <w:iCs/>
          <w:szCs w:val="24"/>
        </w:rPr>
        <w:t>International journal of hospitality management</w:t>
      </w:r>
      <w:r>
        <w:rPr>
          <w:rFonts w:cs="Times New Roman"/>
          <w:bCs/>
          <w:szCs w:val="24"/>
        </w:rPr>
        <w:t>, </w:t>
      </w:r>
      <w:r>
        <w:rPr>
          <w:rFonts w:cs="Times New Roman"/>
          <w:bCs/>
          <w:i/>
          <w:iCs/>
          <w:szCs w:val="24"/>
        </w:rPr>
        <w:t>76</w:t>
      </w:r>
      <w:r>
        <w:rPr>
          <w:rFonts w:cs="Times New Roman"/>
          <w:bCs/>
          <w:szCs w:val="24"/>
        </w:rPr>
        <w:t>, 83-93.</w:t>
      </w:r>
    </w:p>
    <w:bookmarkEnd w:id="1811"/>
    <w:p w14:paraId="378A5D68" w14:textId="77777777" w:rsidR="009F33CD" w:rsidRDefault="00E40740" w:rsidP="005163BD">
      <w:pPr>
        <w:ind w:left="720" w:hanging="720"/>
        <w:rPr>
          <w:rFonts w:eastAsia="Times New Roman" w:cs="Times New Roman"/>
          <w:bCs/>
          <w:szCs w:val="24"/>
        </w:rPr>
      </w:pPr>
      <w:r>
        <w:rPr>
          <w:rFonts w:eastAsia="Times New Roman" w:cs="Times New Roman"/>
          <w:bCs/>
          <w:szCs w:val="24"/>
        </w:rPr>
        <w:t>Kiplangat, T. J., Sang, H., &amp; Kingori, P. (2022). Influence of Green Recruitment and Selection on Sustainability of Selected Tea Factories in Kericho Highlands Region, Kenya</w:t>
      </w:r>
      <w:r>
        <w:rPr>
          <w:rFonts w:eastAsia="Times New Roman" w:cs="Times New Roman"/>
          <w:bCs/>
          <w:i/>
          <w:szCs w:val="24"/>
        </w:rPr>
        <w:t>. East African Journal of Business and Economics</w:t>
      </w:r>
      <w:r>
        <w:rPr>
          <w:rFonts w:eastAsia="Times New Roman" w:cs="Times New Roman"/>
          <w:bCs/>
          <w:szCs w:val="24"/>
        </w:rPr>
        <w:t xml:space="preserve">, </w:t>
      </w:r>
      <w:r>
        <w:rPr>
          <w:rFonts w:eastAsia="Times New Roman" w:cs="Times New Roman"/>
          <w:bCs/>
          <w:i/>
          <w:szCs w:val="24"/>
        </w:rPr>
        <w:t>5</w:t>
      </w:r>
      <w:r>
        <w:rPr>
          <w:rFonts w:eastAsia="Times New Roman" w:cs="Times New Roman"/>
          <w:bCs/>
          <w:szCs w:val="24"/>
        </w:rPr>
        <w:t>(1), 1-10.</w:t>
      </w:r>
    </w:p>
    <w:p w14:paraId="522E3F10"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Kothari, C., &amp; Gaurav, G. (2014). </w:t>
      </w:r>
      <w:r>
        <w:rPr>
          <w:rFonts w:eastAsia="Times New Roman" w:cs="Times New Roman"/>
          <w:bCs/>
          <w:i/>
          <w:szCs w:val="24"/>
        </w:rPr>
        <w:t>Research Methodology</w:t>
      </w:r>
      <w:r>
        <w:rPr>
          <w:rFonts w:eastAsia="Times New Roman" w:cs="Times New Roman"/>
          <w:bCs/>
          <w:szCs w:val="24"/>
        </w:rPr>
        <w:t>. (3</w:t>
      </w:r>
      <w:r>
        <w:rPr>
          <w:rFonts w:eastAsia="Times New Roman" w:cs="Times New Roman"/>
          <w:bCs/>
          <w:szCs w:val="24"/>
          <w:vertAlign w:val="superscript"/>
        </w:rPr>
        <w:t>rd</w:t>
      </w:r>
      <w:r>
        <w:rPr>
          <w:rFonts w:eastAsia="Times New Roman" w:cs="Times New Roman"/>
          <w:bCs/>
          <w:szCs w:val="24"/>
        </w:rPr>
        <w:t xml:space="preserve"> Ed). New Delhi-India: New Age International Ltd., </w:t>
      </w:r>
    </w:p>
    <w:p w14:paraId="53363250" w14:textId="77777777" w:rsidR="00D652EA" w:rsidRDefault="00E40740" w:rsidP="005163BD">
      <w:pPr>
        <w:ind w:left="720" w:hanging="720"/>
        <w:rPr>
          <w:rFonts w:eastAsia="Times New Roman" w:cs="Times New Roman"/>
          <w:bCs/>
          <w:szCs w:val="24"/>
        </w:rPr>
      </w:pPr>
      <w:r>
        <w:rPr>
          <w:rFonts w:eastAsia="Times New Roman" w:cs="Times New Roman"/>
          <w:bCs/>
          <w:szCs w:val="24"/>
        </w:rPr>
        <w:t xml:space="preserve">Kothari, C.R. (2019). </w:t>
      </w:r>
      <w:r>
        <w:rPr>
          <w:rFonts w:eastAsia="Times New Roman" w:cs="Times New Roman"/>
          <w:bCs/>
          <w:i/>
          <w:szCs w:val="24"/>
        </w:rPr>
        <w:t>Research Methodology: Methods and Techniques</w:t>
      </w:r>
      <w:r>
        <w:rPr>
          <w:rFonts w:eastAsia="Times New Roman" w:cs="Times New Roman"/>
          <w:bCs/>
          <w:szCs w:val="24"/>
        </w:rPr>
        <w:t>. (4th Ed). New New Delhi: Age International Publishers</w:t>
      </w:r>
      <w:r w:rsidR="00D652EA">
        <w:rPr>
          <w:rFonts w:eastAsia="Times New Roman" w:cs="Times New Roman"/>
          <w:bCs/>
          <w:szCs w:val="24"/>
        </w:rPr>
        <w:t>.</w:t>
      </w:r>
    </w:p>
    <w:p w14:paraId="6134F74F" w14:textId="77777777" w:rsidR="00D652EA" w:rsidRPr="00D652EA" w:rsidRDefault="00D652EA" w:rsidP="005163BD">
      <w:pPr>
        <w:ind w:left="720" w:hanging="720"/>
        <w:rPr>
          <w:rFonts w:eastAsia="Times New Roman" w:cs="Times New Roman"/>
          <w:bCs/>
          <w:szCs w:val="24"/>
        </w:rPr>
      </w:pPr>
      <w:r w:rsidRPr="00D652EA">
        <w:rPr>
          <w:rFonts w:eastAsia="Times New Roman" w:cs="Times New Roman"/>
          <w:bCs/>
          <w:szCs w:val="24"/>
        </w:rPr>
        <w:t xml:space="preserve">Kline, R. B. (2023). </w:t>
      </w:r>
      <w:r>
        <w:rPr>
          <w:rFonts w:eastAsia="Times New Roman" w:cs="Times New Roman"/>
          <w:bCs/>
          <w:szCs w:val="24"/>
        </w:rPr>
        <w:t>P</w:t>
      </w:r>
      <w:r w:rsidRPr="00D652EA">
        <w:rPr>
          <w:rFonts w:eastAsia="Times New Roman" w:cs="Times New Roman"/>
          <w:bCs/>
          <w:szCs w:val="24"/>
        </w:rPr>
        <w:t xml:space="preserve">rinciples and </w:t>
      </w:r>
      <w:r>
        <w:rPr>
          <w:rFonts w:eastAsia="Times New Roman" w:cs="Times New Roman"/>
          <w:bCs/>
          <w:szCs w:val="24"/>
        </w:rPr>
        <w:t>P</w:t>
      </w:r>
      <w:r w:rsidRPr="00D652EA">
        <w:rPr>
          <w:rFonts w:eastAsia="Times New Roman" w:cs="Times New Roman"/>
          <w:bCs/>
          <w:szCs w:val="24"/>
        </w:rPr>
        <w:t xml:space="preserve">ractice of </w:t>
      </w:r>
      <w:r>
        <w:rPr>
          <w:rFonts w:eastAsia="Times New Roman" w:cs="Times New Roman"/>
          <w:bCs/>
          <w:szCs w:val="24"/>
        </w:rPr>
        <w:t>S</w:t>
      </w:r>
      <w:r w:rsidRPr="00D652EA">
        <w:rPr>
          <w:rFonts w:eastAsia="Times New Roman" w:cs="Times New Roman"/>
          <w:bCs/>
          <w:szCs w:val="24"/>
        </w:rPr>
        <w:t xml:space="preserve">tructural equation </w:t>
      </w:r>
      <w:r>
        <w:rPr>
          <w:rFonts w:eastAsia="Times New Roman" w:cs="Times New Roman"/>
          <w:bCs/>
          <w:szCs w:val="24"/>
        </w:rPr>
        <w:t>M</w:t>
      </w:r>
      <w:r w:rsidRPr="00D652EA">
        <w:rPr>
          <w:rFonts w:eastAsia="Times New Roman" w:cs="Times New Roman"/>
          <w:bCs/>
          <w:szCs w:val="24"/>
        </w:rPr>
        <w:t>odel</w:t>
      </w:r>
      <w:r>
        <w:rPr>
          <w:rFonts w:eastAsia="Times New Roman" w:cs="Times New Roman"/>
          <w:bCs/>
          <w:szCs w:val="24"/>
        </w:rPr>
        <w:t>l</w:t>
      </w:r>
      <w:r w:rsidRPr="00D652EA">
        <w:rPr>
          <w:rFonts w:eastAsia="Times New Roman" w:cs="Times New Roman"/>
          <w:bCs/>
          <w:szCs w:val="24"/>
        </w:rPr>
        <w:t>ing</w:t>
      </w:r>
      <w:r>
        <w:rPr>
          <w:rFonts w:eastAsia="Times New Roman" w:cs="Times New Roman"/>
          <w:bCs/>
          <w:szCs w:val="24"/>
        </w:rPr>
        <w:t xml:space="preserve">, </w:t>
      </w:r>
      <w:r w:rsidRPr="00D652EA">
        <w:rPr>
          <w:rFonts w:eastAsia="Times New Roman" w:cs="Times New Roman"/>
          <w:bCs/>
          <w:szCs w:val="24"/>
        </w:rPr>
        <w:t>5th ed</w:t>
      </w:r>
      <w:r>
        <w:rPr>
          <w:rFonts w:eastAsia="Times New Roman" w:cs="Times New Roman"/>
          <w:bCs/>
          <w:szCs w:val="24"/>
        </w:rPr>
        <w:t>ition,</w:t>
      </w:r>
      <w:r w:rsidRPr="00D652EA">
        <w:rPr>
          <w:rFonts w:eastAsia="Times New Roman" w:cs="Times New Roman"/>
          <w:bCs/>
          <w:szCs w:val="24"/>
        </w:rPr>
        <w:t xml:space="preserve"> Guilford Publications.</w:t>
      </w:r>
    </w:p>
    <w:p w14:paraId="48008025" w14:textId="77777777" w:rsidR="009F33CD" w:rsidRDefault="00E40740" w:rsidP="005163BD">
      <w:pPr>
        <w:ind w:left="720" w:hanging="720"/>
        <w:rPr>
          <w:rFonts w:eastAsia="Times New Roman" w:cs="Times New Roman"/>
          <w:bCs/>
          <w:szCs w:val="24"/>
        </w:rPr>
      </w:pPr>
      <w:r>
        <w:rPr>
          <w:bCs/>
          <w:szCs w:val="24"/>
        </w:rPr>
        <w:t>Kruse, C. S., Krowski, N., Rodriguez, B., Tran, L., Vela, J., &amp; Brooks, M. (2017). Telehealth and Patient Satisfaction: A systematic Review and Narrative Analysis. </w:t>
      </w:r>
      <w:r>
        <w:rPr>
          <w:bCs/>
          <w:i/>
          <w:iCs/>
          <w:szCs w:val="24"/>
        </w:rPr>
        <w:t>Business Management Journal Open</w:t>
      </w:r>
      <w:r>
        <w:rPr>
          <w:bCs/>
          <w:szCs w:val="24"/>
        </w:rPr>
        <w:t xml:space="preserve">, </w:t>
      </w:r>
      <w:r>
        <w:rPr>
          <w:bCs/>
          <w:i/>
          <w:szCs w:val="24"/>
        </w:rPr>
        <w:t>7</w:t>
      </w:r>
      <w:r>
        <w:rPr>
          <w:bCs/>
          <w:szCs w:val="24"/>
        </w:rPr>
        <w:t>(8), 1–12.</w:t>
      </w:r>
    </w:p>
    <w:p w14:paraId="5640DB3D" w14:textId="77777777" w:rsidR="009F33CD" w:rsidRDefault="00E40740" w:rsidP="005163BD">
      <w:pPr>
        <w:ind w:left="720" w:hanging="720"/>
        <w:rPr>
          <w:bCs/>
          <w:szCs w:val="24"/>
        </w:rPr>
      </w:pPr>
      <w:r>
        <w:t>Kuria, M. W., &amp; Mose, T. (2019). Effect of Green Human Resource Management Practices on Organizational Effectiveness of Universities in Kenya. </w:t>
      </w:r>
      <w:r>
        <w:rPr>
          <w:i/>
          <w:iCs/>
        </w:rPr>
        <w:t>Human Resource and Leadership Journal</w:t>
      </w:r>
      <w:r>
        <w:t>, </w:t>
      </w:r>
      <w:r>
        <w:rPr>
          <w:i/>
          <w:iCs/>
        </w:rPr>
        <w:t>4</w:t>
      </w:r>
      <w:r>
        <w:t>(2), 1-20.</w:t>
      </w:r>
    </w:p>
    <w:p w14:paraId="11279E29" w14:textId="77777777" w:rsidR="009F33CD" w:rsidRDefault="00E40740" w:rsidP="005163BD">
      <w:pPr>
        <w:ind w:left="720" w:hanging="720"/>
        <w:rPr>
          <w:szCs w:val="24"/>
        </w:rPr>
      </w:pPr>
      <w:r>
        <w:rPr>
          <w:szCs w:val="24"/>
        </w:rPr>
        <w:t xml:space="preserve">Langat, B., &amp; Kwasira, J. (2016). Influence of Green HRM Practices on Environmental Sustainability at Kenyatta University, Kenya. </w:t>
      </w:r>
      <w:r>
        <w:rPr>
          <w:i/>
          <w:szCs w:val="24"/>
        </w:rPr>
        <w:t>International Journal of Economics, Commerce and Management</w:t>
      </w:r>
      <w:r>
        <w:rPr>
          <w:szCs w:val="24"/>
        </w:rPr>
        <w:t>,</w:t>
      </w:r>
      <w:r>
        <w:rPr>
          <w:i/>
          <w:szCs w:val="24"/>
        </w:rPr>
        <w:t xml:space="preserve"> 4</w:t>
      </w:r>
      <w:r>
        <w:rPr>
          <w:szCs w:val="24"/>
        </w:rPr>
        <w:t xml:space="preserve">(10), 986-1003. </w:t>
      </w:r>
    </w:p>
    <w:p w14:paraId="37EB4D0F" w14:textId="77777777" w:rsidR="009F33CD" w:rsidRDefault="00E40740" w:rsidP="005163BD">
      <w:pPr>
        <w:ind w:left="720" w:hanging="720"/>
        <w:rPr>
          <w:szCs w:val="24"/>
        </w:rPr>
      </w:pPr>
      <w:r>
        <w:rPr>
          <w:szCs w:val="24"/>
        </w:rPr>
        <w:t>Leal Filho, W., Luetz, J.M., Thanekar, U.D. (2024). Climate-friendly Healthcare: Reducing the Impacts of the Healthcare Sector on the World’s Climate. </w:t>
      </w:r>
      <w:r>
        <w:rPr>
          <w:i/>
          <w:iCs/>
          <w:szCs w:val="24"/>
        </w:rPr>
        <w:t>Sustain Science</w:t>
      </w:r>
      <w:r>
        <w:rPr>
          <w:szCs w:val="24"/>
        </w:rPr>
        <w:t> </w:t>
      </w:r>
      <w:r>
        <w:rPr>
          <w:b/>
          <w:bCs/>
          <w:szCs w:val="24"/>
        </w:rPr>
        <w:t>19</w:t>
      </w:r>
      <w:r>
        <w:rPr>
          <w:szCs w:val="24"/>
        </w:rPr>
        <w:t>, 1103–1109 (2024).</w:t>
      </w:r>
    </w:p>
    <w:p w14:paraId="58F7FAD6" w14:textId="77777777" w:rsidR="009F33CD" w:rsidRDefault="00E40740" w:rsidP="005163BD">
      <w:pPr>
        <w:ind w:left="720" w:hanging="720"/>
        <w:rPr>
          <w:szCs w:val="24"/>
        </w:rPr>
      </w:pPr>
      <w:r>
        <w:rPr>
          <w:szCs w:val="24"/>
        </w:rPr>
        <w:t>Lindgren, B. W. (2020). </w:t>
      </w:r>
      <w:r>
        <w:rPr>
          <w:i/>
          <w:szCs w:val="24"/>
        </w:rPr>
        <w:t>Statistical Theory</w:t>
      </w:r>
      <w:r>
        <w:rPr>
          <w:szCs w:val="24"/>
        </w:rPr>
        <w:t>. (4th ed.). New York: Springer.</w:t>
      </w:r>
    </w:p>
    <w:p w14:paraId="3C5EBB09" w14:textId="77777777" w:rsidR="009F33CD" w:rsidRDefault="00E40740" w:rsidP="005163BD">
      <w:pPr>
        <w:ind w:left="720" w:hanging="720"/>
        <w:rPr>
          <w:szCs w:val="24"/>
        </w:rPr>
      </w:pPr>
      <w:bookmarkStart w:id="1812" w:name="_Hlk187761835"/>
      <w:r>
        <w:rPr>
          <w:szCs w:val="24"/>
        </w:rPr>
        <w:lastRenderedPageBreak/>
        <w:t>Liu,</w:t>
      </w:r>
      <w:bookmarkEnd w:id="1812"/>
      <w:r>
        <w:rPr>
          <w:szCs w:val="24"/>
        </w:rPr>
        <w:t xml:space="preserve"> T., Chen, L., Yang, M., Sandanayake, M., Miao, P., &amp; Yap, P. S. (2022). Sustainability Considerations of Green Buildings: A Detailed Overview on Current Advancements and Future Considerations. </w:t>
      </w:r>
      <w:r>
        <w:rPr>
          <w:i/>
          <w:iCs/>
          <w:szCs w:val="24"/>
        </w:rPr>
        <w:t>Sustainability</w:t>
      </w:r>
      <w:r>
        <w:rPr>
          <w:szCs w:val="24"/>
        </w:rPr>
        <w:t xml:space="preserve">, </w:t>
      </w:r>
      <w:r>
        <w:rPr>
          <w:i/>
          <w:szCs w:val="24"/>
        </w:rPr>
        <w:t>14</w:t>
      </w:r>
      <w:r>
        <w:rPr>
          <w:szCs w:val="24"/>
        </w:rPr>
        <w:t>(21), 14393.</w:t>
      </w:r>
    </w:p>
    <w:p w14:paraId="193A1333" w14:textId="77777777" w:rsidR="000816B7" w:rsidRDefault="00E40740" w:rsidP="005163BD">
      <w:pPr>
        <w:ind w:left="720" w:hanging="720"/>
        <w:rPr>
          <w:rFonts w:ascii="Arial" w:hAnsi="Arial" w:cs="Arial"/>
          <w:b/>
          <w:bCs/>
          <w:color w:val="0A0A0A"/>
          <w:shd w:val="clear" w:color="auto" w:fill="FFFFFF"/>
        </w:rPr>
      </w:pPr>
      <w:r>
        <w:rPr>
          <w:rFonts w:eastAsia="Times New Roman" w:cs="Times New Roman"/>
          <w:bCs/>
          <w:szCs w:val="24"/>
        </w:rPr>
        <w:t xml:space="preserve">Longoni, A., &amp; Cagliano, R. (2018). Inclusive environmental disclosure practices and firm performance: The role of green supply chain management. </w:t>
      </w:r>
      <w:r>
        <w:rPr>
          <w:rFonts w:eastAsia="Times New Roman" w:cs="Times New Roman"/>
          <w:bCs/>
          <w:i/>
          <w:iCs/>
          <w:szCs w:val="24"/>
        </w:rPr>
        <w:t>International Journal of Operations &amp; Production Management</w:t>
      </w:r>
      <w:r>
        <w:rPr>
          <w:rFonts w:eastAsia="Times New Roman" w:cs="Times New Roman"/>
          <w:bCs/>
          <w:szCs w:val="24"/>
        </w:rPr>
        <w:t xml:space="preserve">, </w:t>
      </w:r>
      <w:r>
        <w:rPr>
          <w:rFonts w:eastAsia="Times New Roman" w:cs="Times New Roman"/>
          <w:bCs/>
          <w:i/>
          <w:szCs w:val="24"/>
        </w:rPr>
        <w:t>38</w:t>
      </w:r>
      <w:r>
        <w:rPr>
          <w:rFonts w:eastAsia="Times New Roman" w:cs="Times New Roman"/>
          <w:bCs/>
          <w:szCs w:val="24"/>
        </w:rPr>
        <w:t>(9), 1815-1835.</w:t>
      </w:r>
      <w:r w:rsidR="000816B7" w:rsidRPr="000816B7">
        <w:rPr>
          <w:rFonts w:ascii="Arial" w:hAnsi="Arial" w:cs="Arial"/>
          <w:b/>
          <w:bCs/>
          <w:color w:val="0A0A0A"/>
          <w:shd w:val="clear" w:color="auto" w:fill="FFFFFF"/>
        </w:rPr>
        <w:t xml:space="preserve"> </w:t>
      </w:r>
    </w:p>
    <w:p w14:paraId="63FF5794" w14:textId="77777777" w:rsidR="009F33CD" w:rsidRDefault="00E40740" w:rsidP="005163BD">
      <w:pPr>
        <w:ind w:left="720" w:hanging="720"/>
        <w:rPr>
          <w:rFonts w:eastAsia="Times New Roman" w:cs="Times New Roman"/>
          <w:bCs/>
          <w:szCs w:val="24"/>
        </w:rPr>
      </w:pPr>
      <w:r>
        <w:rPr>
          <w:rFonts w:eastAsia="Times New Roman" w:cs="Times New Roman"/>
          <w:bCs/>
          <w:color w:val="000000" w:themeColor="text1"/>
          <w:szCs w:val="24"/>
        </w:rPr>
        <w:t xml:space="preserve">Lucas, M.T. (2010). Understanding Environmental </w:t>
      </w:r>
      <w:r>
        <w:rPr>
          <w:rFonts w:eastAsia="Times New Roman" w:cs="Times New Roman"/>
          <w:bCs/>
          <w:szCs w:val="24"/>
        </w:rPr>
        <w:t xml:space="preserve">Management Practices: Integrating Views from Strategic Management and Ecological Economics. </w:t>
      </w:r>
      <w:r>
        <w:rPr>
          <w:rFonts w:eastAsia="Times New Roman" w:cs="Times New Roman"/>
          <w:bCs/>
          <w:i/>
          <w:szCs w:val="24"/>
        </w:rPr>
        <w:t>A journal of</w:t>
      </w:r>
      <w:r>
        <w:rPr>
          <w:rFonts w:eastAsia="Times New Roman" w:cs="Times New Roman"/>
          <w:bCs/>
          <w:szCs w:val="24"/>
        </w:rPr>
        <w:t xml:space="preserve"> </w:t>
      </w:r>
      <w:r>
        <w:rPr>
          <w:rFonts w:eastAsia="Times New Roman" w:cs="Times New Roman"/>
          <w:bCs/>
          <w:i/>
          <w:iCs/>
          <w:szCs w:val="24"/>
        </w:rPr>
        <w:t>Business Strategy and the Environment</w:t>
      </w:r>
      <w:r>
        <w:rPr>
          <w:rFonts w:eastAsia="Times New Roman" w:cs="Times New Roman"/>
          <w:bCs/>
          <w:szCs w:val="24"/>
        </w:rPr>
        <w:t xml:space="preserve">, </w:t>
      </w:r>
      <w:r>
        <w:rPr>
          <w:rFonts w:eastAsia="Times New Roman" w:cs="Times New Roman"/>
          <w:bCs/>
          <w:i/>
          <w:szCs w:val="24"/>
        </w:rPr>
        <w:t>19</w:t>
      </w:r>
      <w:r>
        <w:rPr>
          <w:rFonts w:eastAsia="Times New Roman" w:cs="Times New Roman"/>
          <w:bCs/>
          <w:szCs w:val="24"/>
        </w:rPr>
        <w:t>(8), 543-556.</w:t>
      </w:r>
    </w:p>
    <w:p w14:paraId="55CFB09D" w14:textId="77777777" w:rsidR="009F33CD" w:rsidRDefault="00E40740" w:rsidP="005163BD">
      <w:pPr>
        <w:ind w:left="720" w:hanging="720"/>
        <w:rPr>
          <w:rFonts w:cs="Times New Roman"/>
          <w:bCs/>
          <w:szCs w:val="24"/>
        </w:rPr>
      </w:pPr>
      <w:r>
        <w:rPr>
          <w:rFonts w:cs="Times New Roman"/>
          <w:bCs/>
          <w:szCs w:val="24"/>
        </w:rPr>
        <w:t xml:space="preserve">Makhamara, F. H. (2017). Strategic HRM Practices and Performance of Employees in Public Hospitals in Kenya. </w:t>
      </w:r>
      <w:r>
        <w:rPr>
          <w:rFonts w:cs="Times New Roman"/>
          <w:bCs/>
          <w:iCs/>
          <w:szCs w:val="24"/>
        </w:rPr>
        <w:t>A Published PhD Thesis of JKUAT, Nairobi, Kenya</w:t>
      </w:r>
      <w:r>
        <w:rPr>
          <w:rFonts w:cs="Times New Roman"/>
          <w:bCs/>
          <w:szCs w:val="24"/>
        </w:rPr>
        <w:t xml:space="preserve">. </w:t>
      </w:r>
    </w:p>
    <w:p w14:paraId="1BB76DCD"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Malik, S.Y., Hayat Mughal, Y.H., Azam, T., Cao, Y., Wan, Z., &amp; Zhu, H., (2021). Corporate Social Responsibility, Green Human Resources Management, and Sustainable Performance: Is Organizational Citizenship Behaviour towards Environment the Missing Link? Sustainability. </w:t>
      </w:r>
      <w:r>
        <w:rPr>
          <w:rFonts w:eastAsia="Times New Roman" w:cs="Times New Roman"/>
          <w:bCs/>
          <w:i/>
          <w:szCs w:val="24"/>
        </w:rPr>
        <w:t>13</w:t>
      </w:r>
      <w:r>
        <w:rPr>
          <w:rFonts w:eastAsia="Times New Roman" w:cs="Times New Roman"/>
          <w:bCs/>
          <w:szCs w:val="24"/>
        </w:rPr>
        <w:t>(3):1044.</w:t>
      </w:r>
    </w:p>
    <w:p w14:paraId="66FC0120" w14:textId="77777777" w:rsidR="009F33CD" w:rsidRDefault="00E40740" w:rsidP="005163BD">
      <w:pPr>
        <w:ind w:left="720" w:hanging="720"/>
        <w:rPr>
          <w:rFonts w:cs="Times New Roman"/>
          <w:szCs w:val="24"/>
        </w:rPr>
      </w:pPr>
      <w:bookmarkStart w:id="1813" w:name="_Hlk174041825"/>
      <w:r>
        <w:rPr>
          <w:rFonts w:cs="Times New Roman"/>
          <w:szCs w:val="24"/>
        </w:rPr>
        <w:t xml:space="preserve">Mampra, M. (2013). Green HRM: Does it Help to Build a Competitive Service Sector? A study. In Proceedings of the Tenth AIMS </w:t>
      </w:r>
      <w:r>
        <w:rPr>
          <w:rFonts w:cs="Times New Roman"/>
          <w:i/>
          <w:iCs/>
          <w:szCs w:val="24"/>
        </w:rPr>
        <w:t>International Conference on Management</w:t>
      </w:r>
      <w:r>
        <w:rPr>
          <w:rFonts w:cs="Times New Roman"/>
          <w:szCs w:val="24"/>
        </w:rPr>
        <w:t>, Bangalore, India, 1273-1281.</w:t>
      </w:r>
    </w:p>
    <w:bookmarkEnd w:id="1813"/>
    <w:p w14:paraId="6CC4168B" w14:textId="77777777" w:rsidR="009F33CD" w:rsidRDefault="00E40740" w:rsidP="005163BD">
      <w:pPr>
        <w:ind w:left="720" w:hanging="720"/>
      </w:pPr>
      <w:r>
        <w:t>Mandago, R. J. (2019). Influence of Green Human Resource Management Practices on Environmental Sustainability in Service-Based State Corporations in Kenya, Doctoral dissertation-JKUAT, Kenya.</w:t>
      </w:r>
    </w:p>
    <w:p w14:paraId="39A1BE3E"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Mandip, G. (2012). The Green HRM as a Management Commitment to Environmental Sustainability: </w:t>
      </w:r>
      <w:r>
        <w:rPr>
          <w:rFonts w:eastAsia="Times New Roman" w:cs="Times New Roman"/>
          <w:bCs/>
          <w:i/>
          <w:iCs/>
          <w:szCs w:val="24"/>
        </w:rPr>
        <w:t>The Research Journal of Recent Sciences</w:t>
      </w:r>
      <w:r>
        <w:rPr>
          <w:rFonts w:eastAsia="Times New Roman" w:cs="Times New Roman"/>
          <w:bCs/>
          <w:szCs w:val="24"/>
        </w:rPr>
        <w:t xml:space="preserve">, </w:t>
      </w:r>
      <w:r>
        <w:rPr>
          <w:rFonts w:eastAsia="Times New Roman" w:cs="Times New Roman"/>
          <w:bCs/>
          <w:i/>
          <w:szCs w:val="24"/>
        </w:rPr>
        <w:t>1</w:t>
      </w:r>
      <w:r>
        <w:rPr>
          <w:rFonts w:eastAsia="Times New Roman" w:cs="Times New Roman"/>
          <w:bCs/>
          <w:szCs w:val="24"/>
        </w:rPr>
        <w:t>(2011), 244-252.</w:t>
      </w:r>
    </w:p>
    <w:p w14:paraId="0D0C3229" w14:textId="77777777" w:rsidR="009F33CD" w:rsidRDefault="00E40740" w:rsidP="005163BD">
      <w:pPr>
        <w:ind w:left="720" w:hanging="720"/>
        <w:rPr>
          <w:szCs w:val="24"/>
        </w:rPr>
      </w:pPr>
      <w:r>
        <w:rPr>
          <w:szCs w:val="24"/>
        </w:rPr>
        <w:t>Marhatta, S., &amp; Adhikari, S. (2013). Green HRM and sustainability. </w:t>
      </w:r>
      <w:r>
        <w:rPr>
          <w:i/>
          <w:iCs/>
          <w:szCs w:val="24"/>
        </w:rPr>
        <w:t>International Journal of Ongoing Research in Management and IT</w:t>
      </w:r>
      <w:r>
        <w:rPr>
          <w:szCs w:val="24"/>
        </w:rPr>
        <w:t xml:space="preserve">, </w:t>
      </w:r>
      <w:r>
        <w:rPr>
          <w:i/>
          <w:szCs w:val="24"/>
        </w:rPr>
        <w:t>1</w:t>
      </w:r>
      <w:r>
        <w:rPr>
          <w:szCs w:val="24"/>
        </w:rPr>
        <w:t>(1), 1-6.</w:t>
      </w:r>
    </w:p>
    <w:p w14:paraId="27ECF602" w14:textId="77777777" w:rsidR="009F33CD" w:rsidRDefault="00E40740" w:rsidP="005163BD">
      <w:pPr>
        <w:ind w:left="720" w:hanging="720"/>
        <w:rPr>
          <w:rFonts w:eastAsia="TimesNewRoman" w:cs="Times New Roman"/>
          <w:color w:val="222222"/>
          <w:szCs w:val="24"/>
        </w:rPr>
      </w:pPr>
      <w:r>
        <w:rPr>
          <w:rFonts w:eastAsia="TimesNewRoman" w:cs="Times New Roman"/>
          <w:color w:val="222222"/>
          <w:szCs w:val="24"/>
        </w:rPr>
        <w:lastRenderedPageBreak/>
        <w:t xml:space="preserve">Masri, H. A., &amp; Jaaron, A. A. (2017). Assessing green Human Resources Management Practices in Palestinian Manufacturing Context: </w:t>
      </w:r>
      <w:r>
        <w:rPr>
          <w:rFonts w:eastAsia="TimesNewRoman" w:cs="Times New Roman"/>
          <w:i/>
          <w:iCs/>
          <w:color w:val="222222"/>
          <w:szCs w:val="24"/>
        </w:rPr>
        <w:t>Journal of Cleaner Production</w:t>
      </w:r>
      <w:r>
        <w:rPr>
          <w:rFonts w:eastAsia="TimesNewRoman" w:cs="Times New Roman"/>
          <w:color w:val="222222"/>
          <w:szCs w:val="24"/>
        </w:rPr>
        <w:t xml:space="preserve">, </w:t>
      </w:r>
      <w:r>
        <w:rPr>
          <w:rFonts w:eastAsia="TimesNewRoman" w:cs="Times New Roman"/>
          <w:i/>
          <w:iCs/>
          <w:color w:val="222222"/>
          <w:szCs w:val="24"/>
        </w:rPr>
        <w:t>143</w:t>
      </w:r>
      <w:r>
        <w:rPr>
          <w:rFonts w:eastAsia="TimesNewRoman" w:cs="Times New Roman"/>
          <w:color w:val="222222"/>
          <w:szCs w:val="24"/>
        </w:rPr>
        <w:t>, 474-489.</w:t>
      </w:r>
    </w:p>
    <w:p w14:paraId="48A67D86" w14:textId="77777777" w:rsidR="009F33CD" w:rsidRDefault="00E40740" w:rsidP="005163BD">
      <w:pPr>
        <w:ind w:left="720" w:hanging="720"/>
        <w:rPr>
          <w:rFonts w:eastAsia="TimesNewRoman" w:cs="Times New Roman"/>
          <w:i/>
          <w:iCs/>
          <w:szCs w:val="24"/>
        </w:rPr>
      </w:pPr>
      <w:r>
        <w:rPr>
          <w:rFonts w:eastAsia="TimesNewRoman" w:cs="Times New Roman"/>
          <w:szCs w:val="24"/>
        </w:rPr>
        <w:t xml:space="preserve">Mathapati, C. (2013). Green Human Resources Management as a Strategic Facet: Journal of </w:t>
      </w:r>
      <w:r>
        <w:rPr>
          <w:rFonts w:eastAsia="TimesNewRoman" w:cs="Times New Roman"/>
          <w:i/>
          <w:iCs/>
          <w:szCs w:val="24"/>
        </w:rPr>
        <w:t>Tactful Management Research, 2</w:t>
      </w:r>
      <w:r>
        <w:rPr>
          <w:rFonts w:eastAsia="TimesNewRoman" w:cs="Times New Roman"/>
          <w:szCs w:val="24"/>
        </w:rPr>
        <w:t>(2), 1–6.</w:t>
      </w:r>
    </w:p>
    <w:p w14:paraId="362A4C81" w14:textId="77777777" w:rsidR="009F33CD" w:rsidRDefault="00E40740" w:rsidP="005163BD">
      <w:pPr>
        <w:ind w:left="720" w:hanging="720"/>
        <w:rPr>
          <w:rFonts w:cs="Times New Roman"/>
          <w:color w:val="000000"/>
          <w:szCs w:val="24"/>
        </w:rPr>
      </w:pPr>
      <w:r>
        <w:rPr>
          <w:rFonts w:cs="Times New Roman"/>
          <w:bCs/>
          <w:color w:val="000000"/>
          <w:szCs w:val="24"/>
        </w:rPr>
        <w:t xml:space="preserve">Mehta, K., &amp; Chugan, P. (2015). Green Human Resource Management on Environmentally Sustainable Business: </w:t>
      </w:r>
      <w:r>
        <w:rPr>
          <w:rFonts w:cs="Times New Roman"/>
          <w:i/>
          <w:color w:val="000000"/>
          <w:szCs w:val="24"/>
        </w:rPr>
        <w:t>The universal Journal of Industrial and Business Management,</w:t>
      </w:r>
      <w:r>
        <w:rPr>
          <w:rFonts w:cs="Times New Roman"/>
          <w:color w:val="000000"/>
          <w:szCs w:val="24"/>
        </w:rPr>
        <w:t xml:space="preserve"> </w:t>
      </w:r>
      <w:r>
        <w:rPr>
          <w:rFonts w:cs="Times New Roman"/>
          <w:i/>
          <w:color w:val="000000"/>
          <w:szCs w:val="24"/>
        </w:rPr>
        <w:t>3</w:t>
      </w:r>
      <w:r>
        <w:rPr>
          <w:rFonts w:cs="Times New Roman"/>
          <w:color w:val="000000"/>
          <w:szCs w:val="24"/>
        </w:rPr>
        <w:t>(3), 74-81.</w:t>
      </w:r>
    </w:p>
    <w:p w14:paraId="0FC5CE01" w14:textId="77777777" w:rsidR="000459F3" w:rsidRDefault="00E40740" w:rsidP="005163BD">
      <w:pPr>
        <w:autoSpaceDE/>
        <w:autoSpaceDN/>
        <w:adjustRightInd/>
        <w:ind w:left="720" w:hanging="720"/>
        <w:rPr>
          <w:rFonts w:cs="Times New Roman"/>
          <w:bCs/>
          <w:color w:val="000000"/>
          <w:szCs w:val="24"/>
        </w:rPr>
      </w:pPr>
      <w:r>
        <w:rPr>
          <w:rFonts w:cs="Times New Roman"/>
          <w:bCs/>
          <w:color w:val="000000"/>
          <w:szCs w:val="24"/>
        </w:rPr>
        <w:t xml:space="preserve">Ministry of Health (2011). Health Sector Budgetary Allocation and Spending: Health Sector Analysis Report, </w:t>
      </w:r>
      <w:bookmarkStart w:id="1814" w:name="_Hlk219204830"/>
      <w:r>
        <w:rPr>
          <w:rFonts w:cs="Times New Roman"/>
          <w:bCs/>
          <w:color w:val="000000"/>
          <w:szCs w:val="24"/>
        </w:rPr>
        <w:t>Nairobi: Government Printer</w:t>
      </w:r>
      <w:bookmarkEnd w:id="1814"/>
      <w:r>
        <w:rPr>
          <w:rFonts w:cs="Times New Roman"/>
          <w:bCs/>
          <w:color w:val="000000"/>
          <w:szCs w:val="24"/>
        </w:rPr>
        <w:t>.</w:t>
      </w:r>
    </w:p>
    <w:p w14:paraId="327CA760" w14:textId="77777777" w:rsidR="000459F3" w:rsidRPr="000459F3" w:rsidRDefault="000459F3" w:rsidP="005163BD">
      <w:pPr>
        <w:autoSpaceDE/>
        <w:autoSpaceDN/>
        <w:adjustRightInd/>
        <w:ind w:left="720" w:hanging="720"/>
        <w:rPr>
          <w:rFonts w:cs="Times New Roman"/>
          <w:bCs/>
          <w:color w:val="000000"/>
          <w:szCs w:val="24"/>
        </w:rPr>
      </w:pPr>
      <w:r w:rsidRPr="000459F3">
        <w:rPr>
          <w:rFonts w:cs="Times New Roman"/>
          <w:color w:val="000000"/>
          <w:szCs w:val="24"/>
        </w:rPr>
        <w:t>Ministry of Health</w:t>
      </w:r>
      <w:r>
        <w:rPr>
          <w:rFonts w:cs="Times New Roman"/>
          <w:color w:val="000000"/>
          <w:szCs w:val="24"/>
        </w:rPr>
        <w:t xml:space="preserve"> </w:t>
      </w:r>
      <w:r w:rsidRPr="000459F3">
        <w:rPr>
          <w:rFonts w:cs="Times New Roman"/>
          <w:bCs/>
          <w:color w:val="000000"/>
          <w:szCs w:val="24"/>
        </w:rPr>
        <w:t>(2019). </w:t>
      </w:r>
      <w:r w:rsidRPr="000459F3">
        <w:rPr>
          <w:rFonts w:cs="Times New Roman"/>
          <w:bCs/>
          <w:i/>
          <w:iCs/>
          <w:color w:val="000000"/>
          <w:szCs w:val="24"/>
        </w:rPr>
        <w:t>Health Sector Annual Performance Review Report 2018/2019</w:t>
      </w:r>
      <w:r w:rsidRPr="000459F3">
        <w:rPr>
          <w:rFonts w:cs="Times New Roman"/>
          <w:bCs/>
          <w:color w:val="000000"/>
          <w:szCs w:val="24"/>
        </w:rPr>
        <w:t xml:space="preserve"> Nairobi</w:t>
      </w:r>
      <w:r>
        <w:rPr>
          <w:rFonts w:cs="Times New Roman"/>
          <w:bCs/>
          <w:color w:val="000000"/>
          <w:szCs w:val="24"/>
        </w:rPr>
        <w:t xml:space="preserve">, </w:t>
      </w:r>
      <w:r w:rsidRPr="000459F3">
        <w:rPr>
          <w:rFonts w:cs="Times New Roman"/>
          <w:bCs/>
          <w:color w:val="000000"/>
          <w:szCs w:val="24"/>
        </w:rPr>
        <w:t>Government Printer, Kenya</w:t>
      </w:r>
      <w:r w:rsidRPr="000459F3">
        <w:rPr>
          <w:rFonts w:cs="Times New Roman"/>
          <w:bCs/>
          <w:i/>
          <w:iCs/>
          <w:color w:val="000000"/>
          <w:szCs w:val="24"/>
        </w:rPr>
        <w:t>.</w:t>
      </w:r>
    </w:p>
    <w:p w14:paraId="732DCB63" w14:textId="77777777" w:rsidR="009F33CD" w:rsidRDefault="00E40740" w:rsidP="005163BD">
      <w:pPr>
        <w:autoSpaceDE/>
        <w:autoSpaceDN/>
        <w:adjustRightInd/>
        <w:ind w:left="720" w:hanging="720"/>
        <w:rPr>
          <w:rFonts w:cs="Times New Roman"/>
          <w:bCs/>
          <w:color w:val="000000"/>
          <w:szCs w:val="24"/>
        </w:rPr>
      </w:pPr>
      <w:r>
        <w:rPr>
          <w:rFonts w:cs="Times New Roman"/>
          <w:bCs/>
          <w:color w:val="000000"/>
          <w:szCs w:val="24"/>
        </w:rPr>
        <w:t>Ministry of Health (2017). National and County Budget Analysis 2016/2017.</w:t>
      </w:r>
    </w:p>
    <w:p w14:paraId="3EE09A0A" w14:textId="77777777" w:rsidR="009F33CD" w:rsidRDefault="00E40740" w:rsidP="005163BD">
      <w:pPr>
        <w:autoSpaceDE/>
        <w:autoSpaceDN/>
        <w:adjustRightInd/>
        <w:ind w:left="720" w:hanging="720"/>
        <w:rPr>
          <w:rFonts w:cs="Times New Roman"/>
          <w:bCs/>
          <w:color w:val="000000"/>
          <w:szCs w:val="24"/>
        </w:rPr>
      </w:pPr>
      <w:r>
        <w:rPr>
          <w:rFonts w:eastAsia="Times New Roman" w:cs="Times New Roman"/>
          <w:szCs w:val="24"/>
        </w:rPr>
        <w:t xml:space="preserve">Ministry of Health (2014). </w:t>
      </w:r>
      <w:r>
        <w:rPr>
          <w:rFonts w:cs="Times New Roman"/>
          <w:bCs/>
          <w:color w:val="000000"/>
          <w:szCs w:val="24"/>
        </w:rPr>
        <w:t>Health Sector: Human Resource Strategy- 2014-2018, Ministry of Health Nairobi, Kenya.</w:t>
      </w:r>
    </w:p>
    <w:p w14:paraId="49823BE3" w14:textId="77777777" w:rsidR="009F33CD" w:rsidRDefault="00E40740" w:rsidP="005163BD">
      <w:pPr>
        <w:autoSpaceDE/>
        <w:autoSpaceDN/>
        <w:adjustRightInd/>
        <w:ind w:left="720" w:hanging="720"/>
        <w:rPr>
          <w:rFonts w:cs="Times New Roman"/>
          <w:bCs/>
          <w:color w:val="000000"/>
          <w:szCs w:val="24"/>
        </w:rPr>
      </w:pPr>
      <w:r>
        <w:rPr>
          <w:rFonts w:cs="Times New Roman"/>
          <w:bCs/>
          <w:color w:val="000000"/>
          <w:szCs w:val="24"/>
        </w:rPr>
        <w:t>Ministry of Health (2014). National Health Sector Strategic Plan (NHSSP) III 2013</w:t>
      </w:r>
      <w:r>
        <w:rPr>
          <w:rFonts w:cs="Times New Roman"/>
          <w:bCs/>
          <w:color w:val="000000"/>
          <w:szCs w:val="24"/>
        </w:rPr>
        <w:noBreakHyphen/>
        <w:t>2018. Government of Republic of Kenya.</w:t>
      </w:r>
    </w:p>
    <w:p w14:paraId="24404D88" w14:textId="77777777" w:rsidR="000459F3" w:rsidRDefault="00E40740" w:rsidP="005163BD">
      <w:pPr>
        <w:autoSpaceDE/>
        <w:autoSpaceDN/>
        <w:adjustRightInd/>
        <w:ind w:left="720" w:hanging="720"/>
      </w:pPr>
      <w:r>
        <w:t xml:space="preserve">Mishra, P. (2017). Green Human Resource Management: A Framework for Sustainable Organizational Development in an Emerging Economy. </w:t>
      </w:r>
      <w:r>
        <w:rPr>
          <w:i/>
        </w:rPr>
        <w:t>International Journal of Organizational Analysis</w:t>
      </w:r>
      <w:r>
        <w:t xml:space="preserve">, </w:t>
      </w:r>
      <w:r>
        <w:rPr>
          <w:i/>
        </w:rPr>
        <w:t>25</w:t>
      </w:r>
      <w:r>
        <w:t>(5), 762–788.</w:t>
      </w:r>
    </w:p>
    <w:p w14:paraId="51EB1A9E" w14:textId="77777777" w:rsidR="000459F3" w:rsidRPr="000459F3" w:rsidRDefault="000459F3" w:rsidP="005163BD">
      <w:pPr>
        <w:autoSpaceDE/>
        <w:autoSpaceDN/>
        <w:adjustRightInd/>
        <w:ind w:left="720" w:hanging="720"/>
      </w:pPr>
      <w:r w:rsidRPr="000459F3">
        <w:t>Moses, M. W., Korir, J., Zeng, W., Musiega, A., Oyasi, J., Lu, R.,</w:t>
      </w:r>
      <w:r>
        <w:t xml:space="preserve"> </w:t>
      </w:r>
      <w:r w:rsidRPr="000459F3">
        <w:t>&amp; Di Giorgio, L. (2021). Performance assessment of the county healthcare systems in Kenya: a mixed-methods analysis. </w:t>
      </w:r>
      <w:r w:rsidRPr="000459F3">
        <w:rPr>
          <w:i/>
          <w:iCs/>
        </w:rPr>
        <w:t>BMJ global health</w:t>
      </w:r>
      <w:r w:rsidRPr="000459F3">
        <w:t>, </w:t>
      </w:r>
      <w:r w:rsidRPr="000459F3">
        <w:rPr>
          <w:i/>
          <w:iCs/>
        </w:rPr>
        <w:t>6</w:t>
      </w:r>
      <w:r w:rsidRPr="000459F3">
        <w:t>(6), e004707.</w:t>
      </w:r>
    </w:p>
    <w:p w14:paraId="436912CA" w14:textId="77777777" w:rsidR="009F33CD" w:rsidRDefault="00E40740" w:rsidP="005163BD">
      <w:pPr>
        <w:autoSpaceDE/>
        <w:autoSpaceDN/>
        <w:adjustRightInd/>
        <w:ind w:left="720" w:hanging="720"/>
        <w:rPr>
          <w:rFonts w:eastAsia="Times New Roman" w:cs="Times New Roman"/>
          <w:szCs w:val="24"/>
        </w:rPr>
      </w:pPr>
      <w:r>
        <w:rPr>
          <w:rFonts w:eastAsia="Times New Roman" w:cs="Times New Roman"/>
          <w:bCs/>
          <w:szCs w:val="24"/>
        </w:rPr>
        <w:t>Momena, A., Nur-E-Alam, S., &amp; Asraful, A.</w:t>
      </w:r>
      <w:r>
        <w:rPr>
          <w:rFonts w:eastAsia="Times New Roman" w:cs="Times New Roman"/>
          <w:bCs/>
          <w:iCs/>
          <w:szCs w:val="24"/>
        </w:rPr>
        <w:t xml:space="preserve"> (2013). </w:t>
      </w:r>
      <w:r>
        <w:rPr>
          <w:rFonts w:eastAsia="Times New Roman" w:cs="Times New Roman"/>
          <w:bCs/>
          <w:szCs w:val="24"/>
        </w:rPr>
        <w:t>Human Resource Practices on Performance of Employees in Cement Industry in Bangladesh: A</w:t>
      </w:r>
      <w:r>
        <w:rPr>
          <w:rFonts w:eastAsia="Times New Roman" w:cs="Times New Roman"/>
          <w:i/>
          <w:szCs w:val="24"/>
        </w:rPr>
        <w:t xml:space="preserve"> Global disclosure of Economics and Business, 2</w:t>
      </w:r>
      <w:r>
        <w:rPr>
          <w:rFonts w:eastAsia="Times New Roman" w:cs="Times New Roman"/>
          <w:szCs w:val="24"/>
        </w:rPr>
        <w:t>(2), 125-132.</w:t>
      </w:r>
    </w:p>
    <w:p w14:paraId="31029EBC" w14:textId="77777777" w:rsidR="009F33CD" w:rsidRDefault="00E40740" w:rsidP="005163BD">
      <w:pPr>
        <w:ind w:left="720" w:hanging="720"/>
        <w:rPr>
          <w:rFonts w:cs="Times New Roman"/>
          <w:bCs/>
          <w:color w:val="000000"/>
          <w:szCs w:val="24"/>
        </w:rPr>
      </w:pPr>
      <w:r>
        <w:rPr>
          <w:rFonts w:cs="Times New Roman"/>
          <w:bCs/>
          <w:color w:val="000000"/>
          <w:szCs w:val="24"/>
        </w:rPr>
        <w:lastRenderedPageBreak/>
        <w:t xml:space="preserve">Mpeo, J., &amp; Baraka, N. (2017). </w:t>
      </w:r>
      <w:r>
        <w:rPr>
          <w:rFonts w:cs="Times New Roman"/>
          <w:color w:val="000000"/>
          <w:szCs w:val="24"/>
        </w:rPr>
        <w:t xml:space="preserve">Effect of Training on Employees’ Performance: A Case of Institutions of Higher Learning in Arusha City, Tanzania. </w:t>
      </w:r>
      <w:r>
        <w:rPr>
          <w:rFonts w:cs="Times New Roman"/>
          <w:bCs/>
          <w:i/>
          <w:color w:val="000000"/>
          <w:szCs w:val="24"/>
        </w:rPr>
        <w:t>International Journal of Science and Research, 6</w:t>
      </w:r>
      <w:r>
        <w:rPr>
          <w:rFonts w:cs="Times New Roman"/>
          <w:bCs/>
          <w:color w:val="000000"/>
          <w:szCs w:val="24"/>
        </w:rPr>
        <w:t>(10), 1924-1930.</w:t>
      </w:r>
    </w:p>
    <w:p w14:paraId="4C90537C" w14:textId="77777777" w:rsidR="009F33CD" w:rsidRDefault="00E40740" w:rsidP="005163BD">
      <w:pPr>
        <w:ind w:left="720" w:hanging="720"/>
        <w:rPr>
          <w:rFonts w:cs="Times New Roman"/>
          <w:bCs/>
          <w:color w:val="000000"/>
          <w:szCs w:val="24"/>
        </w:rPr>
      </w:pPr>
      <w:r>
        <w:rPr>
          <w:rFonts w:cs="Times New Roman"/>
          <w:bCs/>
          <w:color w:val="000000"/>
          <w:szCs w:val="24"/>
        </w:rPr>
        <w:t xml:space="preserve">Muchomba, F. G., &amp; Karanja, N. (2015). Influence of Devolved Governance and Performance of the Health Sector in Kenya. </w:t>
      </w:r>
      <w:r>
        <w:rPr>
          <w:rFonts w:cs="Times New Roman"/>
          <w:bCs/>
          <w:i/>
          <w:iCs/>
          <w:color w:val="000000"/>
          <w:szCs w:val="24"/>
        </w:rPr>
        <w:t>Strategic Journals</w:t>
      </w:r>
      <w:r>
        <w:rPr>
          <w:rFonts w:cs="Times New Roman"/>
          <w:bCs/>
          <w:color w:val="000000"/>
          <w:szCs w:val="24"/>
        </w:rPr>
        <w:t xml:space="preserve">, </w:t>
      </w:r>
      <w:r>
        <w:rPr>
          <w:rFonts w:cs="Times New Roman"/>
          <w:bCs/>
          <w:i/>
          <w:color w:val="000000"/>
          <w:szCs w:val="24"/>
        </w:rPr>
        <w:t>2</w:t>
      </w:r>
      <w:r>
        <w:rPr>
          <w:rFonts w:cs="Times New Roman"/>
          <w:bCs/>
          <w:color w:val="000000"/>
          <w:szCs w:val="24"/>
        </w:rPr>
        <w:t>(51), 67-105.</w:t>
      </w:r>
    </w:p>
    <w:p w14:paraId="57DF96EF" w14:textId="77777777" w:rsidR="009F33CD" w:rsidRDefault="00E40740" w:rsidP="005163BD">
      <w:pPr>
        <w:ind w:left="720" w:hanging="720"/>
        <w:rPr>
          <w:rFonts w:cs="Times New Roman"/>
          <w:bCs/>
          <w:color w:val="000000"/>
          <w:szCs w:val="24"/>
        </w:rPr>
      </w:pPr>
      <w:r>
        <w:rPr>
          <w:rFonts w:cs="Times New Roman"/>
          <w:szCs w:val="24"/>
          <w:shd w:val="clear" w:color="auto" w:fill="FFFFFF"/>
        </w:rPr>
        <w:t>Mugenda, O.M., &amp; Mugenda, A.G. (200</w:t>
      </w:r>
      <w:r w:rsidR="0002198B">
        <w:rPr>
          <w:rFonts w:cs="Times New Roman"/>
          <w:szCs w:val="24"/>
          <w:shd w:val="clear" w:color="auto" w:fill="FFFFFF"/>
        </w:rPr>
        <w:t>8</w:t>
      </w:r>
      <w:r>
        <w:rPr>
          <w:rFonts w:cs="Times New Roman"/>
          <w:szCs w:val="24"/>
          <w:shd w:val="clear" w:color="auto" w:fill="FFFFFF"/>
        </w:rPr>
        <w:t xml:space="preserve">). </w:t>
      </w:r>
      <w:r>
        <w:rPr>
          <w:rFonts w:cs="Times New Roman"/>
          <w:i/>
          <w:szCs w:val="24"/>
          <w:shd w:val="clear" w:color="auto" w:fill="FFFFFF"/>
        </w:rPr>
        <w:t>Qualitative Research Methods</w:t>
      </w:r>
      <w:r>
        <w:rPr>
          <w:rFonts w:cs="Times New Roman"/>
          <w:szCs w:val="24"/>
          <w:shd w:val="clear" w:color="auto" w:fill="FFFFFF"/>
        </w:rPr>
        <w:t>. </w:t>
      </w:r>
      <w:r>
        <w:rPr>
          <w:rFonts w:cs="Times New Roman"/>
          <w:i/>
          <w:iCs/>
          <w:szCs w:val="24"/>
          <w:shd w:val="clear" w:color="auto" w:fill="FFFFFF"/>
        </w:rPr>
        <w:t xml:space="preserve"> </w:t>
      </w:r>
      <w:r>
        <w:rPr>
          <w:rFonts w:cs="Times New Roman"/>
          <w:iCs/>
          <w:szCs w:val="24"/>
          <w:shd w:val="clear" w:color="auto" w:fill="FFFFFF"/>
        </w:rPr>
        <w:t>Nairobi: Applied Research and Training Services.</w:t>
      </w:r>
    </w:p>
    <w:p w14:paraId="37AE3554" w14:textId="77777777" w:rsidR="009F33CD" w:rsidRDefault="00E40740" w:rsidP="005163BD">
      <w:pPr>
        <w:ind w:left="720" w:hanging="720"/>
        <w:rPr>
          <w:rFonts w:cs="Times New Roman"/>
          <w:bCs/>
          <w:color w:val="000000"/>
          <w:szCs w:val="24"/>
        </w:rPr>
      </w:pPr>
      <w:r>
        <w:rPr>
          <w:rFonts w:cs="Times New Roman"/>
          <w:color w:val="1F2024"/>
          <w:szCs w:val="24"/>
          <w:shd w:val="clear" w:color="auto" w:fill="FFFFFF"/>
        </w:rPr>
        <w:t>Mugenda, O.M., &amp; Mugenda, A.G. (201</w:t>
      </w:r>
      <w:r w:rsidR="0002198B">
        <w:rPr>
          <w:rFonts w:cs="Times New Roman"/>
          <w:color w:val="1F2024"/>
          <w:szCs w:val="24"/>
          <w:shd w:val="clear" w:color="auto" w:fill="FFFFFF"/>
        </w:rPr>
        <w:t>2</w:t>
      </w:r>
      <w:r>
        <w:rPr>
          <w:rFonts w:cs="Times New Roman"/>
          <w:color w:val="1F2024"/>
          <w:szCs w:val="24"/>
          <w:shd w:val="clear" w:color="auto" w:fill="FFFFFF"/>
        </w:rPr>
        <w:t>).</w:t>
      </w:r>
      <w:r>
        <w:rPr>
          <w:rStyle w:val="Emphasis"/>
          <w:rFonts w:cs="Times New Roman"/>
          <w:color w:val="1F2024"/>
          <w:szCs w:val="24"/>
          <w:shd w:val="clear" w:color="auto" w:fill="FFFFFF"/>
        </w:rPr>
        <w:t> Applied statistics in research. </w:t>
      </w:r>
      <w:r>
        <w:rPr>
          <w:rFonts w:cs="Times New Roman"/>
          <w:color w:val="1F2024"/>
          <w:szCs w:val="24"/>
          <w:shd w:val="clear" w:color="auto" w:fill="FFFFFF"/>
        </w:rPr>
        <w:t>Cape town, South Africa, Cape House Publishers.</w:t>
      </w:r>
    </w:p>
    <w:p w14:paraId="31409D93"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Muhammad, S. K., Zubair, A., &amp; Fawad, K. (2021). The Effects of Green Human Resource Management Practices on Sustainable Performance: The Mediating Role of Green Climate and Green Employee Empowerment. </w:t>
      </w:r>
      <w:r>
        <w:rPr>
          <w:rFonts w:eastAsia="Times New Roman" w:cs="Times New Roman"/>
          <w:bCs/>
          <w:i/>
          <w:szCs w:val="24"/>
        </w:rPr>
        <w:t>Turkish Online Journal of Qualitative Inquiry</w:t>
      </w:r>
      <w:r>
        <w:rPr>
          <w:rFonts w:eastAsia="Times New Roman" w:cs="Times New Roman"/>
          <w:bCs/>
          <w:szCs w:val="24"/>
        </w:rPr>
        <w:t xml:space="preserve">, </w:t>
      </w:r>
      <w:r>
        <w:rPr>
          <w:rFonts w:eastAsia="Times New Roman" w:cs="Times New Roman"/>
          <w:bCs/>
          <w:i/>
          <w:szCs w:val="24"/>
        </w:rPr>
        <w:t>12</w:t>
      </w:r>
      <w:r>
        <w:rPr>
          <w:rFonts w:eastAsia="Times New Roman" w:cs="Times New Roman"/>
          <w:bCs/>
          <w:szCs w:val="24"/>
        </w:rPr>
        <w:t xml:space="preserve">(10), 1381-1397. </w:t>
      </w:r>
    </w:p>
    <w:p w14:paraId="16E9E3E0" w14:textId="77777777" w:rsidR="009F33CD" w:rsidRDefault="00E40740" w:rsidP="005163BD">
      <w:pPr>
        <w:ind w:left="720" w:hanging="720"/>
        <w:rPr>
          <w:rFonts w:eastAsia="Times New Roman" w:cs="Times New Roman"/>
          <w:szCs w:val="24"/>
        </w:rPr>
      </w:pPr>
      <w:r>
        <w:rPr>
          <w:rFonts w:eastAsia="Times New Roman" w:cs="Times New Roman"/>
          <w:szCs w:val="24"/>
        </w:rPr>
        <w:t xml:space="preserve">Munyewende, P.O., Laetitia, C. R., &amp; Tobias, C. (2014). Positive Practice Environment Influence on Job Satisfaction of Primary Healthcare Clinic Nursing Managers in two South African Provinces: </w:t>
      </w:r>
      <w:r>
        <w:rPr>
          <w:rFonts w:eastAsia="Times New Roman" w:cs="Times New Roman"/>
          <w:i/>
          <w:szCs w:val="24"/>
        </w:rPr>
        <w:t>The journal of Human Resource for Health,</w:t>
      </w:r>
      <w:r>
        <w:rPr>
          <w:rFonts w:eastAsia="Times New Roman" w:cs="Times New Roman"/>
          <w:szCs w:val="24"/>
        </w:rPr>
        <w:t xml:space="preserve"> </w:t>
      </w:r>
      <w:r>
        <w:rPr>
          <w:rFonts w:eastAsia="Times New Roman" w:cs="Times New Roman"/>
          <w:i/>
          <w:szCs w:val="24"/>
        </w:rPr>
        <w:t>12</w:t>
      </w:r>
      <w:r>
        <w:rPr>
          <w:rFonts w:eastAsia="Times New Roman" w:cs="Times New Roman"/>
          <w:szCs w:val="24"/>
        </w:rPr>
        <w:t>(27), 1-14.</w:t>
      </w:r>
    </w:p>
    <w:p w14:paraId="25D7C931" w14:textId="77777777" w:rsidR="009F33CD" w:rsidRDefault="00E40740" w:rsidP="005163BD">
      <w:pPr>
        <w:ind w:left="720" w:hanging="720"/>
        <w:rPr>
          <w:rFonts w:eastAsia="TimesNewRomanPSMT" w:cs="Times New Roman"/>
          <w:szCs w:val="24"/>
        </w:rPr>
      </w:pPr>
      <w:r>
        <w:rPr>
          <w:rFonts w:eastAsia="TimesNewRomanPSMT" w:cs="Times New Roman"/>
          <w:szCs w:val="24"/>
        </w:rPr>
        <w:t xml:space="preserve">Muster, V., &amp; Schrader, U. (2011). Green Work-life Balance: </w:t>
      </w:r>
      <w:r>
        <w:rPr>
          <w:rFonts w:eastAsia="TimesNewRomanPSMT" w:cs="Times New Roman"/>
          <w:i/>
          <w:szCs w:val="24"/>
        </w:rPr>
        <w:t>A new Approach to Green Human Resource Management</w:t>
      </w:r>
      <w:r>
        <w:rPr>
          <w:rFonts w:eastAsia="TimesNewRomanPSMT" w:cs="Times New Roman"/>
          <w:szCs w:val="24"/>
        </w:rPr>
        <w:t xml:space="preserve">, </w:t>
      </w:r>
      <w:r>
        <w:rPr>
          <w:rFonts w:eastAsia="TimesNewRomanPSMT" w:cs="Times New Roman"/>
          <w:i/>
          <w:szCs w:val="24"/>
        </w:rPr>
        <w:t>25</w:t>
      </w:r>
      <w:r>
        <w:rPr>
          <w:rFonts w:eastAsia="TimesNewRomanPSMT" w:cs="Times New Roman"/>
          <w:szCs w:val="24"/>
        </w:rPr>
        <w:t>(2), 140-156.</w:t>
      </w:r>
    </w:p>
    <w:p w14:paraId="624E14D8" w14:textId="77777777" w:rsidR="009F33CD" w:rsidRDefault="00E40740" w:rsidP="005163BD">
      <w:pPr>
        <w:ind w:left="720" w:hanging="720"/>
      </w:pPr>
      <w:r w:rsidRPr="001B7BDB">
        <w:rPr>
          <w:lang w:val="it-IT"/>
        </w:rPr>
        <w:t xml:space="preserve">Mutisya, A. N., Muturi, W., &amp; Kemboi, I. (2019). </w:t>
      </w:r>
      <w:r>
        <w:t xml:space="preserve">Effect of Tax Incentives on Foreign Direct Investment in Kenya. </w:t>
      </w:r>
      <w:r>
        <w:rPr>
          <w:i/>
        </w:rPr>
        <w:t>International Journal of Business Management &amp; Finance</w:t>
      </w:r>
      <w:r>
        <w:t xml:space="preserve">, </w:t>
      </w:r>
      <w:r>
        <w:rPr>
          <w:i/>
        </w:rPr>
        <w:t>3</w:t>
      </w:r>
      <w:r>
        <w:t>(2), 51-64.</w:t>
      </w:r>
    </w:p>
    <w:p w14:paraId="68829D93" w14:textId="77777777" w:rsidR="009F33CD" w:rsidRDefault="00E40740" w:rsidP="005163BD">
      <w:pPr>
        <w:ind w:left="720" w:hanging="720"/>
      </w:pPr>
      <w:r>
        <w:t>Mwewa, N. (2022). Factors that Influence Employee Performance in Organizations: A Case Study of the National Road Fund Agency (NRFA), Doctoral dissertation.</w:t>
      </w:r>
    </w:p>
    <w:p w14:paraId="75E3FAF3" w14:textId="77777777" w:rsidR="009F33CD" w:rsidRDefault="00E40740" w:rsidP="005163BD">
      <w:pPr>
        <w:ind w:left="720" w:hanging="720"/>
        <w:rPr>
          <w:rFonts w:cs="Times New Roman"/>
          <w:bCs/>
          <w:szCs w:val="24"/>
        </w:rPr>
      </w:pPr>
      <w:r>
        <w:rPr>
          <w:rFonts w:cs="Times New Roman"/>
          <w:bCs/>
          <w:szCs w:val="24"/>
        </w:rPr>
        <w:lastRenderedPageBreak/>
        <w:t xml:space="preserve">Mwita, K. (2019). Conceptual Review of Green Human Resource Management Practices. </w:t>
      </w:r>
      <w:r>
        <w:rPr>
          <w:rFonts w:cs="Times New Roman"/>
          <w:bCs/>
          <w:i/>
          <w:szCs w:val="24"/>
        </w:rPr>
        <w:t>East African Journal of Social and Applied Sciences</w:t>
      </w:r>
      <w:r>
        <w:rPr>
          <w:rFonts w:cs="Times New Roman"/>
          <w:bCs/>
          <w:szCs w:val="24"/>
        </w:rPr>
        <w:t xml:space="preserve">, </w:t>
      </w:r>
      <w:r>
        <w:rPr>
          <w:rFonts w:cs="Times New Roman"/>
          <w:bCs/>
          <w:i/>
          <w:szCs w:val="24"/>
        </w:rPr>
        <w:t>1</w:t>
      </w:r>
      <w:r>
        <w:rPr>
          <w:rFonts w:cs="Times New Roman"/>
          <w:bCs/>
          <w:szCs w:val="24"/>
        </w:rPr>
        <w:t>(2), 13-20. ‌</w:t>
      </w:r>
    </w:p>
    <w:p w14:paraId="461F215B" w14:textId="77777777" w:rsidR="009F33CD" w:rsidRDefault="00E40740" w:rsidP="005163BD">
      <w:pPr>
        <w:ind w:left="720" w:hanging="720"/>
      </w:pPr>
      <w:r>
        <w:t xml:space="preserve">Mwita, K. M., &amp; Kinemo, S. M. (2018). The Role of Green Recruitment and Selection on Performance of Processing Industries in Tanzania: A Case of Tanzania Tobacco Processors Limited (TTPL). </w:t>
      </w:r>
      <w:r>
        <w:rPr>
          <w:i/>
        </w:rPr>
        <w:t>International Journal of Human Resource Studies</w:t>
      </w:r>
      <w:r>
        <w:t xml:space="preserve">, </w:t>
      </w:r>
      <w:r>
        <w:rPr>
          <w:i/>
        </w:rPr>
        <w:t>8</w:t>
      </w:r>
      <w:r>
        <w:t>(4), 35-46.</w:t>
      </w:r>
    </w:p>
    <w:p w14:paraId="334F7B3F" w14:textId="77777777" w:rsidR="009F33CD" w:rsidRDefault="00E40740" w:rsidP="005163BD">
      <w:pPr>
        <w:ind w:left="720" w:hanging="720"/>
        <w:rPr>
          <w:rFonts w:eastAsia="Times New Roman" w:cs="Times New Roman"/>
          <w:szCs w:val="24"/>
        </w:rPr>
      </w:pPr>
      <w:r>
        <w:rPr>
          <w:rFonts w:eastAsia="Times New Roman" w:cs="Times New Roman"/>
          <w:szCs w:val="24"/>
        </w:rPr>
        <w:t xml:space="preserve">Nachmias, C. F., &amp; Nachmias, D. (2008). </w:t>
      </w:r>
      <w:r>
        <w:rPr>
          <w:rFonts w:eastAsia="Times New Roman" w:cs="Times New Roman"/>
          <w:i/>
          <w:szCs w:val="24"/>
        </w:rPr>
        <w:t>Research Methods in Social Science</w:t>
      </w:r>
      <w:r>
        <w:rPr>
          <w:rFonts w:eastAsia="Times New Roman" w:cs="Times New Roman"/>
          <w:szCs w:val="24"/>
        </w:rPr>
        <w:t>. (5</w:t>
      </w:r>
      <w:r>
        <w:rPr>
          <w:rFonts w:eastAsia="Times New Roman" w:cs="Times New Roman"/>
          <w:szCs w:val="24"/>
          <w:vertAlign w:val="superscript"/>
        </w:rPr>
        <w:t>th</w:t>
      </w:r>
      <w:r>
        <w:rPr>
          <w:rFonts w:eastAsia="Times New Roman" w:cs="Times New Roman"/>
          <w:szCs w:val="24"/>
        </w:rPr>
        <w:t xml:space="preserve"> ed). London: St. Martin Press, Inc.</w:t>
      </w:r>
    </w:p>
    <w:p w14:paraId="0B37FBE7" w14:textId="77777777" w:rsidR="009F33CD" w:rsidRDefault="00E40740" w:rsidP="005163BD">
      <w:pPr>
        <w:ind w:left="720" w:hanging="720"/>
        <w:rPr>
          <w:rFonts w:eastAsia="Times New Roman" w:cs="Times New Roman"/>
          <w:bCs/>
          <w:iCs/>
          <w:szCs w:val="24"/>
        </w:rPr>
      </w:pPr>
      <w:r>
        <w:rPr>
          <w:rFonts w:eastAsia="Times New Roman" w:cs="Times New Roman"/>
          <w:szCs w:val="24"/>
        </w:rPr>
        <w:t>Nangila, S. (2015). I</w:t>
      </w:r>
      <w:r>
        <w:rPr>
          <w:rFonts w:eastAsia="Times New Roman" w:cs="Times New Roman"/>
          <w:bCs/>
          <w:iCs/>
          <w:szCs w:val="24"/>
        </w:rPr>
        <w:t xml:space="preserve">nfluence of Human Resource Functions on Performance of Employees in Devolved Health Sector in Kenya, </w:t>
      </w:r>
      <w:r>
        <w:rPr>
          <w:rFonts w:eastAsia="Times New Roman" w:cs="Times New Roman"/>
          <w:bCs/>
          <w:i/>
          <w:iCs/>
          <w:szCs w:val="24"/>
        </w:rPr>
        <w:t>Strategic Journals of Management, 2</w:t>
      </w:r>
      <w:r>
        <w:rPr>
          <w:rFonts w:eastAsia="Times New Roman" w:cs="Times New Roman"/>
          <w:bCs/>
          <w:iCs/>
          <w:szCs w:val="24"/>
        </w:rPr>
        <w:t>(126), 2099-2136.</w:t>
      </w:r>
    </w:p>
    <w:p w14:paraId="7DC7827D" w14:textId="77777777" w:rsidR="009F33CD" w:rsidRDefault="00E40740" w:rsidP="005163BD">
      <w:pPr>
        <w:ind w:left="720" w:hanging="720"/>
        <w:rPr>
          <w:rFonts w:eastAsia="Times New Roman" w:cs="Times New Roman"/>
          <w:color w:val="000000"/>
          <w:szCs w:val="24"/>
        </w:rPr>
      </w:pPr>
      <w:r>
        <w:rPr>
          <w:rFonts w:eastAsia="Times New Roman" w:cs="Times New Roman"/>
          <w:szCs w:val="24"/>
        </w:rPr>
        <w:t>Naser, I. S., &amp; Khaled, S. S. (2013). The R</w:t>
      </w:r>
      <w:r>
        <w:rPr>
          <w:rFonts w:eastAsia="Times New Roman" w:cs="Times New Roman"/>
          <w:bCs/>
          <w:szCs w:val="24"/>
        </w:rPr>
        <w:t>elationship between Human Resource Management Practices and Employee Performance in Jordanian Hospitals:</w:t>
      </w:r>
      <w:r>
        <w:rPr>
          <w:rFonts w:eastAsia="Times New Roman" w:cs="Times New Roman"/>
          <w:color w:val="000000"/>
          <w:szCs w:val="24"/>
        </w:rPr>
        <w:t xml:space="preserve"> </w:t>
      </w:r>
      <w:r>
        <w:rPr>
          <w:rFonts w:eastAsia="Times New Roman" w:cs="Times New Roman"/>
          <w:i/>
          <w:color w:val="000000"/>
          <w:szCs w:val="24"/>
        </w:rPr>
        <w:t>The European Journal of Business and Management</w:t>
      </w:r>
      <w:r>
        <w:rPr>
          <w:rFonts w:eastAsia="Times New Roman" w:cs="Times New Roman"/>
          <w:color w:val="000000"/>
          <w:szCs w:val="24"/>
        </w:rPr>
        <w:t>,</w:t>
      </w:r>
      <w:r>
        <w:rPr>
          <w:rFonts w:eastAsia="Times New Roman" w:cs="Times New Roman"/>
          <w:i/>
          <w:color w:val="000000"/>
          <w:szCs w:val="24"/>
        </w:rPr>
        <w:t xml:space="preserve"> 5</w:t>
      </w:r>
      <w:r>
        <w:rPr>
          <w:rFonts w:eastAsia="Times New Roman" w:cs="Times New Roman"/>
          <w:color w:val="000000"/>
          <w:szCs w:val="24"/>
        </w:rPr>
        <w:t>(22), 129-136.</w:t>
      </w:r>
    </w:p>
    <w:p w14:paraId="69E5F0BD" w14:textId="77777777" w:rsidR="009F33CD" w:rsidRDefault="00E40740" w:rsidP="005163BD">
      <w:pPr>
        <w:ind w:left="720" w:hanging="720"/>
        <w:rPr>
          <w:rFonts w:cs="Times New Roman"/>
          <w:szCs w:val="24"/>
        </w:rPr>
      </w:pPr>
      <w:r>
        <w:rPr>
          <w:rFonts w:cs="Times New Roman"/>
          <w:szCs w:val="24"/>
        </w:rPr>
        <w:t>Neto, A.S., Jabbour, C.J.C., &amp; de Sousa Jabbour, A.B.L. (2014). Green Training Supporting Eco-Innovation in Three Brazilian Companies: Practices and Levels of Integration</w:t>
      </w:r>
      <w:r>
        <w:rPr>
          <w:rFonts w:cs="Times New Roman"/>
          <w:i/>
          <w:szCs w:val="24"/>
        </w:rPr>
        <w:t>, Industrial and Commercial Training</w:t>
      </w:r>
      <w:r>
        <w:rPr>
          <w:rFonts w:cs="Times New Roman"/>
          <w:szCs w:val="24"/>
        </w:rPr>
        <w:t xml:space="preserve">, </w:t>
      </w:r>
      <w:r>
        <w:rPr>
          <w:rFonts w:cs="Times New Roman"/>
          <w:i/>
          <w:szCs w:val="24"/>
        </w:rPr>
        <w:t>46</w:t>
      </w:r>
      <w:r>
        <w:rPr>
          <w:rFonts w:cs="Times New Roman"/>
          <w:szCs w:val="24"/>
        </w:rPr>
        <w:t xml:space="preserve"> (7), 387-392.</w:t>
      </w:r>
    </w:p>
    <w:p w14:paraId="35518244" w14:textId="77777777" w:rsidR="009F33CD" w:rsidRDefault="00E40740" w:rsidP="005163BD">
      <w:pPr>
        <w:ind w:left="720" w:hanging="720"/>
        <w:rPr>
          <w:rFonts w:eastAsia="Times New Roman" w:cs="Times New Roman"/>
          <w:bCs/>
          <w:szCs w:val="24"/>
        </w:rPr>
      </w:pPr>
      <w:r w:rsidRPr="001B7BDB">
        <w:rPr>
          <w:rFonts w:eastAsia="Times New Roman" w:cs="Times New Roman"/>
          <w:bCs/>
          <w:szCs w:val="24"/>
          <w:lang w:val="it-IT"/>
        </w:rPr>
        <w:t xml:space="preserve">Nilashi, M., Mardani, A., Liao, H., Ahmadi, H., Manaf, A. A., &amp; Almukadi, W. (2019). </w:t>
      </w:r>
      <w:r>
        <w:rPr>
          <w:rFonts w:eastAsia="Times New Roman" w:cs="Times New Roman"/>
          <w:bCs/>
          <w:szCs w:val="24"/>
        </w:rPr>
        <w:t xml:space="preserve">A Hybrid Method with TOPSIS and Machine Learning Techniques for Sustainable Development of Green Hotels Considering Online Reviews. </w:t>
      </w:r>
      <w:r>
        <w:rPr>
          <w:rFonts w:eastAsia="Times New Roman" w:cs="Times New Roman"/>
          <w:bCs/>
          <w:iCs/>
          <w:szCs w:val="24"/>
        </w:rPr>
        <w:t xml:space="preserve">Sustainability, </w:t>
      </w:r>
      <w:r>
        <w:rPr>
          <w:rFonts w:eastAsia="Times New Roman" w:cs="Times New Roman"/>
          <w:bCs/>
          <w:i/>
          <w:iCs/>
          <w:szCs w:val="24"/>
        </w:rPr>
        <w:t>11</w:t>
      </w:r>
      <w:r>
        <w:rPr>
          <w:rFonts w:eastAsia="Times New Roman" w:cs="Times New Roman"/>
          <w:bCs/>
          <w:szCs w:val="24"/>
        </w:rPr>
        <w:t>(21), 6013.</w:t>
      </w:r>
    </w:p>
    <w:p w14:paraId="12FF2AFF" w14:textId="77777777" w:rsidR="009F33CD" w:rsidRDefault="00E40740" w:rsidP="005163BD">
      <w:pPr>
        <w:ind w:left="720" w:hanging="720"/>
        <w:rPr>
          <w:rFonts w:eastAsia="Times New Roman" w:cs="Times New Roman"/>
          <w:szCs w:val="24"/>
        </w:rPr>
      </w:pPr>
      <w:r>
        <w:rPr>
          <w:rFonts w:eastAsia="Times New Roman" w:cs="Times New Roman"/>
          <w:szCs w:val="24"/>
        </w:rPr>
        <w:t xml:space="preserve">Nnebue, C., Ebenebe, U., Ifeadike, C., Adogu, P., Adinma, E., &amp; Nwabueze, A. (2014). Adequacy of Resources for Provision of Maternal Health Services at the primary Health care Level in Nnewi, Nigeria: </w:t>
      </w:r>
      <w:r>
        <w:rPr>
          <w:rFonts w:eastAsia="Times New Roman" w:cs="Times New Roman"/>
          <w:i/>
          <w:szCs w:val="24"/>
        </w:rPr>
        <w:t>Niger Medical Journal, 55</w:t>
      </w:r>
      <w:r>
        <w:rPr>
          <w:rFonts w:eastAsia="Times New Roman" w:cs="Times New Roman"/>
          <w:szCs w:val="24"/>
        </w:rPr>
        <w:t>(3), 235–41.</w:t>
      </w:r>
    </w:p>
    <w:p w14:paraId="62212644" w14:textId="77777777" w:rsidR="009F33CD" w:rsidRDefault="00E40740" w:rsidP="005163BD">
      <w:pPr>
        <w:ind w:left="720" w:hanging="720"/>
      </w:pPr>
      <w:r w:rsidRPr="001B7BDB">
        <w:rPr>
          <w:lang w:val="it-IT"/>
        </w:rPr>
        <w:t xml:space="preserve">Obeidat, S. M., Al Bakri, A. A., &amp; Elbanna, S. (2020). </w:t>
      </w:r>
      <w:r>
        <w:t xml:space="preserve">Leveraging “Green” Human Resource Practices to Enable Environmental and Organizational Performance: </w:t>
      </w:r>
      <w:r>
        <w:lastRenderedPageBreak/>
        <w:t xml:space="preserve">Evidence from the Qatari Oil and Gas Industry. </w:t>
      </w:r>
      <w:r>
        <w:rPr>
          <w:i/>
        </w:rPr>
        <w:t>Journal of Business Ethics</w:t>
      </w:r>
      <w:r>
        <w:t xml:space="preserve">, </w:t>
      </w:r>
      <w:r>
        <w:rPr>
          <w:i/>
        </w:rPr>
        <w:t>164</w:t>
      </w:r>
      <w:r>
        <w:t>. 371-388.</w:t>
      </w:r>
    </w:p>
    <w:p w14:paraId="2CC5F04C" w14:textId="77777777" w:rsidR="009F33CD" w:rsidRDefault="00E40740" w:rsidP="005163BD">
      <w:pPr>
        <w:ind w:left="720" w:hanging="720"/>
      </w:pPr>
      <w:bookmarkStart w:id="1815" w:name="_Hlk187777914"/>
      <w:r>
        <w:t xml:space="preserve">Obiora-Okafo, C. A., &amp; Imhanrenialena, O. B. (2022). </w:t>
      </w:r>
      <w:bookmarkEnd w:id="1815"/>
      <w:r>
        <w:t xml:space="preserve">Impact of Organisational Environment on Worker’s Behaviour. </w:t>
      </w:r>
      <w:r>
        <w:rPr>
          <w:i/>
          <w:iCs/>
        </w:rPr>
        <w:t>World Wide Journal of Multidisciplinary Research and Development, 8</w:t>
      </w:r>
      <w:r>
        <w:t>(1), 33-42.</w:t>
      </w:r>
    </w:p>
    <w:p w14:paraId="40A0552C" w14:textId="77777777" w:rsidR="009F33CD" w:rsidRDefault="00E40740" w:rsidP="005163BD">
      <w:pPr>
        <w:ind w:left="720" w:hanging="720"/>
      </w:pPr>
      <w:r>
        <w:rPr>
          <w:rFonts w:cs="Times New Roman"/>
          <w:szCs w:val="24"/>
        </w:rPr>
        <w:t xml:space="preserve">Occupational Safety and Health Act (2017). Kenya Gazette Supplement, No. 111 (Acts No. 15), Government Printer, Nairobi. </w:t>
      </w:r>
    </w:p>
    <w:p w14:paraId="61F05059" w14:textId="77777777" w:rsidR="009F33CD" w:rsidRDefault="00E40740" w:rsidP="005163BD">
      <w:pPr>
        <w:ind w:left="720" w:hanging="720"/>
      </w:pPr>
      <w:r>
        <w:t>Ogbu Edeh, F., &amp; Okwurume, C. N. (2019). Green Human Resource Management and Organizational Sustainability of Deposit Money Banks in Nigeria. Journal of Management Sciences,</w:t>
      </w:r>
      <w:r>
        <w:rPr>
          <w:i/>
        </w:rPr>
        <w:t xml:space="preserve"> 3</w:t>
      </w:r>
      <w:r>
        <w:t>(1), 224-235.</w:t>
      </w:r>
    </w:p>
    <w:p w14:paraId="5B475E97" w14:textId="77777777" w:rsidR="009F33CD" w:rsidRDefault="00E40740" w:rsidP="005163BD">
      <w:pPr>
        <w:ind w:left="720" w:hanging="720"/>
      </w:pPr>
      <w:r>
        <w:t xml:space="preserve">Ogola, N., Musau, P., &amp; Wekesa, C. (2023). Assessment of the Implementation of Energy Conservation Opportunities Arising from Energy Audits; A Study of Four-Star and Five-Star Hotels in Nairobi Kenya. </w:t>
      </w:r>
      <w:r>
        <w:rPr>
          <w:i/>
          <w:iCs/>
        </w:rPr>
        <w:t>Journal of Power and Energy Engineering, 11</w:t>
      </w:r>
      <w:r>
        <w:t>(9), 15-44.</w:t>
      </w:r>
      <w:bookmarkStart w:id="1816" w:name="_Hlk174112495"/>
    </w:p>
    <w:p w14:paraId="5C04B526" w14:textId="77777777" w:rsidR="009F33CD" w:rsidRDefault="00E40740" w:rsidP="005163BD">
      <w:pPr>
        <w:ind w:left="720" w:hanging="720"/>
      </w:pPr>
      <w:r>
        <w:t xml:space="preserve">Okeyo, E. O., &amp; Ragui, M. (2017). Green Economy Strategies Adoption on Financial Performance of Cement Company, Kenya. </w:t>
      </w:r>
      <w:r>
        <w:rPr>
          <w:i/>
        </w:rPr>
        <w:t>International Academic Journal of Human Resource and Business Administration,</w:t>
      </w:r>
      <w:r>
        <w:t xml:space="preserve"> </w:t>
      </w:r>
      <w:r>
        <w:rPr>
          <w:i/>
        </w:rPr>
        <w:t>2</w:t>
      </w:r>
      <w:r>
        <w:t>(4), 347-365.</w:t>
      </w:r>
    </w:p>
    <w:p w14:paraId="3BA65B08" w14:textId="77777777" w:rsidR="009F33CD" w:rsidRDefault="00E40740" w:rsidP="005163BD">
      <w:pPr>
        <w:ind w:left="720" w:hanging="720"/>
      </w:pPr>
      <w:r>
        <w:t xml:space="preserve">Omondi-Ochieng, P. (2018). Gold Cup: Human Resources as Sources of Competitive Advantage and Superior Performance. Evidence-Based HRM, Emerald Group publishing Ltd., </w:t>
      </w:r>
      <w:r>
        <w:rPr>
          <w:i/>
        </w:rPr>
        <w:t>6</w:t>
      </w:r>
      <w:r>
        <w:t>(3), 242-254.</w:t>
      </w:r>
    </w:p>
    <w:p w14:paraId="77FF0EC8" w14:textId="77777777" w:rsidR="009F33CD" w:rsidRDefault="00E40740" w:rsidP="005163BD">
      <w:pPr>
        <w:autoSpaceDE/>
        <w:autoSpaceDN/>
        <w:adjustRightInd/>
        <w:ind w:left="720" w:hanging="720"/>
        <w:rPr>
          <w:rFonts w:eastAsia="Times New Roman" w:cs="Times New Roman"/>
          <w:i/>
          <w:iCs/>
          <w:color w:val="000000"/>
          <w:szCs w:val="24"/>
        </w:rPr>
      </w:pPr>
      <w:r>
        <w:rPr>
          <w:rFonts w:eastAsia="Times New Roman" w:cs="Times New Roman"/>
          <w:color w:val="000000"/>
          <w:szCs w:val="24"/>
        </w:rPr>
        <w:t xml:space="preserve">Omune, S., &amp; Nyang’au, S. (2021). Effect of Green Human Resource Management Practices on Employee Work Performance in Selected Public Universities in South Rift Kenya, </w:t>
      </w:r>
      <w:r>
        <w:rPr>
          <w:rFonts w:eastAsia="Times New Roman" w:cs="Times New Roman"/>
          <w:i/>
          <w:iCs/>
          <w:color w:val="000000"/>
          <w:szCs w:val="24"/>
        </w:rPr>
        <w:t>Journal of Human Resource Management, 3(1), 501-514.</w:t>
      </w:r>
    </w:p>
    <w:bookmarkEnd w:id="1816"/>
    <w:p w14:paraId="0EE6F66F" w14:textId="77777777" w:rsidR="009F33CD" w:rsidRDefault="00E40740" w:rsidP="005163BD">
      <w:pPr>
        <w:ind w:left="720" w:hanging="720"/>
      </w:pPr>
      <w:r>
        <w:t>Ongoncho, S. (2019. Training and Performance of Micro and Small Enterprises in Kisii County in Kenya, A published Thesis of Jomo Kenyatta University of Agriculture and Technology, Nairobi</w:t>
      </w:r>
    </w:p>
    <w:p w14:paraId="4D88C9D4" w14:textId="77777777" w:rsidR="009F33CD" w:rsidRDefault="00E40740" w:rsidP="005163BD">
      <w:pPr>
        <w:ind w:left="720" w:hanging="720"/>
        <w:rPr>
          <w:rFonts w:eastAsia="Times New Roman" w:cs="Times New Roman"/>
          <w:bCs/>
          <w:szCs w:val="24"/>
        </w:rPr>
      </w:pPr>
      <w:r>
        <w:rPr>
          <w:rFonts w:eastAsia="Times New Roman" w:cs="Times New Roman"/>
          <w:bCs/>
          <w:szCs w:val="24"/>
        </w:rPr>
        <w:lastRenderedPageBreak/>
        <w:t xml:space="preserve">Opatha, H. D. (2013). Green human resource management: </w:t>
      </w:r>
      <w:r>
        <w:rPr>
          <w:rFonts w:eastAsia="Times New Roman" w:cs="Times New Roman"/>
          <w:bCs/>
          <w:i/>
          <w:szCs w:val="24"/>
        </w:rPr>
        <w:t>A Simplified introduction of HR dialogue, Faculty of Management Studies and Commerce, University of Sri Jayewardenepura</w:t>
      </w:r>
      <w:r>
        <w:rPr>
          <w:rFonts w:eastAsia="Times New Roman" w:cs="Times New Roman"/>
          <w:bCs/>
          <w:szCs w:val="24"/>
        </w:rPr>
        <w:t>,</w:t>
      </w:r>
      <w:r>
        <w:rPr>
          <w:rFonts w:eastAsia="Times New Roman" w:cs="Times New Roman"/>
          <w:bCs/>
          <w:color w:val="FF0000"/>
          <w:szCs w:val="24"/>
        </w:rPr>
        <w:t xml:space="preserve"> </w:t>
      </w:r>
      <w:r>
        <w:rPr>
          <w:rFonts w:eastAsia="Times New Roman" w:cs="Times New Roman"/>
          <w:bCs/>
          <w:szCs w:val="24"/>
        </w:rPr>
        <w:t>21-41.</w:t>
      </w:r>
    </w:p>
    <w:p w14:paraId="13B3AB20" w14:textId="77777777" w:rsidR="009F33CD" w:rsidRDefault="00E40740" w:rsidP="005163BD">
      <w:pPr>
        <w:ind w:left="720" w:hanging="720"/>
        <w:rPr>
          <w:rFonts w:eastAsia="TimesNewRoman" w:cs="Times New Roman"/>
          <w:szCs w:val="24"/>
        </w:rPr>
      </w:pPr>
      <w:bookmarkStart w:id="1817" w:name="_Hlk174042387"/>
      <w:r>
        <w:rPr>
          <w:rFonts w:eastAsia="TimesNewRoman" w:cs="Times New Roman"/>
          <w:szCs w:val="24"/>
        </w:rPr>
        <w:t xml:space="preserve">Opatha, H.D., &amp; Arulrajah, A. (2014). Green HRM - Simplified and General Reflection: </w:t>
      </w:r>
      <w:r>
        <w:rPr>
          <w:rFonts w:eastAsia="TimesNewRoman" w:cs="Times New Roman"/>
          <w:i/>
          <w:iCs/>
          <w:szCs w:val="24"/>
        </w:rPr>
        <w:t>The International Journal of Business Research, 7</w:t>
      </w:r>
      <w:r>
        <w:rPr>
          <w:rFonts w:eastAsia="TimesNewRoman" w:cs="Times New Roman"/>
          <w:szCs w:val="24"/>
        </w:rPr>
        <w:t>(8), 101-113.</w:t>
      </w:r>
    </w:p>
    <w:p w14:paraId="6EB8ADAF" w14:textId="77777777" w:rsidR="009F33CD" w:rsidRDefault="00E40740" w:rsidP="005163BD">
      <w:pPr>
        <w:ind w:left="720" w:hanging="720"/>
        <w:rPr>
          <w:rFonts w:eastAsia="TimesNewRoman" w:cs="Times New Roman"/>
          <w:szCs w:val="24"/>
        </w:rPr>
      </w:pPr>
      <w:r w:rsidRPr="001B7BDB">
        <w:rPr>
          <w:rFonts w:eastAsia="TimesNewRoman" w:cs="Times New Roman"/>
          <w:szCs w:val="24"/>
          <w:lang w:val="it-IT"/>
        </w:rPr>
        <w:t xml:space="preserve">Otieno, O. B., Atieno, J. V., &amp; Long’ora, A. (2025). </w:t>
      </w:r>
      <w:r>
        <w:rPr>
          <w:rFonts w:eastAsia="TimesNewRoman" w:cs="Times New Roman"/>
          <w:szCs w:val="24"/>
        </w:rPr>
        <w:t>Influence of waste management infrastructure on source segregation of medical waste at a major referral hospital in Western Kenya. </w:t>
      </w:r>
      <w:r>
        <w:rPr>
          <w:rFonts w:eastAsia="TimesNewRoman" w:cs="Times New Roman"/>
          <w:i/>
          <w:iCs/>
          <w:szCs w:val="24"/>
        </w:rPr>
        <w:t>European Scientific Journal, ESJ</w:t>
      </w:r>
      <w:r>
        <w:rPr>
          <w:rFonts w:eastAsia="TimesNewRoman" w:cs="Times New Roman"/>
          <w:szCs w:val="24"/>
        </w:rPr>
        <w:t>, </w:t>
      </w:r>
      <w:r>
        <w:rPr>
          <w:rFonts w:eastAsia="TimesNewRoman" w:cs="Times New Roman"/>
          <w:i/>
          <w:iCs/>
          <w:szCs w:val="24"/>
        </w:rPr>
        <w:t>21</w:t>
      </w:r>
      <w:r>
        <w:rPr>
          <w:rFonts w:eastAsia="TimesNewRoman" w:cs="Times New Roman"/>
          <w:szCs w:val="24"/>
        </w:rPr>
        <w:t>(15), 53</w:t>
      </w:r>
      <w:bookmarkEnd w:id="1817"/>
      <w:r>
        <w:rPr>
          <w:rFonts w:eastAsia="TimesNewRoman" w:cs="Times New Roman"/>
          <w:szCs w:val="24"/>
        </w:rPr>
        <w:t>.</w:t>
      </w:r>
    </w:p>
    <w:p w14:paraId="3DEC0238" w14:textId="77777777" w:rsidR="009F33CD" w:rsidRDefault="00E40740" w:rsidP="005163BD">
      <w:pPr>
        <w:ind w:left="720" w:hanging="720"/>
        <w:rPr>
          <w:rFonts w:eastAsia="Times New Roman" w:cs="Times New Roman"/>
          <w:bCs/>
          <w:szCs w:val="24"/>
        </w:rPr>
      </w:pPr>
      <w:r>
        <w:rPr>
          <w:rFonts w:eastAsia="Times New Roman" w:cs="Times New Roman"/>
          <w:szCs w:val="24"/>
        </w:rPr>
        <w:t>Owee, K., Rajendran, M., &amp; Teoh, A. (2013).</w:t>
      </w:r>
      <w:r>
        <w:rPr>
          <w:rFonts w:eastAsia="Times New Roman" w:cs="Times New Roman"/>
          <w:bCs/>
          <w:szCs w:val="24"/>
        </w:rPr>
        <w:t xml:space="preserve"> A Relationship between HRM Practices and Performance of Firms: </w:t>
      </w:r>
      <w:r>
        <w:rPr>
          <w:rFonts w:eastAsia="Times New Roman" w:cs="Times New Roman"/>
          <w:bCs/>
          <w:i/>
          <w:szCs w:val="24"/>
        </w:rPr>
        <w:t>The Australian</w:t>
      </w:r>
      <w:r>
        <w:rPr>
          <w:rFonts w:eastAsia="Times New Roman" w:cs="Times New Roman"/>
          <w:i/>
          <w:szCs w:val="24"/>
        </w:rPr>
        <w:t xml:space="preserve"> Journal of Basic and Applied Sciences</w:t>
      </w:r>
      <w:r>
        <w:rPr>
          <w:rFonts w:eastAsia="Times New Roman" w:cs="Times New Roman"/>
          <w:szCs w:val="24"/>
        </w:rPr>
        <w:t xml:space="preserve">, </w:t>
      </w:r>
      <w:r>
        <w:rPr>
          <w:rFonts w:eastAsia="Times New Roman" w:cs="Times New Roman"/>
          <w:i/>
          <w:szCs w:val="24"/>
        </w:rPr>
        <w:t>7</w:t>
      </w:r>
      <w:r>
        <w:rPr>
          <w:rFonts w:eastAsia="Times New Roman" w:cs="Times New Roman"/>
          <w:szCs w:val="24"/>
        </w:rPr>
        <w:t>(2), 312-316.</w:t>
      </w:r>
    </w:p>
    <w:p w14:paraId="221DEAB3" w14:textId="77777777" w:rsidR="009F33CD" w:rsidRDefault="00E40740" w:rsidP="005163BD">
      <w:pPr>
        <w:ind w:left="720" w:hanging="720"/>
      </w:pPr>
      <w:r>
        <w:t>Owino, W. A., &amp; Kwasira, J. (2016). Influence of Selected Green Human Resource Management Practices on Environmental Sustainability at Menengai Oil Refinery Limited Nakuru, Kenya. </w:t>
      </w:r>
      <w:r>
        <w:rPr>
          <w:i/>
          <w:iCs/>
        </w:rPr>
        <w:t>Journal of Human Resource Management</w:t>
      </w:r>
      <w:r>
        <w:t>, </w:t>
      </w:r>
      <w:r>
        <w:rPr>
          <w:i/>
          <w:iCs/>
        </w:rPr>
        <w:t>4</w:t>
      </w:r>
      <w:r>
        <w:t>(3), 19-27.</w:t>
      </w:r>
    </w:p>
    <w:p w14:paraId="70C18C06" w14:textId="77777777" w:rsidR="009F33CD" w:rsidRDefault="00E40740" w:rsidP="005163BD">
      <w:pPr>
        <w:ind w:left="720" w:hanging="720"/>
        <w:rPr>
          <w:rFonts w:eastAsia="Times New Roman" w:cs="Times New Roman"/>
          <w:szCs w:val="24"/>
        </w:rPr>
      </w:pPr>
      <w:r>
        <w:rPr>
          <w:rFonts w:eastAsia="Times New Roman" w:cs="Times New Roman"/>
          <w:szCs w:val="24"/>
        </w:rPr>
        <w:t>Oyedokun, O. O. (2019).</w:t>
      </w:r>
      <w:r>
        <w:rPr>
          <w:rFonts w:ascii="Segoe UI" w:hAnsi="Segoe UI" w:cs="Segoe UI"/>
          <w:color w:val="212529"/>
          <w:shd w:val="clear" w:color="auto" w:fill="FAFBFB"/>
        </w:rPr>
        <w:t xml:space="preserve"> </w:t>
      </w:r>
      <w:r>
        <w:rPr>
          <w:rFonts w:eastAsia="Times New Roman" w:cs="Times New Roman"/>
          <w:szCs w:val="24"/>
        </w:rPr>
        <w:t>Green Human Resource Management (GHRM) Practice and its Effect on the Sustainable Competitive Edge in the Nigerian manufacturing Industry. A case of this Study of Dangote Nigeria Plc., Dublin Business School, Nigeria.</w:t>
      </w:r>
    </w:p>
    <w:p w14:paraId="4C25A875" w14:textId="77777777" w:rsidR="009F33CD" w:rsidRDefault="00E40740" w:rsidP="005163BD">
      <w:pPr>
        <w:ind w:left="720" w:hanging="720"/>
        <w:rPr>
          <w:rFonts w:eastAsia="TimesNewRoman" w:cs="Times New Roman"/>
          <w:szCs w:val="24"/>
        </w:rPr>
      </w:pPr>
      <w:r>
        <w:rPr>
          <w:rFonts w:eastAsia="TimesNewRoman" w:cs="Times New Roman"/>
          <w:szCs w:val="24"/>
        </w:rPr>
        <w:t xml:space="preserve">Paille, P., Boiral, O., &amp; Chen, Y. (2014). </w:t>
      </w:r>
      <w:r>
        <w:rPr>
          <w:rFonts w:eastAsia="TimesNewRoman" w:cs="Times New Roman"/>
          <w:bCs/>
          <w:szCs w:val="24"/>
        </w:rPr>
        <w:t xml:space="preserve">Green Transformational Leadership and Green Performance: The Mediation Effects of Green Mindfulness and Green Self-Efficacy, </w:t>
      </w:r>
      <w:r>
        <w:rPr>
          <w:rFonts w:eastAsia="TimesNewRoman" w:cs="Times New Roman"/>
          <w:bCs/>
          <w:i/>
          <w:iCs/>
          <w:szCs w:val="24"/>
        </w:rPr>
        <w:t>Sustainability</w:t>
      </w:r>
      <w:r>
        <w:rPr>
          <w:rFonts w:eastAsia="TimesNewRoman" w:cs="Times New Roman"/>
          <w:bCs/>
          <w:i/>
          <w:szCs w:val="24"/>
        </w:rPr>
        <w:t>,</w:t>
      </w:r>
      <w:r>
        <w:rPr>
          <w:rFonts w:eastAsia="TimesNewRoman" w:cs="Times New Roman"/>
          <w:bCs/>
          <w:szCs w:val="24"/>
        </w:rPr>
        <w:t xml:space="preserve"> </w:t>
      </w:r>
      <w:r>
        <w:rPr>
          <w:rFonts w:eastAsia="TimesNewRoman" w:cs="Times New Roman"/>
          <w:bCs/>
          <w:i/>
          <w:iCs/>
          <w:szCs w:val="24"/>
        </w:rPr>
        <w:t>6(10)</w:t>
      </w:r>
      <w:r>
        <w:rPr>
          <w:rFonts w:eastAsia="TimesNewRoman" w:cs="Times New Roman"/>
          <w:bCs/>
          <w:szCs w:val="24"/>
        </w:rPr>
        <w:t>, 604 -662</w:t>
      </w:r>
      <w:r>
        <w:rPr>
          <w:rFonts w:eastAsia="TimesNewRoman" w:cs="Times New Roman"/>
          <w:szCs w:val="24"/>
        </w:rPr>
        <w:t>.</w:t>
      </w:r>
    </w:p>
    <w:p w14:paraId="5BBC6818" w14:textId="77777777" w:rsidR="009F33CD" w:rsidRDefault="00E40740" w:rsidP="005163BD">
      <w:pPr>
        <w:ind w:left="720" w:hanging="720"/>
        <w:rPr>
          <w:rFonts w:eastAsia="Times New Roman" w:cs="Times New Roman"/>
          <w:szCs w:val="24"/>
        </w:rPr>
      </w:pPr>
      <w:r>
        <w:rPr>
          <w:rFonts w:eastAsia="Times New Roman" w:cs="Times New Roman"/>
          <w:szCs w:val="24"/>
        </w:rPr>
        <w:t>Pallant, J. (2011). </w:t>
      </w:r>
      <w:r>
        <w:rPr>
          <w:rFonts w:eastAsia="Times New Roman" w:cs="Times New Roman"/>
          <w:i/>
          <w:szCs w:val="24"/>
        </w:rPr>
        <w:t>SPSS Survival Manual: A Step-by-Step Guide to Data Analysis Using SPSS</w:t>
      </w:r>
      <w:r>
        <w:rPr>
          <w:rFonts w:eastAsia="Times New Roman" w:cs="Times New Roman"/>
          <w:szCs w:val="24"/>
        </w:rPr>
        <w:t>. (4th ed.). McGraw-Hill Education.</w:t>
      </w:r>
    </w:p>
    <w:p w14:paraId="65F24785" w14:textId="77777777" w:rsidR="009F33CD" w:rsidRDefault="00E40740" w:rsidP="005163BD">
      <w:pPr>
        <w:ind w:left="720" w:hanging="720"/>
        <w:rPr>
          <w:rFonts w:cs="Times New Roman"/>
          <w:color w:val="231F20"/>
          <w:szCs w:val="24"/>
        </w:rPr>
      </w:pPr>
      <w:r>
        <w:rPr>
          <w:rFonts w:cs="Times New Roman"/>
          <w:color w:val="231F20"/>
          <w:szCs w:val="24"/>
        </w:rPr>
        <w:t xml:space="preserve">Pham, N. T., Tučkov, Z., &amp; Phan, Q. P. T. (2019). Greening Human Resource Management and Employee Commitment toward the Environment: An </w:t>
      </w:r>
      <w:r>
        <w:rPr>
          <w:rFonts w:cs="Times New Roman"/>
          <w:color w:val="231F20"/>
          <w:szCs w:val="24"/>
        </w:rPr>
        <w:lastRenderedPageBreak/>
        <w:t xml:space="preserve">Interaction Model. </w:t>
      </w:r>
      <w:r>
        <w:rPr>
          <w:rFonts w:cs="Times New Roman"/>
          <w:i/>
          <w:iCs/>
          <w:color w:val="231F20"/>
          <w:szCs w:val="24"/>
        </w:rPr>
        <w:t>Journal of Business Economics and Management</w:t>
      </w:r>
      <w:r>
        <w:rPr>
          <w:rFonts w:cs="Times New Roman"/>
          <w:color w:val="231F20"/>
          <w:szCs w:val="24"/>
        </w:rPr>
        <w:t xml:space="preserve">, </w:t>
      </w:r>
      <w:r>
        <w:rPr>
          <w:rFonts w:cs="Times New Roman"/>
          <w:i/>
          <w:iCs/>
          <w:color w:val="231F20"/>
          <w:szCs w:val="24"/>
        </w:rPr>
        <w:t>20</w:t>
      </w:r>
      <w:r>
        <w:rPr>
          <w:rFonts w:cs="Times New Roman"/>
          <w:color w:val="231F20"/>
          <w:szCs w:val="24"/>
        </w:rPr>
        <w:t>(3), 446-465.</w:t>
      </w:r>
    </w:p>
    <w:p w14:paraId="1AAE9B40" w14:textId="77777777" w:rsidR="009F33CD" w:rsidRDefault="00E40740" w:rsidP="005163BD">
      <w:pPr>
        <w:ind w:left="720" w:hanging="720"/>
        <w:rPr>
          <w:rFonts w:cs="Times New Roman"/>
          <w:color w:val="231F20"/>
          <w:szCs w:val="24"/>
        </w:rPr>
      </w:pPr>
      <w:bookmarkStart w:id="1818" w:name="_Hlk174530293"/>
      <w:r>
        <w:rPr>
          <w:rFonts w:cs="Times New Roman"/>
          <w:color w:val="231F20"/>
          <w:szCs w:val="24"/>
        </w:rPr>
        <w:t xml:space="preserve">Pillai, R., &amp; Sivathanu, B. (2014). Green Human Resource Management. Zenith </w:t>
      </w:r>
      <w:r>
        <w:rPr>
          <w:rFonts w:cs="Times New Roman"/>
          <w:i/>
          <w:iCs/>
          <w:color w:val="231F20"/>
          <w:szCs w:val="24"/>
        </w:rPr>
        <w:t>International Journal of Multidisciplinary Research</w:t>
      </w:r>
      <w:r>
        <w:rPr>
          <w:rFonts w:cs="Times New Roman"/>
          <w:color w:val="231F20"/>
          <w:szCs w:val="24"/>
        </w:rPr>
        <w:t xml:space="preserve">, </w:t>
      </w:r>
      <w:r>
        <w:rPr>
          <w:rFonts w:cs="Times New Roman"/>
          <w:i/>
          <w:color w:val="231F20"/>
          <w:szCs w:val="24"/>
        </w:rPr>
        <w:t>4</w:t>
      </w:r>
      <w:r>
        <w:rPr>
          <w:rFonts w:cs="Times New Roman"/>
          <w:color w:val="231F20"/>
          <w:szCs w:val="24"/>
        </w:rPr>
        <w:t>(1), 72-</w:t>
      </w:r>
      <w:r w:rsidR="005F0A1A">
        <w:rPr>
          <w:rFonts w:cs="Times New Roman"/>
          <w:color w:val="231F20"/>
          <w:szCs w:val="24"/>
        </w:rPr>
        <w:t>82.</w:t>
      </w:r>
    </w:p>
    <w:bookmarkEnd w:id="1818"/>
    <w:p w14:paraId="3786A93D" w14:textId="77777777" w:rsidR="009F33CD" w:rsidRDefault="00E40740" w:rsidP="005163BD">
      <w:pPr>
        <w:ind w:left="720" w:hanging="720"/>
        <w:rPr>
          <w:rFonts w:eastAsia="Times New Roman" w:cs="Times New Roman"/>
          <w:szCs w:val="24"/>
        </w:rPr>
      </w:pPr>
      <w:r>
        <w:rPr>
          <w:rFonts w:eastAsia="Times New Roman" w:cs="Times New Roman"/>
          <w:szCs w:val="24"/>
        </w:rPr>
        <w:t xml:space="preserve">Pineda, P., Belvis, E., Bellonch, M., &amp; Ucar, X. (2011). An Evaluation of Training Effectiveness in Spanish Health Sector, </w:t>
      </w:r>
      <w:r>
        <w:rPr>
          <w:rFonts w:eastAsia="Times New Roman" w:cs="Times New Roman"/>
          <w:i/>
          <w:szCs w:val="24"/>
        </w:rPr>
        <w:t>Journal of Workplace Learning</w:t>
      </w:r>
      <w:r>
        <w:rPr>
          <w:rFonts w:eastAsia="Times New Roman" w:cs="Times New Roman"/>
          <w:szCs w:val="24"/>
        </w:rPr>
        <w:t xml:space="preserve">, </w:t>
      </w:r>
      <w:r>
        <w:rPr>
          <w:rFonts w:eastAsia="Times New Roman" w:cs="Times New Roman"/>
          <w:i/>
          <w:szCs w:val="24"/>
        </w:rPr>
        <w:t>23</w:t>
      </w:r>
      <w:r>
        <w:rPr>
          <w:rFonts w:eastAsia="Times New Roman" w:cs="Times New Roman"/>
          <w:szCs w:val="24"/>
        </w:rPr>
        <w:t>(5), 315-330.</w:t>
      </w:r>
    </w:p>
    <w:p w14:paraId="44174B79" w14:textId="77777777" w:rsidR="009F33CD" w:rsidRDefault="00E40740" w:rsidP="005163BD">
      <w:pPr>
        <w:ind w:left="720" w:hanging="720"/>
        <w:rPr>
          <w:rFonts w:eastAsia="Times New Roman" w:cs="Times New Roman"/>
          <w:szCs w:val="24"/>
        </w:rPr>
      </w:pPr>
      <w:r w:rsidRPr="001B7BDB">
        <w:rPr>
          <w:rFonts w:eastAsia="Times New Roman" w:cs="Times New Roman"/>
          <w:szCs w:val="24"/>
          <w:lang w:val="it-IT"/>
        </w:rPr>
        <w:t>Plano, C. V. L., &amp; Ivankova, N. V. (2016</w:t>
      </w:r>
      <w:r w:rsidRPr="001B7BDB">
        <w:rPr>
          <w:rFonts w:eastAsia="Times New Roman" w:cs="Times New Roman"/>
          <w:i/>
          <w:iCs/>
          <w:szCs w:val="24"/>
          <w:lang w:val="it-IT"/>
        </w:rPr>
        <w:t>). </w:t>
      </w:r>
      <w:r>
        <w:rPr>
          <w:rFonts w:eastAsia="Times New Roman" w:cs="Times New Roman"/>
          <w:i/>
          <w:szCs w:val="24"/>
        </w:rPr>
        <w:t>Mixed Methods Research: A Guide to the Field</w:t>
      </w:r>
      <w:r>
        <w:rPr>
          <w:rFonts w:eastAsia="Times New Roman" w:cs="Times New Roman"/>
          <w:szCs w:val="24"/>
        </w:rPr>
        <w:t>.</w:t>
      </w:r>
      <w:r>
        <w:rPr>
          <w:rFonts w:eastAsia="Times New Roman" w:cs="Times New Roman"/>
          <w:i/>
          <w:iCs/>
          <w:szCs w:val="24"/>
        </w:rPr>
        <w:t xml:space="preserve"> </w:t>
      </w:r>
      <w:r>
        <w:rPr>
          <w:rFonts w:eastAsia="Times New Roman" w:cs="Times New Roman"/>
          <w:szCs w:val="24"/>
        </w:rPr>
        <w:t>SAGE Publications.</w:t>
      </w:r>
    </w:p>
    <w:p w14:paraId="4CB73148" w14:textId="77777777" w:rsidR="009F33CD" w:rsidRDefault="00E40740" w:rsidP="005163BD">
      <w:pPr>
        <w:ind w:left="720" w:hanging="720"/>
        <w:rPr>
          <w:rFonts w:eastAsia="Times New Roman" w:cs="Times New Roman"/>
          <w:szCs w:val="24"/>
        </w:rPr>
      </w:pPr>
      <w:r>
        <w:rPr>
          <w:rFonts w:eastAsia="Times New Roman" w:cs="Times New Roman"/>
          <w:szCs w:val="24"/>
        </w:rPr>
        <w:t>Prasad, R. S. (2013). Green HRM-partner in Sustainable Competitive Growth. </w:t>
      </w:r>
      <w:r>
        <w:rPr>
          <w:rFonts w:eastAsia="Times New Roman" w:cs="Times New Roman"/>
          <w:i/>
          <w:iCs/>
          <w:szCs w:val="24"/>
        </w:rPr>
        <w:t>Journal of Management Sciences and Technology</w:t>
      </w:r>
      <w:r>
        <w:rPr>
          <w:rFonts w:eastAsia="Times New Roman" w:cs="Times New Roman"/>
          <w:szCs w:val="24"/>
        </w:rPr>
        <w:t>, </w:t>
      </w:r>
      <w:r>
        <w:rPr>
          <w:rFonts w:eastAsia="Times New Roman" w:cs="Times New Roman"/>
          <w:i/>
          <w:iCs/>
          <w:szCs w:val="24"/>
        </w:rPr>
        <w:t>1</w:t>
      </w:r>
      <w:r>
        <w:rPr>
          <w:rFonts w:eastAsia="Times New Roman" w:cs="Times New Roman"/>
          <w:szCs w:val="24"/>
        </w:rPr>
        <w:t>(1), 15-18.</w:t>
      </w:r>
    </w:p>
    <w:p w14:paraId="2AEA6635" w14:textId="77777777" w:rsidR="009F33CD" w:rsidRDefault="00E40740" w:rsidP="005163BD">
      <w:pPr>
        <w:ind w:left="720" w:hanging="720"/>
        <w:rPr>
          <w:rFonts w:eastAsia="Times New Roman" w:cs="Times New Roman"/>
          <w:szCs w:val="24"/>
        </w:rPr>
      </w:pPr>
      <w:r>
        <w:rPr>
          <w:rFonts w:cs="Times New Roman"/>
          <w:szCs w:val="24"/>
          <w:shd w:val="clear" w:color="auto" w:fill="FFFFFF"/>
        </w:rPr>
        <w:t>Pratama, V., &amp; Hartini, S. (2020). The Effect of Perception of Health Care Service Quality on Patient Satisfaction and Loyalty in Mother and Child Hospital. </w:t>
      </w:r>
      <w:r>
        <w:rPr>
          <w:rFonts w:cs="Times New Roman"/>
          <w:i/>
          <w:iCs/>
          <w:szCs w:val="24"/>
          <w:bdr w:val="single" w:sz="2" w:space="0" w:color="E5E7EB"/>
          <w:shd w:val="clear" w:color="auto" w:fill="FFFFFF"/>
        </w:rPr>
        <w:t>Journal of Theoretical and Applied Management, 13</w:t>
      </w:r>
      <w:r>
        <w:rPr>
          <w:rFonts w:cs="Times New Roman"/>
          <w:szCs w:val="24"/>
          <w:shd w:val="clear" w:color="auto" w:fill="FFFFFF"/>
        </w:rPr>
        <w:t>(3), 234–253.</w:t>
      </w:r>
    </w:p>
    <w:p w14:paraId="7D5FCAEE" w14:textId="77777777" w:rsidR="009F33CD" w:rsidRDefault="00E40740" w:rsidP="005163BD">
      <w:pPr>
        <w:ind w:left="720" w:hanging="720"/>
        <w:rPr>
          <w:rFonts w:cs="Times New Roman"/>
          <w:bCs/>
          <w:i/>
          <w:iCs/>
          <w:szCs w:val="24"/>
        </w:rPr>
      </w:pPr>
      <w:r>
        <w:rPr>
          <w:rFonts w:cs="Times New Roman"/>
          <w:bCs/>
          <w:color w:val="241F21"/>
          <w:szCs w:val="24"/>
        </w:rPr>
        <w:t xml:space="preserve">Priya, S., &amp; Kamlesh, K. S. (2016). </w:t>
      </w:r>
      <w:r>
        <w:rPr>
          <w:rFonts w:cs="Times New Roman"/>
          <w:bCs/>
          <w:szCs w:val="24"/>
        </w:rPr>
        <w:t xml:space="preserve">Green Recruitment- a New Tool of Cost: </w:t>
      </w:r>
      <w:r>
        <w:rPr>
          <w:rFonts w:cs="Times New Roman"/>
          <w:bCs/>
          <w:i/>
          <w:szCs w:val="24"/>
        </w:rPr>
        <w:t>The In</w:t>
      </w:r>
      <w:r>
        <w:rPr>
          <w:rFonts w:cs="Times New Roman"/>
          <w:bCs/>
          <w:i/>
          <w:iCs/>
          <w:szCs w:val="24"/>
        </w:rPr>
        <w:t>ternational Journal of Scientific and innovative research; 4(1), 195-198.</w:t>
      </w:r>
    </w:p>
    <w:p w14:paraId="5EF8F7D5" w14:textId="77777777" w:rsidR="009F33CD" w:rsidRDefault="00E40740" w:rsidP="005163BD">
      <w:pPr>
        <w:autoSpaceDE/>
        <w:autoSpaceDN/>
        <w:adjustRightInd/>
        <w:ind w:left="720" w:hanging="720"/>
        <w:rPr>
          <w:rFonts w:cs="Times New Roman"/>
          <w:bCs/>
          <w:color w:val="000000"/>
          <w:szCs w:val="24"/>
        </w:rPr>
      </w:pPr>
      <w:r>
        <w:rPr>
          <w:rFonts w:cs="Times New Roman"/>
          <w:bCs/>
          <w:color w:val="000000"/>
          <w:szCs w:val="24"/>
        </w:rPr>
        <w:t xml:space="preserve">Rani, S., &amp; Mishra, K. (2014). Green HRM: Practices and Strategic Implementation in the Organizations. </w:t>
      </w:r>
      <w:r>
        <w:rPr>
          <w:rFonts w:cs="Times New Roman"/>
          <w:bCs/>
          <w:i/>
          <w:iCs/>
          <w:color w:val="000000"/>
          <w:szCs w:val="24"/>
        </w:rPr>
        <w:t xml:space="preserve">International Journal of Recent Innovation, </w:t>
      </w:r>
      <w:r>
        <w:rPr>
          <w:rFonts w:cs="Times New Roman"/>
          <w:bCs/>
          <w:i/>
          <w:color w:val="000000"/>
          <w:szCs w:val="24"/>
        </w:rPr>
        <w:t>2</w:t>
      </w:r>
      <w:r>
        <w:rPr>
          <w:rFonts w:cs="Times New Roman"/>
          <w:bCs/>
          <w:color w:val="000000"/>
          <w:szCs w:val="24"/>
        </w:rPr>
        <w:t>, 3633–3639.</w:t>
      </w:r>
    </w:p>
    <w:p w14:paraId="10488B76" w14:textId="77777777" w:rsidR="009F33CD" w:rsidRDefault="00E40740" w:rsidP="005163BD">
      <w:pPr>
        <w:ind w:left="720" w:hanging="720"/>
        <w:rPr>
          <w:rFonts w:eastAsia="TimesNewRoman" w:cs="Times New Roman"/>
          <w:bCs/>
          <w:szCs w:val="24"/>
        </w:rPr>
      </w:pPr>
      <w:r>
        <w:rPr>
          <w:rFonts w:cs="Times New Roman"/>
          <w:bCs/>
          <w:szCs w:val="24"/>
        </w:rPr>
        <w:t>Rawashdeh</w:t>
      </w:r>
      <w:r>
        <w:rPr>
          <w:rFonts w:eastAsia="TimesNewRoman" w:cs="Times New Roman"/>
          <w:bCs/>
          <w:szCs w:val="24"/>
        </w:rPr>
        <w:t>, A. M.</w:t>
      </w:r>
      <w:r>
        <w:rPr>
          <w:rFonts w:eastAsia="TimesNewRomanPSMT" w:cs="Times New Roman"/>
          <w:szCs w:val="24"/>
        </w:rPr>
        <w:t xml:space="preserve"> (2018). </w:t>
      </w:r>
      <w:r>
        <w:rPr>
          <w:rFonts w:eastAsia="TimesNewRoman" w:cs="Times New Roman"/>
          <w:bCs/>
          <w:szCs w:val="24"/>
        </w:rPr>
        <w:t xml:space="preserve">The Impact of Green HRM on Organization-Environmental Performance in Jordanian Health Service Organizations, </w:t>
      </w:r>
      <w:r>
        <w:rPr>
          <w:rFonts w:eastAsia="TimesNewRoman" w:cs="Times New Roman"/>
          <w:i/>
          <w:szCs w:val="24"/>
        </w:rPr>
        <w:t>Management Science Letters,</w:t>
      </w:r>
      <w:r>
        <w:rPr>
          <w:rFonts w:eastAsia="TimesNewRoman" w:cs="Times New Roman"/>
          <w:szCs w:val="24"/>
        </w:rPr>
        <w:t xml:space="preserve"> </w:t>
      </w:r>
      <w:r>
        <w:rPr>
          <w:rFonts w:eastAsia="TimesNewRoman" w:cs="Times New Roman"/>
          <w:i/>
          <w:szCs w:val="24"/>
        </w:rPr>
        <w:t>8</w:t>
      </w:r>
      <w:r>
        <w:rPr>
          <w:rFonts w:eastAsia="TimesNewRoman" w:cs="Times New Roman"/>
          <w:szCs w:val="24"/>
        </w:rPr>
        <w:t>(10), 1049–1058.</w:t>
      </w:r>
    </w:p>
    <w:p w14:paraId="4A1AE29E" w14:textId="77777777" w:rsidR="009F33CD" w:rsidRDefault="00E40740" w:rsidP="005163BD">
      <w:pPr>
        <w:autoSpaceDE/>
        <w:autoSpaceDN/>
        <w:adjustRightInd/>
        <w:ind w:left="720" w:hanging="720"/>
        <w:rPr>
          <w:rFonts w:cs="Times New Roman"/>
          <w:bCs/>
          <w:color w:val="000000"/>
          <w:szCs w:val="24"/>
        </w:rPr>
      </w:pPr>
      <w:r>
        <w:rPr>
          <w:rFonts w:cs="Times New Roman"/>
          <w:bCs/>
          <w:color w:val="000000"/>
          <w:szCs w:val="24"/>
        </w:rPr>
        <w:t xml:space="preserve">Razab, A., Smith, J., &amp; Johnson, L. (2015). Incorporating Environmental Considerations in Job Interviews: A New Criterion for Sustainable Hiring. </w:t>
      </w:r>
      <w:r>
        <w:rPr>
          <w:rFonts w:cs="Times New Roman"/>
          <w:bCs/>
          <w:i/>
          <w:iCs/>
          <w:color w:val="000000"/>
          <w:szCs w:val="24"/>
        </w:rPr>
        <w:t>Journal of Environmental Management,</w:t>
      </w:r>
      <w:r>
        <w:rPr>
          <w:rFonts w:cs="Times New Roman"/>
          <w:bCs/>
          <w:color w:val="000000"/>
          <w:szCs w:val="24"/>
        </w:rPr>
        <w:t xml:space="preserve"> </w:t>
      </w:r>
      <w:r>
        <w:rPr>
          <w:rFonts w:cs="Times New Roman"/>
          <w:bCs/>
          <w:i/>
          <w:color w:val="000000"/>
          <w:szCs w:val="24"/>
        </w:rPr>
        <w:t>45</w:t>
      </w:r>
      <w:r>
        <w:rPr>
          <w:rFonts w:cs="Times New Roman"/>
          <w:bCs/>
          <w:color w:val="000000"/>
          <w:szCs w:val="24"/>
        </w:rPr>
        <w:t>(3), 123-135.</w:t>
      </w:r>
    </w:p>
    <w:p w14:paraId="04749C72" w14:textId="77777777" w:rsidR="009F33CD" w:rsidRDefault="00E40740" w:rsidP="005163BD">
      <w:pPr>
        <w:ind w:left="720" w:hanging="720"/>
        <w:rPr>
          <w:rFonts w:eastAsia="Times New Roman" w:cs="Times New Roman"/>
          <w:i/>
          <w:iCs/>
          <w:szCs w:val="24"/>
        </w:rPr>
      </w:pPr>
      <w:r>
        <w:rPr>
          <w:rFonts w:eastAsia="Times New Roman" w:cs="Times New Roman"/>
          <w:i/>
          <w:iCs/>
          <w:szCs w:val="24"/>
        </w:rPr>
        <w:lastRenderedPageBreak/>
        <w:t xml:space="preserve"> </w:t>
      </w:r>
      <w:r>
        <w:rPr>
          <w:rFonts w:eastAsia="Times New Roman" w:cs="Times New Roman"/>
          <w:iCs/>
          <w:szCs w:val="24"/>
        </w:rPr>
        <w:t>Ren, S., Tang, G., &amp; Jackson, S. E. (2018).</w:t>
      </w:r>
      <w:r>
        <w:rPr>
          <w:rFonts w:eastAsia="Times New Roman" w:cs="Times New Roman"/>
          <w:i/>
          <w:iCs/>
          <w:szCs w:val="24"/>
        </w:rPr>
        <w:t xml:space="preserve"> </w:t>
      </w:r>
      <w:r>
        <w:rPr>
          <w:rFonts w:eastAsia="Times New Roman" w:cs="Times New Roman"/>
          <w:iCs/>
          <w:szCs w:val="24"/>
        </w:rPr>
        <w:t>Green Human Resource Management Research in Emergence</w:t>
      </w:r>
      <w:r>
        <w:rPr>
          <w:rFonts w:eastAsia="Times New Roman" w:cs="Times New Roman"/>
          <w:i/>
          <w:iCs/>
          <w:szCs w:val="24"/>
        </w:rPr>
        <w:t xml:space="preserve">: </w:t>
      </w:r>
      <w:r>
        <w:rPr>
          <w:rFonts w:eastAsia="Times New Roman" w:cs="Times New Roman"/>
          <w:iCs/>
          <w:szCs w:val="24"/>
        </w:rPr>
        <w:t>A Review and Future Directions.</w:t>
      </w:r>
      <w:r>
        <w:rPr>
          <w:rFonts w:eastAsia="Times New Roman" w:cs="Times New Roman"/>
          <w:i/>
          <w:iCs/>
          <w:szCs w:val="24"/>
        </w:rPr>
        <w:t> Asia Pacific Journal of Management, 35, 769-803.</w:t>
      </w:r>
    </w:p>
    <w:p w14:paraId="08A27B1D" w14:textId="77777777" w:rsidR="009F33CD" w:rsidRDefault="00E40740" w:rsidP="005163BD">
      <w:pPr>
        <w:ind w:left="720" w:hanging="720"/>
        <w:rPr>
          <w:rFonts w:eastAsia="TimesNewRoman" w:cs="Times New Roman"/>
          <w:szCs w:val="24"/>
        </w:rPr>
      </w:pPr>
      <w:r>
        <w:rPr>
          <w:rFonts w:eastAsia="TimesNewRoman" w:cs="Times New Roman"/>
          <w:szCs w:val="24"/>
        </w:rPr>
        <w:t xml:space="preserve">Renwick, D.W., Redman, T., &amp; Maguire, S. (2013). The Green Human Resource Management- </w:t>
      </w:r>
      <w:r>
        <w:rPr>
          <w:rFonts w:eastAsia="TimesNewRoman" w:cs="Times New Roman"/>
          <w:i/>
          <w:szCs w:val="24"/>
        </w:rPr>
        <w:t>Review and Research Agenda</w:t>
      </w:r>
      <w:r>
        <w:rPr>
          <w:rFonts w:eastAsia="TimesNewRoman" w:cs="Times New Roman"/>
          <w:szCs w:val="24"/>
        </w:rPr>
        <w:t xml:space="preserve">: </w:t>
      </w:r>
      <w:r>
        <w:rPr>
          <w:rFonts w:eastAsia="TimesNewRoman" w:cs="Times New Roman"/>
          <w:i/>
          <w:szCs w:val="24"/>
        </w:rPr>
        <w:t xml:space="preserve">The </w:t>
      </w:r>
      <w:r>
        <w:rPr>
          <w:rFonts w:eastAsia="TimesNewRoman" w:cs="Times New Roman"/>
          <w:i/>
          <w:iCs/>
          <w:szCs w:val="24"/>
        </w:rPr>
        <w:t>International Journal of Management Review</w:t>
      </w:r>
      <w:r>
        <w:rPr>
          <w:rFonts w:eastAsia="TimesNewRoman" w:cs="Times New Roman"/>
          <w:szCs w:val="24"/>
        </w:rPr>
        <w:t xml:space="preserve">, </w:t>
      </w:r>
      <w:r>
        <w:rPr>
          <w:rFonts w:eastAsia="TimesNewRoman" w:cs="Times New Roman"/>
          <w:i/>
          <w:iCs/>
          <w:szCs w:val="24"/>
        </w:rPr>
        <w:t>15</w:t>
      </w:r>
      <w:r>
        <w:rPr>
          <w:rFonts w:eastAsia="TimesNewRoman" w:cs="Times New Roman"/>
          <w:iCs/>
          <w:szCs w:val="24"/>
        </w:rPr>
        <w:t>(</w:t>
      </w:r>
      <w:r>
        <w:rPr>
          <w:rFonts w:eastAsia="TimesNewRoman" w:cs="Times New Roman"/>
          <w:szCs w:val="24"/>
        </w:rPr>
        <w:t>1), 1-14.</w:t>
      </w:r>
    </w:p>
    <w:p w14:paraId="5C59B5C4" w14:textId="77777777" w:rsidR="009F33CD" w:rsidRDefault="00E40740" w:rsidP="005163BD">
      <w:pPr>
        <w:autoSpaceDE/>
        <w:autoSpaceDN/>
        <w:adjustRightInd/>
        <w:ind w:left="720" w:hanging="720"/>
        <w:rPr>
          <w:rFonts w:cs="Times New Roman"/>
          <w:bCs/>
          <w:color w:val="000000"/>
          <w:szCs w:val="24"/>
        </w:rPr>
      </w:pPr>
      <w:r>
        <w:rPr>
          <w:rFonts w:cs="Times New Roman"/>
          <w:bCs/>
          <w:color w:val="000000"/>
          <w:szCs w:val="24"/>
        </w:rPr>
        <w:t xml:space="preserve">Roscoe, S., Subramanian, N., &amp; Jabbour, C. J., (2019). Green Human Resource Management and the Enablers of Green Organizational Culture: Enhancing a Firm's Environmental Performance for Sustainable Development. </w:t>
      </w:r>
      <w:r>
        <w:rPr>
          <w:rFonts w:cs="Times New Roman"/>
          <w:bCs/>
          <w:i/>
          <w:iCs/>
          <w:color w:val="000000"/>
          <w:szCs w:val="24"/>
        </w:rPr>
        <w:t>Business Strategy and the Environment, 28</w:t>
      </w:r>
      <w:r>
        <w:rPr>
          <w:rFonts w:cs="Times New Roman"/>
          <w:bCs/>
          <w:color w:val="000000"/>
          <w:szCs w:val="24"/>
        </w:rPr>
        <w:t xml:space="preserve">(5), 737-749. </w:t>
      </w:r>
    </w:p>
    <w:p w14:paraId="789EFCD0" w14:textId="77777777" w:rsidR="009F33CD" w:rsidRDefault="00E40740" w:rsidP="005163BD">
      <w:pPr>
        <w:ind w:left="720" w:hanging="720"/>
        <w:rPr>
          <w:rFonts w:cs="Times New Roman"/>
          <w:szCs w:val="24"/>
        </w:rPr>
      </w:pPr>
      <w:bookmarkStart w:id="1819" w:name="_Hlk177298610"/>
      <w:r>
        <w:rPr>
          <w:rFonts w:cs="Times New Roman"/>
          <w:szCs w:val="24"/>
        </w:rPr>
        <w:t>Saeed, B.B., Afsar, B., Hafeez, S., Khan, I., Tahir, M., &amp; Afridi, M.A. (2018). Promoting Employee</w:t>
      </w:r>
      <w:r>
        <w:rPr>
          <w:rFonts w:eastAsia="AdvOT8cb2ddbd+20" w:cs="Times New Roman"/>
          <w:szCs w:val="24"/>
        </w:rPr>
        <w:t>’</w:t>
      </w:r>
      <w:r>
        <w:rPr>
          <w:rFonts w:cs="Times New Roman"/>
          <w:szCs w:val="24"/>
        </w:rPr>
        <w:t xml:space="preserve">s Pro-Environmental Behavior through Green Human Resource Management Practices, </w:t>
      </w:r>
      <w:r>
        <w:rPr>
          <w:rFonts w:cs="Times New Roman"/>
          <w:i/>
          <w:szCs w:val="24"/>
        </w:rPr>
        <w:t>Corporate Social Responsibility and Environmental Management,</w:t>
      </w:r>
      <w:r>
        <w:rPr>
          <w:rFonts w:cs="Times New Roman"/>
          <w:szCs w:val="24"/>
        </w:rPr>
        <w:t xml:space="preserve"> </w:t>
      </w:r>
      <w:r>
        <w:rPr>
          <w:rFonts w:cs="Times New Roman"/>
          <w:i/>
          <w:szCs w:val="24"/>
        </w:rPr>
        <w:t>26</w:t>
      </w:r>
      <w:r>
        <w:rPr>
          <w:rFonts w:cs="Times New Roman"/>
          <w:szCs w:val="24"/>
        </w:rPr>
        <w:t>(2), 424-438</w:t>
      </w:r>
      <w:bookmarkEnd w:id="1819"/>
      <w:r>
        <w:rPr>
          <w:rFonts w:cs="Times New Roman"/>
          <w:szCs w:val="24"/>
        </w:rPr>
        <w:t>.</w:t>
      </w:r>
    </w:p>
    <w:p w14:paraId="0655A4E3" w14:textId="77777777" w:rsidR="009F33CD" w:rsidRDefault="00451AD7" w:rsidP="005163BD">
      <w:pPr>
        <w:ind w:left="720" w:hanging="720"/>
        <w:rPr>
          <w:rFonts w:eastAsia="Times New Roman" w:cs="Times New Roman"/>
          <w:bCs/>
          <w:szCs w:val="24"/>
        </w:rPr>
      </w:pPr>
      <w:hyperlink r:id="rId21" w:tooltip="Mohammad Salman" w:history="1">
        <w:r w:rsidR="009F33CD" w:rsidRPr="001B7BDB">
          <w:rPr>
            <w:rStyle w:val="Hyperlink"/>
            <w:rFonts w:eastAsia="Times New Roman" w:cs="Times New Roman"/>
            <w:bCs/>
            <w:color w:val="auto"/>
            <w:szCs w:val="24"/>
            <w:u w:val="none"/>
            <w:lang w:val="it-IT"/>
          </w:rPr>
          <w:t>Salman, M.</w:t>
        </w:r>
      </w:hyperlink>
      <w:r w:rsidR="009F33CD" w:rsidRPr="001B7BDB">
        <w:rPr>
          <w:rFonts w:eastAsia="Times New Roman" w:cs="Times New Roman"/>
          <w:bCs/>
          <w:szCs w:val="24"/>
          <w:lang w:val="it-IT"/>
        </w:rPr>
        <w:t>, </w:t>
      </w:r>
      <w:hyperlink r:id="rId22" w:tooltip="Showkat Ahmad Ganie" w:history="1">
        <w:r w:rsidR="009F33CD" w:rsidRPr="001B7BDB">
          <w:rPr>
            <w:rStyle w:val="Hyperlink"/>
            <w:rFonts w:eastAsia="Times New Roman" w:cs="Times New Roman"/>
            <w:bCs/>
            <w:color w:val="auto"/>
            <w:szCs w:val="24"/>
            <w:u w:val="none"/>
            <w:lang w:val="it-IT"/>
          </w:rPr>
          <w:t>Ganie, S.A.</w:t>
        </w:r>
      </w:hyperlink>
      <w:r w:rsidR="009F33CD" w:rsidRPr="001B7BDB">
        <w:rPr>
          <w:rStyle w:val="Hyperlink"/>
          <w:rFonts w:eastAsia="Times New Roman" w:cs="Times New Roman"/>
          <w:bCs/>
          <w:color w:val="auto"/>
          <w:szCs w:val="24"/>
          <w:u w:val="none"/>
          <w:lang w:val="it-IT"/>
        </w:rPr>
        <w:t>,</w:t>
      </w:r>
      <w:r w:rsidR="009F33CD" w:rsidRPr="001B7BDB">
        <w:rPr>
          <w:rFonts w:eastAsia="Times New Roman" w:cs="Times New Roman"/>
          <w:bCs/>
          <w:szCs w:val="24"/>
          <w:lang w:val="it-IT"/>
        </w:rPr>
        <w:t> &amp;  </w:t>
      </w:r>
      <w:hyperlink r:id="rId23" w:tooltip="Imran Saleem" w:history="1">
        <w:r w:rsidR="009F33CD" w:rsidRPr="001B7BDB">
          <w:rPr>
            <w:rStyle w:val="Hyperlink"/>
            <w:rFonts w:eastAsia="Times New Roman" w:cs="Times New Roman"/>
            <w:bCs/>
            <w:color w:val="auto"/>
            <w:szCs w:val="24"/>
            <w:u w:val="none"/>
            <w:lang w:val="it-IT"/>
          </w:rPr>
          <w:t>Saleem, I.</w:t>
        </w:r>
      </w:hyperlink>
      <w:r w:rsidR="009F33CD" w:rsidRPr="001B7BDB">
        <w:rPr>
          <w:rFonts w:eastAsia="Times New Roman" w:cs="Times New Roman"/>
          <w:bCs/>
          <w:szCs w:val="24"/>
          <w:lang w:val="it-IT"/>
        </w:rPr>
        <w:t> </w:t>
      </w:r>
      <w:r w:rsidR="009F33CD">
        <w:rPr>
          <w:rFonts w:eastAsia="Times New Roman" w:cs="Times New Roman"/>
          <w:bCs/>
          <w:szCs w:val="24"/>
        </w:rPr>
        <w:t>(2020). The Concept of Competence: A Thematic Review and Discussion, </w:t>
      </w:r>
      <w:hyperlink r:id="rId24" w:history="1">
        <w:r w:rsidR="009F33CD">
          <w:rPr>
            <w:rStyle w:val="Hyperlink"/>
            <w:rFonts w:eastAsia="Times New Roman" w:cs="Times New Roman"/>
            <w:bCs/>
            <w:i/>
            <w:iCs/>
            <w:color w:val="auto"/>
            <w:szCs w:val="24"/>
            <w:u w:val="none"/>
          </w:rPr>
          <w:t>European Journal of Training and Development</w:t>
        </w:r>
      </w:hyperlink>
      <w:r w:rsidR="009F33CD">
        <w:rPr>
          <w:rFonts w:eastAsia="Times New Roman" w:cs="Times New Roman"/>
          <w:bCs/>
          <w:szCs w:val="24"/>
        </w:rPr>
        <w:t xml:space="preserve">, </w:t>
      </w:r>
      <w:r w:rsidR="009F33CD">
        <w:rPr>
          <w:rFonts w:eastAsia="Times New Roman" w:cs="Times New Roman"/>
          <w:bCs/>
          <w:i/>
          <w:szCs w:val="24"/>
        </w:rPr>
        <w:t>44</w:t>
      </w:r>
      <w:r w:rsidR="009F33CD">
        <w:rPr>
          <w:rFonts w:eastAsia="Times New Roman" w:cs="Times New Roman"/>
          <w:bCs/>
          <w:szCs w:val="24"/>
        </w:rPr>
        <w:t>(6/7), 717-742. </w:t>
      </w:r>
    </w:p>
    <w:p w14:paraId="1EA34C8B" w14:textId="77777777" w:rsidR="009F33CD" w:rsidRDefault="00E40740" w:rsidP="005163BD">
      <w:pPr>
        <w:ind w:left="720" w:hanging="720"/>
        <w:rPr>
          <w:rFonts w:eastAsia="Times New Roman" w:cs="Times New Roman"/>
          <w:szCs w:val="24"/>
        </w:rPr>
      </w:pPr>
      <w:r>
        <w:rPr>
          <w:rFonts w:eastAsia="Times New Roman" w:cs="Times New Roman"/>
          <w:szCs w:val="24"/>
        </w:rPr>
        <w:t xml:space="preserve">Sarstedt, M., Ringle, C. M., &amp; Hair, J. F. (2017). Partial Least Squares Structural Equation Modeling. </w:t>
      </w:r>
      <w:r>
        <w:rPr>
          <w:rFonts w:eastAsia="Times New Roman" w:cs="Times New Roman"/>
          <w:i/>
          <w:iCs/>
          <w:szCs w:val="24"/>
        </w:rPr>
        <w:t xml:space="preserve">Handbook Market Research, </w:t>
      </w:r>
      <w:r>
        <w:rPr>
          <w:rFonts w:eastAsia="Times New Roman" w:cs="Times New Roman"/>
          <w:i/>
          <w:szCs w:val="24"/>
        </w:rPr>
        <w:t>26</w:t>
      </w:r>
      <w:r>
        <w:rPr>
          <w:rFonts w:eastAsia="Times New Roman" w:cs="Times New Roman"/>
          <w:szCs w:val="24"/>
        </w:rPr>
        <w:t xml:space="preserve">, 1–40. </w:t>
      </w:r>
    </w:p>
    <w:p w14:paraId="79BC2D2F" w14:textId="77777777" w:rsidR="009F33CD" w:rsidRDefault="00E40740" w:rsidP="005163BD">
      <w:pPr>
        <w:ind w:left="720" w:hanging="720"/>
        <w:rPr>
          <w:rFonts w:eastAsia="Times New Roman" w:cs="Times New Roman"/>
          <w:bCs/>
          <w:szCs w:val="24"/>
        </w:rPr>
      </w:pPr>
      <w:r>
        <w:rPr>
          <w:rFonts w:eastAsia="Times New Roman" w:cs="Times New Roman"/>
          <w:bCs/>
          <w:szCs w:val="24"/>
        </w:rPr>
        <w:t>Saunders, M.N.K., Lewis, P., &amp; Thornhill, A. (2019). </w:t>
      </w:r>
      <w:r>
        <w:rPr>
          <w:rFonts w:eastAsia="Times New Roman" w:cs="Times New Roman"/>
          <w:bCs/>
          <w:i/>
          <w:iCs/>
          <w:szCs w:val="24"/>
        </w:rPr>
        <w:t>Research Methods for Business Students</w:t>
      </w:r>
      <w:r>
        <w:rPr>
          <w:rFonts w:eastAsia="Times New Roman" w:cs="Times New Roman"/>
          <w:bCs/>
          <w:szCs w:val="24"/>
        </w:rPr>
        <w:t>. (8th ed.). London, UK: Pearson</w:t>
      </w:r>
    </w:p>
    <w:p w14:paraId="431E6939" w14:textId="77777777" w:rsidR="009F33CD" w:rsidRDefault="00E40740" w:rsidP="005163BD">
      <w:pPr>
        <w:ind w:left="720" w:hanging="720"/>
        <w:rPr>
          <w:rFonts w:eastAsia="Times New Roman" w:cs="Times New Roman"/>
          <w:szCs w:val="24"/>
        </w:rPr>
      </w:pPr>
      <w:r>
        <w:rPr>
          <w:rFonts w:eastAsia="Times New Roman" w:cs="Times New Roman"/>
          <w:szCs w:val="24"/>
        </w:rPr>
        <w:t xml:space="preserve">Saunders, M., Lewis, P., &amp; Thornhill, A. (2016). </w:t>
      </w:r>
      <w:r>
        <w:rPr>
          <w:rFonts w:eastAsia="Times New Roman" w:cs="Times New Roman"/>
          <w:i/>
          <w:szCs w:val="24"/>
        </w:rPr>
        <w:t>Research Methods for Business Students.</w:t>
      </w:r>
      <w:r>
        <w:rPr>
          <w:rFonts w:eastAsia="Times New Roman" w:cs="Times New Roman"/>
          <w:szCs w:val="24"/>
        </w:rPr>
        <w:t> (7th ed.). Harlow.</w:t>
      </w:r>
    </w:p>
    <w:p w14:paraId="00B78102" w14:textId="77777777" w:rsidR="009F33CD" w:rsidRDefault="00E40740" w:rsidP="005163BD">
      <w:pPr>
        <w:autoSpaceDE/>
        <w:autoSpaceDN/>
        <w:adjustRightInd/>
        <w:ind w:left="720" w:hanging="720"/>
        <w:rPr>
          <w:rFonts w:eastAsia="Times New Roman" w:cs="Times New Roman"/>
          <w:szCs w:val="24"/>
        </w:rPr>
      </w:pPr>
      <w:r>
        <w:rPr>
          <w:rFonts w:eastAsia="Times New Roman" w:cs="Times New Roman"/>
          <w:szCs w:val="24"/>
        </w:rPr>
        <w:t>Shah, M. (2019). Green Human Resource Management: Development of a Valid Measurement Scale. </w:t>
      </w:r>
      <w:r>
        <w:rPr>
          <w:rFonts w:eastAsia="Times New Roman" w:cs="Times New Roman"/>
          <w:i/>
          <w:iCs/>
          <w:szCs w:val="24"/>
        </w:rPr>
        <w:t>Business Strategy and the Environment</w:t>
      </w:r>
      <w:r>
        <w:rPr>
          <w:rFonts w:eastAsia="Times New Roman" w:cs="Times New Roman"/>
          <w:szCs w:val="24"/>
        </w:rPr>
        <w:t>, </w:t>
      </w:r>
      <w:r>
        <w:rPr>
          <w:rFonts w:eastAsia="Times New Roman" w:cs="Times New Roman"/>
          <w:i/>
          <w:iCs/>
          <w:szCs w:val="24"/>
        </w:rPr>
        <w:t>28</w:t>
      </w:r>
      <w:r>
        <w:rPr>
          <w:rFonts w:eastAsia="Times New Roman" w:cs="Times New Roman"/>
          <w:szCs w:val="24"/>
        </w:rPr>
        <w:t>(5), 771-785.</w:t>
      </w:r>
    </w:p>
    <w:p w14:paraId="1ADCE047" w14:textId="77777777" w:rsidR="009F33CD" w:rsidRDefault="00E40740" w:rsidP="005163BD">
      <w:pPr>
        <w:ind w:left="720" w:hanging="720"/>
        <w:rPr>
          <w:rFonts w:eastAsia="Times New Roman" w:cs="Times New Roman"/>
          <w:szCs w:val="24"/>
        </w:rPr>
      </w:pPr>
      <w:r>
        <w:rPr>
          <w:rFonts w:eastAsia="Times New Roman" w:cs="Times New Roman"/>
          <w:szCs w:val="24"/>
        </w:rPr>
        <w:lastRenderedPageBreak/>
        <w:t>Sharaf, I. M., &amp; Khalil, E. A. H. A. (2021). A spherical Fuzzy TODIM Approach for Green Occupational Health and Safety Equipment supplier Selection. </w:t>
      </w:r>
      <w:r>
        <w:rPr>
          <w:rFonts w:eastAsia="Times New Roman" w:cs="Times New Roman"/>
          <w:i/>
          <w:iCs/>
          <w:szCs w:val="24"/>
        </w:rPr>
        <w:t>International Journal of Management Science and Engineering Management</w:t>
      </w:r>
      <w:r>
        <w:rPr>
          <w:rFonts w:eastAsia="Times New Roman" w:cs="Times New Roman"/>
          <w:szCs w:val="24"/>
        </w:rPr>
        <w:t>, </w:t>
      </w:r>
      <w:r>
        <w:rPr>
          <w:rFonts w:eastAsia="Times New Roman" w:cs="Times New Roman"/>
          <w:i/>
          <w:iCs/>
          <w:szCs w:val="24"/>
        </w:rPr>
        <w:t>16</w:t>
      </w:r>
      <w:r>
        <w:rPr>
          <w:rFonts w:eastAsia="Times New Roman" w:cs="Times New Roman"/>
          <w:szCs w:val="24"/>
        </w:rPr>
        <w:t>(1), 1-13.</w:t>
      </w:r>
    </w:p>
    <w:p w14:paraId="2694C043" w14:textId="77777777" w:rsidR="009F33CD" w:rsidRDefault="00E40740" w:rsidP="005163BD">
      <w:pPr>
        <w:ind w:left="720" w:hanging="720"/>
        <w:rPr>
          <w:rFonts w:eastAsia="Times New Roman" w:cs="Times New Roman"/>
          <w:bCs/>
          <w:szCs w:val="24"/>
        </w:rPr>
      </w:pPr>
      <w:r>
        <w:rPr>
          <w:rFonts w:eastAsia="Times New Roman" w:cs="Times New Roman"/>
          <w:bCs/>
          <w:szCs w:val="24"/>
        </w:rPr>
        <w:t>Sharifa, M., &amp; Mohammed, O. (2019). The Impact of Green Human Resource Management Practices on Sustainable Performance in Healthcare Organizations: A conceptual framework.</w:t>
      </w:r>
      <w:r>
        <w:rPr>
          <w:rFonts w:eastAsia="Times New Roman" w:cs="Times New Roman"/>
          <w:bCs/>
          <w:i/>
          <w:szCs w:val="24"/>
        </w:rPr>
        <w:t xml:space="preserve"> Journal of Cleaner Production</w:t>
      </w:r>
      <w:r>
        <w:rPr>
          <w:rFonts w:eastAsia="Times New Roman" w:cs="Times New Roman"/>
          <w:bCs/>
          <w:szCs w:val="24"/>
        </w:rPr>
        <w:t xml:space="preserve">, </w:t>
      </w:r>
      <w:r>
        <w:rPr>
          <w:rFonts w:eastAsia="Times New Roman" w:cs="Times New Roman"/>
          <w:bCs/>
          <w:i/>
          <w:szCs w:val="24"/>
        </w:rPr>
        <w:t>243</w:t>
      </w:r>
      <w:r>
        <w:rPr>
          <w:rFonts w:eastAsia="Times New Roman" w:cs="Times New Roman"/>
          <w:bCs/>
          <w:szCs w:val="24"/>
        </w:rPr>
        <w:t>.</w:t>
      </w:r>
    </w:p>
    <w:p w14:paraId="33A09FB9" w14:textId="77777777" w:rsidR="009F33CD" w:rsidRDefault="00E40740" w:rsidP="005163BD">
      <w:pPr>
        <w:ind w:left="720" w:hanging="720"/>
        <w:rPr>
          <w:rFonts w:cs="Times New Roman"/>
          <w:szCs w:val="24"/>
        </w:rPr>
      </w:pPr>
      <w:bookmarkStart w:id="1820" w:name="_Hlk177382658"/>
      <w:r>
        <w:rPr>
          <w:rFonts w:cs="Times New Roman"/>
          <w:color w:val="000000"/>
          <w:szCs w:val="24"/>
        </w:rPr>
        <w:t>Shoeb, A., &amp;</w:t>
      </w:r>
      <w:r>
        <w:rPr>
          <w:rFonts w:cs="Times New Roman"/>
          <w:szCs w:val="24"/>
        </w:rPr>
        <w:t xml:space="preserve"> Tahir, N.</w:t>
      </w:r>
      <w:r>
        <w:rPr>
          <w:rFonts w:cs="Times New Roman"/>
          <w:color w:val="000000"/>
          <w:szCs w:val="24"/>
        </w:rPr>
        <w:t xml:space="preserve"> (2015). The Green Human Resource Management: Policies and Practices, </w:t>
      </w:r>
      <w:r>
        <w:rPr>
          <w:rFonts w:cs="Times New Roman"/>
          <w:i/>
          <w:iCs/>
          <w:color w:val="000000"/>
          <w:szCs w:val="24"/>
        </w:rPr>
        <w:t>Cogent Business and Management</w:t>
      </w:r>
      <w:r>
        <w:rPr>
          <w:rFonts w:cs="Times New Roman"/>
          <w:iCs/>
          <w:color w:val="000000"/>
          <w:szCs w:val="24"/>
        </w:rPr>
        <w:t xml:space="preserve">, </w:t>
      </w:r>
      <w:r>
        <w:rPr>
          <w:rFonts w:cs="Times New Roman"/>
          <w:szCs w:val="24"/>
        </w:rPr>
        <w:t>2(5), 168-172.</w:t>
      </w:r>
    </w:p>
    <w:bookmarkEnd w:id="1820"/>
    <w:p w14:paraId="341C4214" w14:textId="77777777" w:rsidR="009F33CD" w:rsidRDefault="00E40740" w:rsidP="005163BD">
      <w:pPr>
        <w:ind w:left="720" w:hanging="720"/>
        <w:rPr>
          <w:rFonts w:eastAsia="Times New Roman" w:cs="Times New Roman"/>
          <w:bCs/>
          <w:szCs w:val="24"/>
        </w:rPr>
      </w:pPr>
      <w:r>
        <w:rPr>
          <w:rFonts w:eastAsia="Times New Roman" w:cs="Times New Roman"/>
          <w:bCs/>
          <w:szCs w:val="24"/>
        </w:rPr>
        <w:t>Shorten, A., &amp; Smith, J. (2017). Mixed Methods Research: Expanding the Evidence Base. </w:t>
      </w:r>
      <w:r>
        <w:rPr>
          <w:rFonts w:eastAsia="Times New Roman" w:cs="Times New Roman"/>
          <w:bCs/>
          <w:i/>
          <w:iCs/>
          <w:szCs w:val="24"/>
        </w:rPr>
        <w:t>Evidence-Based Nursing</w:t>
      </w:r>
      <w:r>
        <w:rPr>
          <w:rFonts w:eastAsia="Times New Roman" w:cs="Times New Roman"/>
          <w:bCs/>
          <w:szCs w:val="24"/>
        </w:rPr>
        <w:t xml:space="preserve">, </w:t>
      </w:r>
      <w:r>
        <w:rPr>
          <w:rFonts w:eastAsia="Times New Roman" w:cs="Times New Roman"/>
          <w:bCs/>
          <w:i/>
          <w:szCs w:val="24"/>
        </w:rPr>
        <w:t>20</w:t>
      </w:r>
      <w:r>
        <w:rPr>
          <w:rFonts w:eastAsia="Times New Roman" w:cs="Times New Roman"/>
          <w:bCs/>
          <w:szCs w:val="24"/>
        </w:rPr>
        <w:t>(3), 74-75.</w:t>
      </w:r>
    </w:p>
    <w:p w14:paraId="3B1FCE7F" w14:textId="77777777" w:rsidR="009F33CD" w:rsidRDefault="00E40740" w:rsidP="005163BD">
      <w:pPr>
        <w:ind w:left="720" w:hanging="720"/>
        <w:rPr>
          <w:rFonts w:cs="Times New Roman"/>
          <w:color w:val="000000"/>
          <w:szCs w:val="24"/>
        </w:rPr>
      </w:pPr>
      <w:r>
        <w:rPr>
          <w:rFonts w:cs="Times New Roman"/>
          <w:color w:val="000000"/>
          <w:szCs w:val="24"/>
        </w:rPr>
        <w:t>Sobaih, A. (2019). Green Human Resource Management in Egyptian Hotels: Practices and Barriers. </w:t>
      </w:r>
      <w:r>
        <w:rPr>
          <w:rFonts w:cs="Times New Roman"/>
          <w:i/>
          <w:iCs/>
          <w:color w:val="000000"/>
          <w:szCs w:val="24"/>
        </w:rPr>
        <w:t>International Academic Journal Faculty of Tourism and Hotel Management</w:t>
      </w:r>
      <w:r>
        <w:rPr>
          <w:rFonts w:cs="Times New Roman"/>
          <w:color w:val="000000"/>
          <w:szCs w:val="24"/>
        </w:rPr>
        <w:t>, </w:t>
      </w:r>
      <w:r>
        <w:rPr>
          <w:rFonts w:cs="Times New Roman"/>
          <w:i/>
          <w:iCs/>
          <w:color w:val="000000"/>
          <w:szCs w:val="24"/>
        </w:rPr>
        <w:t>5</w:t>
      </w:r>
      <w:r>
        <w:rPr>
          <w:rFonts w:cs="Times New Roman"/>
          <w:color w:val="000000"/>
          <w:szCs w:val="24"/>
        </w:rPr>
        <w:t>(1), 127-148.</w:t>
      </w:r>
    </w:p>
    <w:p w14:paraId="4E41BC6F" w14:textId="77777777" w:rsidR="002E2825" w:rsidRDefault="00E40740" w:rsidP="005163BD">
      <w:pPr>
        <w:ind w:left="720" w:hanging="720"/>
        <w:rPr>
          <w:rFonts w:eastAsia="Times New Roman" w:cs="Times New Roman"/>
          <w:bCs/>
          <w:szCs w:val="24"/>
        </w:rPr>
      </w:pPr>
      <w:r>
        <w:rPr>
          <w:rFonts w:eastAsia="Times New Roman" w:cs="Times New Roman"/>
          <w:bCs/>
          <w:szCs w:val="24"/>
        </w:rPr>
        <w:t>Sofi, M.A., &amp; Devanadhen, D.K. (2015). Impact of Leadership Styles on Organizational Performance: An Empirical Assessment of the Banking sector in Jammu and Kashmir</w:t>
      </w:r>
      <w:r>
        <w:rPr>
          <w:rFonts w:eastAsia="Times New Roman" w:cs="Times New Roman"/>
          <w:bCs/>
          <w:i/>
          <w:iCs/>
          <w:szCs w:val="24"/>
        </w:rPr>
        <w:t>. IOSR Journal of Business and Management</w:t>
      </w:r>
      <w:r>
        <w:rPr>
          <w:rFonts w:eastAsia="Times New Roman" w:cs="Times New Roman"/>
          <w:bCs/>
          <w:szCs w:val="24"/>
        </w:rPr>
        <w:t xml:space="preserve">, </w:t>
      </w:r>
      <w:r>
        <w:rPr>
          <w:rFonts w:eastAsia="Times New Roman" w:cs="Times New Roman"/>
          <w:bCs/>
          <w:i/>
          <w:szCs w:val="24"/>
        </w:rPr>
        <w:t>17</w:t>
      </w:r>
      <w:r>
        <w:rPr>
          <w:rFonts w:eastAsia="Times New Roman" w:cs="Times New Roman"/>
          <w:bCs/>
          <w:szCs w:val="24"/>
        </w:rPr>
        <w:t>(8), 31-45.</w:t>
      </w:r>
    </w:p>
    <w:p w14:paraId="4AE6CBD6" w14:textId="77777777" w:rsidR="002E2825" w:rsidRPr="002E2825" w:rsidRDefault="002E2825" w:rsidP="005163BD">
      <w:pPr>
        <w:ind w:left="720" w:hanging="720"/>
        <w:rPr>
          <w:rFonts w:eastAsia="Times New Roman" w:cs="Times New Roman"/>
          <w:bCs/>
          <w:szCs w:val="24"/>
        </w:rPr>
      </w:pPr>
      <w:r w:rsidRPr="002E2825">
        <w:rPr>
          <w:rFonts w:eastAsia="Times New Roman" w:cs="Times New Roman"/>
          <w:bCs/>
          <w:szCs w:val="24"/>
        </w:rPr>
        <w:t>Song, </w:t>
      </w:r>
      <w:r>
        <w:rPr>
          <w:rFonts w:eastAsia="Times New Roman" w:cs="Times New Roman"/>
          <w:bCs/>
          <w:szCs w:val="24"/>
        </w:rPr>
        <w:t xml:space="preserve">W. </w:t>
      </w:r>
      <w:r w:rsidRPr="002E2825">
        <w:rPr>
          <w:rFonts w:eastAsia="Times New Roman" w:cs="Times New Roman"/>
          <w:bCs/>
          <w:szCs w:val="24"/>
        </w:rPr>
        <w:t>H.</w:t>
      </w:r>
      <w:r>
        <w:rPr>
          <w:rFonts w:eastAsia="Times New Roman" w:cs="Times New Roman"/>
          <w:bCs/>
          <w:szCs w:val="24"/>
        </w:rPr>
        <w:t>,</w:t>
      </w:r>
      <w:r w:rsidRPr="002E2825">
        <w:rPr>
          <w:rFonts w:eastAsia="Times New Roman" w:cs="Times New Roman"/>
          <w:bCs/>
          <w:szCs w:val="24"/>
        </w:rPr>
        <w:t> </w:t>
      </w:r>
      <w:r>
        <w:rPr>
          <w:rFonts w:eastAsia="Times New Roman" w:cs="Times New Roman"/>
          <w:bCs/>
          <w:szCs w:val="24"/>
        </w:rPr>
        <w:t xml:space="preserve">&amp; </w:t>
      </w:r>
      <w:r w:rsidRPr="002E2825">
        <w:rPr>
          <w:rFonts w:eastAsia="Times New Roman" w:cs="Times New Roman"/>
          <w:bCs/>
          <w:szCs w:val="24"/>
        </w:rPr>
        <w:t>Yu, X</w:t>
      </w:r>
      <w:r>
        <w:rPr>
          <w:rFonts w:eastAsia="Times New Roman" w:cs="Times New Roman"/>
          <w:bCs/>
          <w:szCs w:val="24"/>
        </w:rPr>
        <w:t xml:space="preserve">., H. (2020). </w:t>
      </w:r>
      <w:r w:rsidRPr="002E2825">
        <w:rPr>
          <w:rFonts w:eastAsia="Times New Roman" w:cs="Times New Roman"/>
          <w:bCs/>
          <w:szCs w:val="24"/>
        </w:rPr>
        <w:t>Effects of green human resource management and managerial environmental concern on green innovation</w:t>
      </w:r>
      <w:r>
        <w:rPr>
          <w:rFonts w:eastAsia="Times New Roman" w:cs="Times New Roman"/>
          <w:bCs/>
          <w:szCs w:val="24"/>
        </w:rPr>
        <w:t xml:space="preserve">, </w:t>
      </w:r>
      <w:r w:rsidRPr="002E2825">
        <w:rPr>
          <w:rFonts w:eastAsia="Times New Roman" w:cs="Times New Roman"/>
          <w:bCs/>
          <w:i/>
          <w:iCs/>
          <w:szCs w:val="24"/>
        </w:rPr>
        <w:t>Eur</w:t>
      </w:r>
      <w:r w:rsidRPr="00F17A6E">
        <w:rPr>
          <w:rFonts w:eastAsia="Times New Roman" w:cs="Times New Roman"/>
          <w:bCs/>
          <w:i/>
          <w:iCs/>
          <w:szCs w:val="24"/>
        </w:rPr>
        <w:t xml:space="preserve">opean </w:t>
      </w:r>
      <w:r w:rsidRPr="002E2825">
        <w:rPr>
          <w:rFonts w:eastAsia="Times New Roman" w:cs="Times New Roman"/>
          <w:bCs/>
          <w:i/>
          <w:iCs/>
          <w:szCs w:val="24"/>
        </w:rPr>
        <w:t>J</w:t>
      </w:r>
      <w:r w:rsidRPr="00F17A6E">
        <w:rPr>
          <w:rFonts w:eastAsia="Times New Roman" w:cs="Times New Roman"/>
          <w:bCs/>
          <w:i/>
          <w:iCs/>
          <w:szCs w:val="24"/>
        </w:rPr>
        <w:t xml:space="preserve">ournal of </w:t>
      </w:r>
      <w:r w:rsidRPr="002E2825">
        <w:rPr>
          <w:rFonts w:eastAsia="Times New Roman" w:cs="Times New Roman"/>
          <w:bCs/>
          <w:i/>
          <w:iCs/>
          <w:szCs w:val="24"/>
        </w:rPr>
        <w:t>Innov</w:t>
      </w:r>
      <w:r w:rsidRPr="00F17A6E">
        <w:rPr>
          <w:rFonts w:eastAsia="Times New Roman" w:cs="Times New Roman"/>
          <w:bCs/>
          <w:i/>
          <w:iCs/>
          <w:szCs w:val="24"/>
        </w:rPr>
        <w:t>ation</w:t>
      </w:r>
      <w:r w:rsidRPr="002E2825">
        <w:rPr>
          <w:rFonts w:eastAsia="Times New Roman" w:cs="Times New Roman"/>
          <w:bCs/>
          <w:i/>
          <w:iCs/>
          <w:szCs w:val="24"/>
        </w:rPr>
        <w:t xml:space="preserve"> Manage</w:t>
      </w:r>
      <w:r w:rsidRPr="00F17A6E">
        <w:rPr>
          <w:rFonts w:eastAsia="Times New Roman" w:cs="Times New Roman"/>
          <w:bCs/>
          <w:i/>
          <w:iCs/>
          <w:szCs w:val="24"/>
        </w:rPr>
        <w:t>ment</w:t>
      </w:r>
      <w:r w:rsidRPr="002E2825">
        <w:rPr>
          <w:rFonts w:eastAsia="Times New Roman" w:cs="Times New Roman"/>
          <w:bCs/>
          <w:szCs w:val="24"/>
        </w:rPr>
        <w:t>, 24 (3),</w:t>
      </w:r>
      <w:r>
        <w:rPr>
          <w:rFonts w:eastAsia="Times New Roman" w:cs="Times New Roman"/>
          <w:bCs/>
          <w:szCs w:val="24"/>
        </w:rPr>
        <w:t xml:space="preserve"> </w:t>
      </w:r>
      <w:r w:rsidRPr="002E2825">
        <w:rPr>
          <w:rFonts w:eastAsia="Times New Roman" w:cs="Times New Roman"/>
          <w:bCs/>
          <w:szCs w:val="24"/>
        </w:rPr>
        <w:t>951-967</w:t>
      </w:r>
      <w:r>
        <w:rPr>
          <w:rFonts w:eastAsia="Times New Roman" w:cs="Times New Roman"/>
          <w:bCs/>
          <w:szCs w:val="24"/>
        </w:rPr>
        <w:t>.</w:t>
      </w:r>
    </w:p>
    <w:p w14:paraId="13269E99" w14:textId="77777777" w:rsidR="000816B7" w:rsidRDefault="00E40740" w:rsidP="005163BD">
      <w:pPr>
        <w:ind w:left="720" w:hanging="720"/>
        <w:rPr>
          <w:rFonts w:eastAsia="Times New Roman" w:cs="Times New Roman"/>
          <w:bCs/>
          <w:szCs w:val="24"/>
        </w:rPr>
      </w:pPr>
      <w:bookmarkStart w:id="1821" w:name="_Hlk174114065"/>
      <w:r>
        <w:rPr>
          <w:rFonts w:eastAsia="Times New Roman" w:cs="Times New Roman"/>
          <w:bCs/>
          <w:szCs w:val="24"/>
        </w:rPr>
        <w:t xml:space="preserve">Sriram, V., &amp; Suba, M. (2018). The Impact of Green Human Resource Practices on Organization Effectiveness: </w:t>
      </w:r>
      <w:r>
        <w:rPr>
          <w:rFonts w:eastAsia="Times New Roman" w:cs="Times New Roman"/>
          <w:bCs/>
          <w:i/>
          <w:szCs w:val="24"/>
        </w:rPr>
        <w:t>The</w:t>
      </w:r>
      <w:r>
        <w:rPr>
          <w:rFonts w:eastAsia="Times New Roman" w:cs="Times New Roman"/>
          <w:bCs/>
          <w:i/>
          <w:iCs/>
          <w:szCs w:val="24"/>
        </w:rPr>
        <w:t xml:space="preserve"> Journal of Advanced Research in Dynamical and Control Systems, </w:t>
      </w:r>
      <w:r>
        <w:rPr>
          <w:rFonts w:eastAsia="Times New Roman" w:cs="Times New Roman"/>
          <w:bCs/>
          <w:i/>
          <w:szCs w:val="24"/>
        </w:rPr>
        <w:t>Special Issue</w:t>
      </w:r>
      <w:r>
        <w:rPr>
          <w:rFonts w:eastAsia="Times New Roman" w:cs="Times New Roman"/>
          <w:bCs/>
          <w:szCs w:val="24"/>
        </w:rPr>
        <w:t>, 386-394.</w:t>
      </w:r>
    </w:p>
    <w:p w14:paraId="4B9EFC7E" w14:textId="77777777" w:rsidR="000816B7" w:rsidRDefault="000816B7" w:rsidP="005163BD">
      <w:pPr>
        <w:ind w:left="720" w:hanging="720"/>
        <w:rPr>
          <w:rFonts w:eastAsia="Times New Roman" w:cs="Times New Roman"/>
          <w:bCs/>
          <w:szCs w:val="24"/>
        </w:rPr>
      </w:pPr>
      <w:r w:rsidRPr="000816B7">
        <w:rPr>
          <w:rFonts w:eastAsia="Times New Roman" w:cs="Times New Roman"/>
          <w:bCs/>
          <w:szCs w:val="24"/>
        </w:rPr>
        <w:t>Suharti, L., &amp; Sugiarto, A. (2020). A qualitative study of Green HRM practices and their benefits in the organization: An Indonesian company experience. </w:t>
      </w:r>
      <w:r w:rsidRPr="000816B7">
        <w:rPr>
          <w:rFonts w:eastAsia="Times New Roman" w:cs="Times New Roman"/>
          <w:bCs/>
          <w:i/>
          <w:iCs/>
          <w:szCs w:val="24"/>
        </w:rPr>
        <w:t>Business: Theory and Practice</w:t>
      </w:r>
      <w:r w:rsidRPr="000816B7">
        <w:rPr>
          <w:rFonts w:eastAsia="Times New Roman" w:cs="Times New Roman"/>
          <w:bCs/>
          <w:szCs w:val="24"/>
        </w:rPr>
        <w:t>, 21(1), 200–211.</w:t>
      </w:r>
    </w:p>
    <w:p w14:paraId="2D494E5C" w14:textId="77777777" w:rsidR="009F33CD" w:rsidRDefault="00E40740" w:rsidP="005163BD">
      <w:pPr>
        <w:ind w:left="720" w:hanging="720"/>
        <w:rPr>
          <w:rFonts w:eastAsia="Times New Roman" w:cs="Times New Roman"/>
          <w:bCs/>
          <w:szCs w:val="24"/>
        </w:rPr>
      </w:pPr>
      <w:r>
        <w:rPr>
          <w:rFonts w:eastAsia="Times New Roman" w:cs="Times New Roman"/>
          <w:bCs/>
          <w:szCs w:val="24"/>
        </w:rPr>
        <w:lastRenderedPageBreak/>
        <w:t>Tabachnick, B. G., Fidell, L. S., &amp; Ullman, J. B. (2013). </w:t>
      </w:r>
      <w:r>
        <w:rPr>
          <w:rFonts w:eastAsia="Times New Roman" w:cs="Times New Roman"/>
          <w:bCs/>
          <w:i/>
          <w:iCs/>
          <w:szCs w:val="24"/>
        </w:rPr>
        <w:t xml:space="preserve">Using Multivariate Statistics, </w:t>
      </w:r>
      <w:r>
        <w:rPr>
          <w:rFonts w:eastAsia="Times New Roman" w:cs="Times New Roman"/>
          <w:bCs/>
          <w:szCs w:val="24"/>
        </w:rPr>
        <w:t>Boston, MA: Pearson</w:t>
      </w:r>
    </w:p>
    <w:p w14:paraId="704FD811" w14:textId="77777777" w:rsidR="009F33CD" w:rsidRDefault="00E40740" w:rsidP="005163BD">
      <w:pPr>
        <w:ind w:left="720" w:hanging="720"/>
        <w:rPr>
          <w:rFonts w:eastAsia="Times New Roman" w:cs="Times New Roman"/>
          <w:bCs/>
          <w:szCs w:val="24"/>
        </w:rPr>
      </w:pPr>
      <w:r>
        <w:rPr>
          <w:rFonts w:cs="Times New Roman"/>
          <w:szCs w:val="24"/>
        </w:rPr>
        <w:t xml:space="preserve">Tang, G., Chen, Y., &amp; Paille, P. (2018). Green Human Resource Management Practices- Scale Development and Validity: </w:t>
      </w:r>
      <w:r>
        <w:rPr>
          <w:rFonts w:cs="Times New Roman"/>
          <w:i/>
          <w:szCs w:val="24"/>
        </w:rPr>
        <w:t>The Asia Pacific Journal of Human Resource,</w:t>
      </w:r>
      <w:r>
        <w:rPr>
          <w:rFonts w:cs="Times New Roman"/>
          <w:szCs w:val="24"/>
        </w:rPr>
        <w:t xml:space="preserve"> </w:t>
      </w:r>
      <w:r>
        <w:rPr>
          <w:rFonts w:cs="Times New Roman"/>
          <w:i/>
          <w:szCs w:val="24"/>
        </w:rPr>
        <w:t>56</w:t>
      </w:r>
      <w:r>
        <w:rPr>
          <w:rFonts w:cs="Times New Roman"/>
          <w:szCs w:val="24"/>
        </w:rPr>
        <w:t>, 31–55.</w:t>
      </w:r>
    </w:p>
    <w:bookmarkEnd w:id="1821"/>
    <w:p w14:paraId="4220EA4E" w14:textId="77777777" w:rsidR="009F33CD" w:rsidRDefault="00E40740" w:rsidP="005163BD">
      <w:pPr>
        <w:ind w:left="720" w:hanging="720"/>
        <w:rPr>
          <w:rFonts w:cs="Times New Roman"/>
          <w:bCs/>
          <w:szCs w:val="24"/>
        </w:rPr>
      </w:pPr>
      <w:r>
        <w:rPr>
          <w:rFonts w:cs="Times New Roman"/>
          <w:bCs/>
          <w:szCs w:val="24"/>
        </w:rPr>
        <w:t xml:space="preserve">Tareq, F., &amp; Rosima, A. (2015). Effect of Green Recruitment, Green Training and Green Learning on the Firm Performance, Conceptual Paper: </w:t>
      </w:r>
      <w:r>
        <w:rPr>
          <w:rFonts w:cs="Times New Roman"/>
          <w:bCs/>
          <w:i/>
          <w:szCs w:val="24"/>
        </w:rPr>
        <w:t>The</w:t>
      </w:r>
      <w:r>
        <w:rPr>
          <w:rFonts w:cs="Times New Roman"/>
          <w:i/>
          <w:szCs w:val="24"/>
        </w:rPr>
        <w:t xml:space="preserve"> International Journal of Agricultural Research</w:t>
      </w:r>
      <w:r>
        <w:rPr>
          <w:rFonts w:cs="Times New Roman"/>
          <w:szCs w:val="24"/>
        </w:rPr>
        <w:t xml:space="preserve">, </w:t>
      </w:r>
      <w:r>
        <w:rPr>
          <w:rFonts w:cs="Times New Roman"/>
          <w:i/>
          <w:szCs w:val="24"/>
        </w:rPr>
        <w:t>1</w:t>
      </w:r>
      <w:r>
        <w:rPr>
          <w:rFonts w:cs="Times New Roman"/>
          <w:szCs w:val="24"/>
        </w:rPr>
        <w:t>(12), 951-953</w:t>
      </w:r>
      <w:r>
        <w:rPr>
          <w:rFonts w:cs="Times New Roman"/>
          <w:bCs/>
          <w:szCs w:val="24"/>
        </w:rPr>
        <w:t>.</w:t>
      </w:r>
    </w:p>
    <w:p w14:paraId="03C97BFF" w14:textId="77777777" w:rsidR="009F33CD" w:rsidRDefault="00E40740" w:rsidP="005163BD">
      <w:pPr>
        <w:ind w:left="720" w:hanging="720"/>
        <w:rPr>
          <w:rFonts w:eastAsia="Times New Roman" w:cs="Times New Roman"/>
          <w:bCs/>
          <w:szCs w:val="24"/>
        </w:rPr>
      </w:pPr>
      <w:r>
        <w:rPr>
          <w:rFonts w:eastAsia="Times New Roman" w:cs="Times New Roman"/>
          <w:bCs/>
          <w:szCs w:val="24"/>
        </w:rPr>
        <w:t>Teixeira, A. A., Jabbour, C. J. C., de Sousa Jabbour, A. B. L., Latan, H., &amp; De Oliveira, J. H. C. (2016). Green Training and Green Supply Chain Management: Evidence from Brazilian Firms. </w:t>
      </w:r>
      <w:r>
        <w:rPr>
          <w:rFonts w:eastAsia="Times New Roman" w:cs="Times New Roman"/>
          <w:bCs/>
          <w:i/>
          <w:iCs/>
          <w:szCs w:val="24"/>
        </w:rPr>
        <w:t>Journal of Cleaner Production</w:t>
      </w:r>
      <w:r>
        <w:rPr>
          <w:rFonts w:eastAsia="Times New Roman" w:cs="Times New Roman"/>
          <w:bCs/>
          <w:szCs w:val="24"/>
        </w:rPr>
        <w:t>, </w:t>
      </w:r>
      <w:r>
        <w:rPr>
          <w:rFonts w:eastAsia="Times New Roman" w:cs="Times New Roman"/>
          <w:bCs/>
          <w:i/>
          <w:iCs/>
          <w:szCs w:val="24"/>
        </w:rPr>
        <w:t>116</w:t>
      </w:r>
      <w:r>
        <w:rPr>
          <w:rFonts w:eastAsia="Times New Roman" w:cs="Times New Roman"/>
          <w:bCs/>
          <w:szCs w:val="24"/>
        </w:rPr>
        <w:t>, 170-176.</w:t>
      </w:r>
    </w:p>
    <w:p w14:paraId="63A687F4" w14:textId="77777777" w:rsidR="009F33CD" w:rsidRDefault="00E40740" w:rsidP="005163BD">
      <w:pPr>
        <w:ind w:left="720" w:hanging="720"/>
        <w:rPr>
          <w:rFonts w:cs="Times New Roman"/>
          <w:szCs w:val="24"/>
        </w:rPr>
      </w:pPr>
      <w:r>
        <w:t>The Health Act (2017). The Kenya Gazette Supplement Acts, The Government Printer, Nairobi.</w:t>
      </w:r>
    </w:p>
    <w:p w14:paraId="06BA7CD4" w14:textId="77777777" w:rsidR="009F33CD" w:rsidRDefault="00E40740" w:rsidP="005163BD">
      <w:pPr>
        <w:ind w:left="720" w:hanging="720"/>
        <w:rPr>
          <w:rFonts w:cs="Times New Roman"/>
          <w:color w:val="000000"/>
          <w:szCs w:val="24"/>
        </w:rPr>
      </w:pPr>
      <w:r>
        <w:rPr>
          <w:rFonts w:cs="Times New Roman"/>
          <w:color w:val="000000"/>
          <w:szCs w:val="24"/>
        </w:rPr>
        <w:t>The Ministry of Health (2014). The Occupational Health and Safety Policy Guidelines for Health Sector in Kenya, Nairobi, Kenya.</w:t>
      </w:r>
    </w:p>
    <w:p w14:paraId="3B5374AF" w14:textId="77777777" w:rsidR="009F33CD" w:rsidRDefault="00E40740" w:rsidP="005163BD">
      <w:pPr>
        <w:ind w:left="720" w:hanging="720"/>
        <w:rPr>
          <w:rFonts w:cs="Times New Roman"/>
          <w:color w:val="000000"/>
          <w:szCs w:val="24"/>
        </w:rPr>
      </w:pPr>
      <w:r>
        <w:rPr>
          <w:rFonts w:cs="Times New Roman"/>
          <w:color w:val="000000"/>
          <w:szCs w:val="24"/>
        </w:rPr>
        <w:t>Tsumba, S. A. (2020). Determinants of Revenue Collection in County Governments in Kenya. KCA University Repository.</w:t>
      </w:r>
    </w:p>
    <w:p w14:paraId="0BB022BD" w14:textId="77777777" w:rsidR="009F33CD" w:rsidRDefault="00E40740" w:rsidP="005163BD">
      <w:pPr>
        <w:autoSpaceDE/>
        <w:autoSpaceDN/>
        <w:adjustRightInd/>
        <w:ind w:left="720" w:hanging="720"/>
        <w:rPr>
          <w:rFonts w:eastAsia="SimSun" w:cs="Times New Roman"/>
          <w:bCs/>
        </w:rPr>
      </w:pPr>
      <w:bookmarkStart w:id="1822" w:name="_Hlk177290787"/>
      <w:r>
        <w:rPr>
          <w:rFonts w:eastAsia="SimSun" w:cs="Times New Roman"/>
          <w:bCs/>
        </w:rPr>
        <w:t>United Nations (2020). </w:t>
      </w:r>
      <w:bookmarkEnd w:id="1822"/>
      <w:r>
        <w:rPr>
          <w:rFonts w:eastAsia="SimSun" w:cs="Times New Roman"/>
          <w:bCs/>
          <w:i/>
          <w:iCs/>
        </w:rPr>
        <w:t>World Social Report 2020: Inequality in a Rapidly Changing World</w:t>
      </w:r>
      <w:r>
        <w:rPr>
          <w:rFonts w:eastAsia="SimSun" w:cs="Times New Roman"/>
          <w:bCs/>
        </w:rPr>
        <w:t>. Department of Economic and Social Affairs.</w:t>
      </w:r>
    </w:p>
    <w:p w14:paraId="7F3152DF" w14:textId="77777777" w:rsidR="009F33CD" w:rsidRDefault="00E40740" w:rsidP="005163BD">
      <w:pPr>
        <w:autoSpaceDE/>
        <w:autoSpaceDN/>
        <w:adjustRightInd/>
        <w:ind w:left="720" w:hanging="720"/>
        <w:rPr>
          <w:rFonts w:eastAsia="SimSun" w:cs="Times New Roman"/>
          <w:bCs/>
        </w:rPr>
      </w:pPr>
      <w:r>
        <w:rPr>
          <w:rFonts w:eastAsia="SimSun" w:cs="Times New Roman"/>
          <w:bCs/>
        </w:rPr>
        <w:t xml:space="preserve">United Nations Environment Programme (2008). </w:t>
      </w:r>
      <w:r>
        <w:rPr>
          <w:rFonts w:eastAsia="SimSun" w:cs="Times New Roman"/>
          <w:bCs/>
          <w:i/>
          <w:iCs/>
        </w:rPr>
        <w:t>Green Jobs: Towards Decent Work in a Sustainable, Low-Carbon World</w:t>
      </w:r>
      <w:r>
        <w:rPr>
          <w:rFonts w:eastAsia="SimSun" w:cs="Times New Roman"/>
          <w:bCs/>
        </w:rPr>
        <w:t>.</w:t>
      </w:r>
    </w:p>
    <w:p w14:paraId="22452748" w14:textId="77777777" w:rsidR="009F33CD" w:rsidRDefault="00E40740" w:rsidP="005163BD">
      <w:pPr>
        <w:autoSpaceDE/>
        <w:autoSpaceDN/>
        <w:adjustRightInd/>
        <w:ind w:left="720" w:hanging="720"/>
        <w:rPr>
          <w:rFonts w:cs="Times New Roman"/>
          <w:bCs/>
          <w:color w:val="000000"/>
          <w:szCs w:val="24"/>
        </w:rPr>
      </w:pPr>
      <w:r>
        <w:rPr>
          <w:rFonts w:eastAsia="SimSun" w:cs="Times New Roman"/>
          <w:bCs/>
        </w:rPr>
        <w:t>United Nations Environment Program (2022). Global Actions on World Environment Day: Underscore Urgent Need to Protect the Planet, UNEP,</w:t>
      </w:r>
      <w:r>
        <w:t xml:space="preserve"> </w:t>
      </w:r>
      <w:r>
        <w:rPr>
          <w:rFonts w:eastAsia="SimSun" w:cs="Times New Roman"/>
          <w:bCs/>
        </w:rPr>
        <w:t>Stockholm.</w:t>
      </w:r>
    </w:p>
    <w:p w14:paraId="5200A8C8"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Vermeeren, B., Kuipers, B., &amp; Steijn, B. (2014). Two Faces of the Satisfaction Mirror - a Study of Work Environment, Job Satisfaction, and Customer Satisfaction </w:t>
      </w:r>
      <w:r>
        <w:rPr>
          <w:rFonts w:eastAsia="Times New Roman" w:cs="Times New Roman"/>
          <w:bCs/>
          <w:szCs w:val="24"/>
        </w:rPr>
        <w:lastRenderedPageBreak/>
        <w:t xml:space="preserve">in Dutch Municipalities: </w:t>
      </w:r>
      <w:r>
        <w:rPr>
          <w:rFonts w:eastAsia="Times New Roman" w:cs="Times New Roman"/>
          <w:bCs/>
          <w:i/>
          <w:szCs w:val="24"/>
        </w:rPr>
        <w:t>Journal of</w:t>
      </w:r>
      <w:r>
        <w:rPr>
          <w:rFonts w:eastAsia="Times New Roman" w:cs="Times New Roman"/>
          <w:bCs/>
          <w:szCs w:val="24"/>
        </w:rPr>
        <w:t xml:space="preserve"> </w:t>
      </w:r>
      <w:r>
        <w:rPr>
          <w:rFonts w:eastAsia="Times New Roman" w:cs="Times New Roman"/>
          <w:bCs/>
          <w:i/>
          <w:szCs w:val="24"/>
        </w:rPr>
        <w:t>Public Personnel and Admin</w:t>
      </w:r>
      <w:r>
        <w:rPr>
          <w:rFonts w:eastAsia="Times New Roman" w:cs="Times New Roman"/>
          <w:bCs/>
          <w:szCs w:val="24"/>
        </w:rPr>
        <w:t xml:space="preserve">istration, </w:t>
      </w:r>
      <w:r>
        <w:rPr>
          <w:rFonts w:eastAsia="Times New Roman" w:cs="Times New Roman"/>
          <w:bCs/>
          <w:i/>
          <w:szCs w:val="24"/>
        </w:rPr>
        <w:t>31</w:t>
      </w:r>
      <w:r>
        <w:rPr>
          <w:rFonts w:eastAsia="Times New Roman" w:cs="Times New Roman"/>
          <w:bCs/>
          <w:szCs w:val="24"/>
        </w:rPr>
        <w:t xml:space="preserve">(2), 171–189. </w:t>
      </w:r>
    </w:p>
    <w:p w14:paraId="7E57E043" w14:textId="77777777" w:rsidR="009F33CD" w:rsidRDefault="00E40740" w:rsidP="005163BD">
      <w:pPr>
        <w:ind w:left="720" w:hanging="720"/>
        <w:rPr>
          <w:rFonts w:eastAsia="Times New Roman" w:cs="Times New Roman"/>
          <w:bCs/>
          <w:szCs w:val="24"/>
        </w:rPr>
      </w:pPr>
      <w:r>
        <w:rPr>
          <w:rFonts w:eastAsia="Times New Roman" w:cs="Times New Roman"/>
          <w:bCs/>
          <w:szCs w:val="24"/>
        </w:rPr>
        <w:t xml:space="preserve">Vuyokazi, M. (2019). Does Having Knowledge of Green Human Resource Management Practices Influence its Implementation Within Organizations? </w:t>
      </w:r>
      <w:r>
        <w:rPr>
          <w:rFonts w:eastAsia="Times New Roman" w:cs="Times New Roman"/>
          <w:bCs/>
          <w:i/>
          <w:szCs w:val="24"/>
        </w:rPr>
        <w:t>Journal of Problems and Perspectives in Management</w:t>
      </w:r>
      <w:r>
        <w:rPr>
          <w:rFonts w:eastAsia="Times New Roman" w:cs="Times New Roman"/>
          <w:bCs/>
          <w:szCs w:val="24"/>
        </w:rPr>
        <w:t xml:space="preserve">, </w:t>
      </w:r>
      <w:r>
        <w:rPr>
          <w:rFonts w:eastAsia="Times New Roman" w:cs="Times New Roman"/>
          <w:bCs/>
          <w:i/>
          <w:szCs w:val="24"/>
        </w:rPr>
        <w:t>17</w:t>
      </w:r>
      <w:r>
        <w:rPr>
          <w:rFonts w:eastAsia="Times New Roman" w:cs="Times New Roman"/>
          <w:bCs/>
          <w:szCs w:val="24"/>
        </w:rPr>
        <w:t xml:space="preserve">(2), 267-276. </w:t>
      </w:r>
    </w:p>
    <w:p w14:paraId="0C4361DB" w14:textId="77777777" w:rsidR="009F33CD" w:rsidRDefault="00E40740" w:rsidP="005163BD">
      <w:pPr>
        <w:ind w:left="720" w:hanging="720"/>
        <w:rPr>
          <w:rFonts w:eastAsia="Times New Roman" w:cs="Times New Roman"/>
          <w:bCs/>
          <w:szCs w:val="24"/>
        </w:rPr>
      </w:pPr>
      <w:r>
        <w:rPr>
          <w:rFonts w:eastAsia="Times New Roman" w:cs="Times New Roman"/>
          <w:szCs w:val="24"/>
        </w:rPr>
        <w:t>Walker, H., Di Sisto, L., &amp; McBain, D. (2011).</w:t>
      </w:r>
      <w:r>
        <w:rPr>
          <w:rFonts w:eastAsia="Times New Roman" w:cs="Times New Roman"/>
          <w:bCs/>
          <w:szCs w:val="24"/>
        </w:rPr>
        <w:t> Drivers and Barriers to Environmental Supply Chain Management Practices: Lessons from the Public and Private Sectors. </w:t>
      </w:r>
      <w:r>
        <w:rPr>
          <w:rFonts w:eastAsia="Times New Roman" w:cs="Times New Roman"/>
          <w:bCs/>
          <w:i/>
          <w:iCs/>
          <w:szCs w:val="24"/>
        </w:rPr>
        <w:t>Journal of Purchasing and Supply Management, 14</w:t>
      </w:r>
      <w:r>
        <w:rPr>
          <w:rFonts w:eastAsia="Times New Roman" w:cs="Times New Roman"/>
          <w:bCs/>
          <w:szCs w:val="24"/>
        </w:rPr>
        <w:t>(1), 69-85.</w:t>
      </w:r>
    </w:p>
    <w:p w14:paraId="100DB73F" w14:textId="77777777" w:rsidR="009F33CD" w:rsidRDefault="00E40740" w:rsidP="005163BD">
      <w:pPr>
        <w:ind w:left="720" w:hanging="720"/>
        <w:rPr>
          <w:rFonts w:eastAsia="Times New Roman" w:cs="Times New Roman"/>
          <w:bCs/>
          <w:szCs w:val="24"/>
        </w:rPr>
      </w:pPr>
      <w:r>
        <w:rPr>
          <w:rFonts w:eastAsia="Times New Roman" w:cs="Times New Roman"/>
          <w:bCs/>
          <w:szCs w:val="24"/>
        </w:rPr>
        <w:t>Wang, S. (2012). Project Investment and Project Financing</w:t>
      </w:r>
      <w:r>
        <w:rPr>
          <w:rFonts w:eastAsia="Times New Roman" w:cs="Times New Roman"/>
          <w:bCs/>
          <w:i/>
          <w:szCs w:val="24"/>
        </w:rPr>
        <w:t>: A study on Business Case and Financing Models,</w:t>
      </w:r>
      <w:r>
        <w:rPr>
          <w:rFonts w:eastAsia="Times New Roman" w:cs="Times New Roman"/>
          <w:bCs/>
          <w:szCs w:val="24"/>
        </w:rPr>
        <w:t xml:space="preserve"> </w:t>
      </w:r>
      <w:r>
        <w:rPr>
          <w:rFonts w:eastAsia="Times New Roman" w:cs="Times New Roman"/>
          <w:bCs/>
          <w:i/>
          <w:szCs w:val="24"/>
        </w:rPr>
        <w:t>Journal of Norwegian University of Science and Technology</w:t>
      </w:r>
      <w:r>
        <w:rPr>
          <w:rFonts w:eastAsia="Times New Roman" w:cs="Times New Roman"/>
          <w:bCs/>
          <w:szCs w:val="24"/>
        </w:rPr>
        <w:t>, Oslo, Norway.</w:t>
      </w:r>
    </w:p>
    <w:p w14:paraId="793BB790" w14:textId="77777777" w:rsidR="009F33CD" w:rsidRDefault="00E40740" w:rsidP="005163BD">
      <w:pPr>
        <w:ind w:left="720" w:hanging="720"/>
        <w:rPr>
          <w:rFonts w:eastAsia="Times New Roman" w:cs="Times New Roman"/>
          <w:bCs/>
          <w:szCs w:val="24"/>
        </w:rPr>
      </w:pPr>
      <w:r>
        <w:rPr>
          <w:rFonts w:eastAsia="Times New Roman" w:cs="Times New Roman"/>
          <w:bCs/>
          <w:szCs w:val="24"/>
        </w:rPr>
        <w:t>Wargocki, P., Wyon, D.P., &amp; Fanger, P.O. (2000). Productivity is Affected by the Air Quality in Offices. </w:t>
      </w:r>
      <w:r>
        <w:rPr>
          <w:rFonts w:eastAsia="Times New Roman" w:cs="Times New Roman"/>
          <w:bCs/>
          <w:i/>
          <w:iCs/>
          <w:szCs w:val="24"/>
        </w:rPr>
        <w:t>Proc Healthy Buildings</w:t>
      </w:r>
      <w:r>
        <w:rPr>
          <w:rFonts w:eastAsia="Times New Roman" w:cs="Times New Roman"/>
          <w:bCs/>
          <w:szCs w:val="24"/>
        </w:rPr>
        <w:t xml:space="preserve">, </w:t>
      </w:r>
      <w:r>
        <w:rPr>
          <w:rFonts w:eastAsia="Times New Roman" w:cs="Times New Roman"/>
          <w:bCs/>
          <w:i/>
          <w:szCs w:val="24"/>
        </w:rPr>
        <w:t>1</w:t>
      </w:r>
      <w:r>
        <w:rPr>
          <w:rFonts w:eastAsia="Times New Roman" w:cs="Times New Roman"/>
          <w:bCs/>
          <w:szCs w:val="24"/>
        </w:rPr>
        <w:t>, 635–640.</w:t>
      </w:r>
    </w:p>
    <w:p w14:paraId="02FDFAB0" w14:textId="77777777" w:rsidR="0005444F" w:rsidRDefault="00E40740" w:rsidP="005163BD">
      <w:pPr>
        <w:ind w:left="720" w:hanging="720"/>
        <w:rPr>
          <w:rFonts w:eastAsia="Times New Roman" w:cs="Palatino Linotype"/>
          <w:bCs/>
          <w:color w:val="000000"/>
          <w:szCs w:val="24"/>
        </w:rPr>
      </w:pPr>
      <w:r>
        <w:rPr>
          <w:rFonts w:eastAsia="Times New Roman" w:cs="Palatino Linotype"/>
          <w:bCs/>
          <w:color w:val="000000"/>
          <w:szCs w:val="24"/>
        </w:rPr>
        <w:t>Wehrmeyer, W. (2017). </w:t>
      </w:r>
      <w:r>
        <w:rPr>
          <w:rFonts w:eastAsia="Times New Roman" w:cs="Palatino Linotype"/>
          <w:bCs/>
          <w:i/>
          <w:color w:val="000000"/>
          <w:szCs w:val="24"/>
        </w:rPr>
        <w:t>Greening People: Human Resources and Environmental Management</w:t>
      </w:r>
      <w:r w:rsidR="0005444F">
        <w:rPr>
          <w:rFonts w:eastAsia="Times New Roman" w:cs="Palatino Linotype"/>
          <w:bCs/>
          <w:color w:val="000000"/>
          <w:szCs w:val="24"/>
        </w:rPr>
        <w:t xml:space="preserve">, </w:t>
      </w:r>
      <w:r>
        <w:rPr>
          <w:rFonts w:eastAsia="Times New Roman" w:cs="Palatino Linotype"/>
          <w:bCs/>
          <w:color w:val="000000"/>
          <w:szCs w:val="24"/>
        </w:rPr>
        <w:t>Routledge</w:t>
      </w:r>
      <w:r w:rsidR="0005444F">
        <w:rPr>
          <w:rFonts w:eastAsia="Times New Roman" w:cs="Palatino Linotype"/>
          <w:bCs/>
          <w:color w:val="000000"/>
          <w:szCs w:val="24"/>
        </w:rPr>
        <w:t xml:space="preserve">, </w:t>
      </w:r>
      <w:r w:rsidR="0005444F" w:rsidRPr="0005444F">
        <w:rPr>
          <w:rFonts w:eastAsia="Times New Roman" w:cs="Palatino Linotype"/>
          <w:bCs/>
          <w:color w:val="000000"/>
          <w:szCs w:val="24"/>
        </w:rPr>
        <w:t>Greenleaf Publishing</w:t>
      </w:r>
      <w:r w:rsidR="0005444F">
        <w:rPr>
          <w:rFonts w:eastAsia="Times New Roman" w:cs="Palatino Linotype"/>
          <w:bCs/>
          <w:color w:val="000000"/>
          <w:szCs w:val="24"/>
        </w:rPr>
        <w:t xml:space="preserve">, </w:t>
      </w:r>
      <w:r w:rsidR="0005444F" w:rsidRPr="0005444F">
        <w:rPr>
          <w:rFonts w:eastAsia="Times New Roman" w:cs="Palatino Linotype"/>
          <w:bCs/>
          <w:color w:val="000000"/>
          <w:szCs w:val="24"/>
        </w:rPr>
        <w:t>11–32</w:t>
      </w:r>
      <w:r w:rsidR="0005444F">
        <w:rPr>
          <w:rFonts w:eastAsia="Times New Roman" w:cs="Palatino Linotype"/>
          <w:bCs/>
          <w:color w:val="000000"/>
          <w:szCs w:val="24"/>
        </w:rPr>
        <w:t>.</w:t>
      </w:r>
    </w:p>
    <w:p w14:paraId="6486F0A7" w14:textId="77777777" w:rsidR="009F33CD" w:rsidRDefault="00E40740" w:rsidP="005163BD">
      <w:pPr>
        <w:ind w:left="720" w:hanging="720"/>
        <w:rPr>
          <w:rFonts w:eastAsia="Times New Roman" w:cs="Palatino Linotype"/>
          <w:bCs/>
          <w:color w:val="000000"/>
          <w:szCs w:val="24"/>
        </w:rPr>
      </w:pPr>
      <w:bookmarkStart w:id="1823" w:name="_Hlk176439611"/>
      <w:r>
        <w:rPr>
          <w:rFonts w:eastAsia="Times New Roman" w:cs="Palatino Linotype"/>
          <w:bCs/>
          <w:color w:val="000000"/>
          <w:szCs w:val="24"/>
        </w:rPr>
        <w:t>World Alliance for Patient Safety (2021). The second WHO Global Patient Safety Challenge: Safe Surgery Saves Lives. Geneva, World Health Organization.</w:t>
      </w:r>
    </w:p>
    <w:p w14:paraId="27CB11C9" w14:textId="77777777" w:rsidR="009F33CD" w:rsidRDefault="00E40740" w:rsidP="005163BD">
      <w:pPr>
        <w:ind w:left="720" w:hanging="720"/>
        <w:rPr>
          <w:rFonts w:eastAsia="Times New Roman" w:cs="Palatino Linotype"/>
          <w:bCs/>
          <w:color w:val="000000"/>
          <w:szCs w:val="24"/>
        </w:rPr>
      </w:pPr>
      <w:r>
        <w:rPr>
          <w:rFonts w:eastAsia="Times New Roman" w:cs="Palatino Linotype"/>
          <w:bCs/>
          <w:color w:val="000000"/>
          <w:szCs w:val="24"/>
        </w:rPr>
        <w:t>World Health Organization (2012). Health Worker Occupational Health - Health workers, Vol. 2012, Geneva.</w:t>
      </w:r>
    </w:p>
    <w:p w14:paraId="347611B4" w14:textId="77777777" w:rsidR="009F33CD" w:rsidRDefault="00E40740" w:rsidP="005163BD">
      <w:pPr>
        <w:ind w:left="720" w:hanging="720"/>
        <w:rPr>
          <w:rFonts w:eastAsia="Times New Roman" w:cs="Palatino Linotype"/>
          <w:bCs/>
          <w:color w:val="000000"/>
          <w:szCs w:val="24"/>
        </w:rPr>
      </w:pPr>
      <w:bookmarkStart w:id="1824" w:name="_Hlk174522432"/>
      <w:bookmarkEnd w:id="1823"/>
      <w:r>
        <w:rPr>
          <w:rFonts w:eastAsia="Times New Roman" w:cs="Palatino Linotype"/>
          <w:bCs/>
          <w:color w:val="000000"/>
          <w:szCs w:val="24"/>
        </w:rPr>
        <w:t>World Health Organization (2017). World Health Statistics, Monitoring Health for the SDGS, Sustainable Development Goals. Geneva</w:t>
      </w:r>
      <w:bookmarkStart w:id="1825" w:name="_Hlk174522076"/>
      <w:r>
        <w:rPr>
          <w:rFonts w:eastAsia="Times New Roman" w:cs="Palatino Linotype"/>
          <w:bCs/>
          <w:color w:val="000000"/>
          <w:szCs w:val="24"/>
        </w:rPr>
        <w:t>.</w:t>
      </w:r>
      <w:bookmarkEnd w:id="1825"/>
    </w:p>
    <w:p w14:paraId="3091FD62" w14:textId="77777777" w:rsidR="009F33CD" w:rsidRDefault="00E40740" w:rsidP="005163BD">
      <w:pPr>
        <w:ind w:left="720" w:hanging="720"/>
        <w:rPr>
          <w:rFonts w:eastAsia="Times New Roman" w:cs="Palatino Linotype"/>
          <w:bCs/>
          <w:color w:val="000000"/>
          <w:szCs w:val="24"/>
        </w:rPr>
      </w:pPr>
      <w:r>
        <w:rPr>
          <w:rFonts w:eastAsia="Times New Roman" w:cs="Palatino Linotype"/>
          <w:bCs/>
          <w:color w:val="000000"/>
          <w:szCs w:val="24"/>
        </w:rPr>
        <w:t>World Health Organization (2024). Heat and Health</w:t>
      </w:r>
      <w:r>
        <w:rPr>
          <w:rFonts w:eastAsia="Times New Roman" w:cs="Palatino Linotype"/>
          <w:bCs/>
          <w:szCs w:val="24"/>
        </w:rPr>
        <w:t>: </w:t>
      </w:r>
      <w:hyperlink r:id="rId25" w:history="1">
        <w:r w:rsidR="009F33CD">
          <w:rPr>
            <w:rStyle w:val="Hyperlink"/>
            <w:rFonts w:eastAsia="Times New Roman" w:cs="Palatino Linotype"/>
            <w:bCs/>
            <w:color w:val="auto"/>
            <w:szCs w:val="24"/>
            <w:u w:val="none"/>
          </w:rPr>
          <w:t>guidance for public health institutions</w:t>
        </w:r>
      </w:hyperlink>
      <w:r>
        <w:rPr>
          <w:rFonts w:eastAsia="Times New Roman" w:cs="Palatino Linotype"/>
          <w:bCs/>
          <w:szCs w:val="24"/>
        </w:rPr>
        <w:t> to identify and </w:t>
      </w:r>
      <w:hyperlink r:id="rId26" w:history="1">
        <w:r w:rsidR="009F33CD">
          <w:rPr>
            <w:rStyle w:val="Hyperlink"/>
            <w:rFonts w:eastAsia="Times New Roman" w:cs="Palatino Linotype"/>
            <w:bCs/>
            <w:color w:val="auto"/>
            <w:szCs w:val="24"/>
            <w:u w:val="none"/>
          </w:rPr>
          <w:t>manage</w:t>
        </w:r>
      </w:hyperlink>
      <w:r>
        <w:rPr>
          <w:rFonts w:eastAsia="Times New Roman" w:cs="Palatino Linotype"/>
          <w:bCs/>
          <w:szCs w:val="24"/>
        </w:rPr>
        <w:t> extreme heat risks, Geneva.</w:t>
      </w:r>
    </w:p>
    <w:p w14:paraId="6BB26E04" w14:textId="77777777" w:rsidR="009F33CD" w:rsidRDefault="00E40740" w:rsidP="005163BD">
      <w:pPr>
        <w:ind w:left="720" w:hanging="720"/>
        <w:rPr>
          <w:rFonts w:eastAsia="Times New Roman" w:cs="Palatino Linotype"/>
          <w:bCs/>
          <w:color w:val="000000"/>
          <w:szCs w:val="24"/>
        </w:rPr>
      </w:pPr>
      <w:r>
        <w:rPr>
          <w:rFonts w:cs="Times New Roman"/>
          <w:szCs w:val="24"/>
        </w:rPr>
        <w:t xml:space="preserve">Yong, J. Y., Yusliza, M. Y., Ramayah, T., Chiappetta Jabbour, C. J., Sehnem, S., &amp; Mani, V. (2019). Pathways towards Sustainability in Manufacturing Organizations: Empirical Evidence on the Role of Green Human Resource </w:t>
      </w:r>
      <w:r>
        <w:rPr>
          <w:rFonts w:cs="Times New Roman"/>
          <w:szCs w:val="24"/>
        </w:rPr>
        <w:lastRenderedPageBreak/>
        <w:t xml:space="preserve">Management, Business Strategy and the Environment. </w:t>
      </w:r>
      <w:r>
        <w:rPr>
          <w:rFonts w:cs="Times New Roman"/>
          <w:i/>
          <w:szCs w:val="24"/>
        </w:rPr>
        <w:t>Sustainability</w:t>
      </w:r>
      <w:r>
        <w:rPr>
          <w:rFonts w:cs="Times New Roman"/>
          <w:szCs w:val="24"/>
        </w:rPr>
        <w:t xml:space="preserve">, </w:t>
      </w:r>
      <w:r>
        <w:rPr>
          <w:rFonts w:cs="Times New Roman"/>
          <w:i/>
          <w:szCs w:val="24"/>
        </w:rPr>
        <w:t>11</w:t>
      </w:r>
      <w:r>
        <w:rPr>
          <w:rFonts w:cs="Times New Roman"/>
          <w:szCs w:val="24"/>
        </w:rPr>
        <w:t>(14), 3860</w:t>
      </w:r>
      <w:bookmarkEnd w:id="1824"/>
      <w:r>
        <w:rPr>
          <w:rFonts w:eastAsia="Times New Roman" w:cs="Palatino Linotype"/>
          <w:bCs/>
          <w:color w:val="000000"/>
          <w:szCs w:val="24"/>
        </w:rPr>
        <w:t>.</w:t>
      </w:r>
    </w:p>
    <w:p w14:paraId="3733925B" w14:textId="77777777" w:rsidR="009F33CD" w:rsidRDefault="00E40740" w:rsidP="005163BD">
      <w:pPr>
        <w:ind w:left="720" w:hanging="720"/>
        <w:rPr>
          <w:rFonts w:eastAsia="Times New Roman" w:cs="Palatino Linotype"/>
          <w:bCs/>
          <w:color w:val="000000"/>
          <w:szCs w:val="24"/>
        </w:rPr>
      </w:pPr>
      <w:r>
        <w:rPr>
          <w:rFonts w:cs="Times New Roman"/>
          <w:szCs w:val="24"/>
        </w:rPr>
        <w:t xml:space="preserve">Yusoff, Y.M., Nejati, M., Kee, D.M.H., &amp; Amran, A. (2018). Linking Green Human Resource Management Practices to Environmental Performance in Hotel Industry, </w:t>
      </w:r>
      <w:r>
        <w:rPr>
          <w:rFonts w:cs="Times New Roman"/>
          <w:i/>
          <w:szCs w:val="24"/>
        </w:rPr>
        <w:t>Global Business Review, 21</w:t>
      </w:r>
      <w:r>
        <w:rPr>
          <w:rFonts w:cs="Times New Roman"/>
          <w:szCs w:val="24"/>
        </w:rPr>
        <w:t>(3), 1-18.</w:t>
      </w:r>
    </w:p>
    <w:p w14:paraId="50826D1F" w14:textId="77777777" w:rsidR="009F33CD" w:rsidRDefault="00E40740" w:rsidP="005163BD">
      <w:pPr>
        <w:ind w:left="720" w:hanging="720"/>
        <w:rPr>
          <w:rFonts w:cs="Times New Roman"/>
          <w:bCs/>
          <w:szCs w:val="24"/>
        </w:rPr>
      </w:pPr>
      <w:r>
        <w:rPr>
          <w:rFonts w:cs="Times New Roman"/>
          <w:bCs/>
          <w:szCs w:val="24"/>
        </w:rPr>
        <w:t xml:space="preserve">Zaid, A. A., Jaaron, A. A. M., &amp; Bon, A. T. (2018). The Impact of Green Human Resource Management and Green Supply Chain Management Practices on Sustainable Performance: An empirical Study. </w:t>
      </w:r>
      <w:r>
        <w:rPr>
          <w:rFonts w:cs="Times New Roman"/>
          <w:bCs/>
          <w:i/>
          <w:iCs/>
          <w:szCs w:val="24"/>
        </w:rPr>
        <w:t>Journal of Cleaner Production, 204</w:t>
      </w:r>
      <w:r>
        <w:rPr>
          <w:rFonts w:cs="Times New Roman"/>
          <w:bCs/>
          <w:szCs w:val="24"/>
        </w:rPr>
        <w:t>, 965-979.</w:t>
      </w:r>
    </w:p>
    <w:p w14:paraId="36A123B7" w14:textId="77777777" w:rsidR="009F33CD" w:rsidRDefault="00E40740" w:rsidP="005163BD">
      <w:pPr>
        <w:ind w:left="720" w:hanging="720"/>
        <w:rPr>
          <w:rFonts w:cs="Times New Roman"/>
          <w:szCs w:val="24"/>
        </w:rPr>
      </w:pPr>
      <w:r>
        <w:rPr>
          <w:rFonts w:cs="Times New Roman"/>
          <w:szCs w:val="24"/>
        </w:rPr>
        <w:t>Zaid, A.A., Jaaron, A.A., &amp; Bon, A.T. (2018). The Impact of Green Human Resource Management and Green Supply Chain Management Practices on Sustainable Performance: An Empirical Study</w:t>
      </w:r>
      <w:r>
        <w:rPr>
          <w:rFonts w:eastAsia="AdvOT8cb2ddbd+20" w:cs="Times New Roman"/>
          <w:szCs w:val="24"/>
        </w:rPr>
        <w:t>,</w:t>
      </w:r>
      <w:r>
        <w:rPr>
          <w:rFonts w:cs="Times New Roman"/>
          <w:szCs w:val="24"/>
        </w:rPr>
        <w:t xml:space="preserve"> </w:t>
      </w:r>
      <w:r>
        <w:rPr>
          <w:rFonts w:cs="Times New Roman"/>
          <w:i/>
          <w:szCs w:val="24"/>
        </w:rPr>
        <w:t>Journal of Cleaner Production</w:t>
      </w:r>
      <w:r>
        <w:rPr>
          <w:rFonts w:cs="Times New Roman"/>
          <w:szCs w:val="24"/>
        </w:rPr>
        <w:t xml:space="preserve">, </w:t>
      </w:r>
      <w:r>
        <w:rPr>
          <w:rFonts w:cs="Times New Roman"/>
          <w:i/>
          <w:szCs w:val="24"/>
        </w:rPr>
        <w:t>204</w:t>
      </w:r>
      <w:r>
        <w:rPr>
          <w:rFonts w:cs="Times New Roman"/>
          <w:szCs w:val="24"/>
        </w:rPr>
        <w:t xml:space="preserve"> (3), 965-979.</w:t>
      </w:r>
    </w:p>
    <w:p w14:paraId="5EE3FB12" w14:textId="77777777" w:rsidR="009F33CD" w:rsidRDefault="00E40740" w:rsidP="005163BD">
      <w:pPr>
        <w:ind w:left="720" w:hanging="720"/>
        <w:rPr>
          <w:rFonts w:cs="Times New Roman"/>
          <w:szCs w:val="24"/>
        </w:rPr>
      </w:pPr>
      <w:r w:rsidRPr="001B7BDB">
        <w:rPr>
          <w:rFonts w:cs="Times New Roman"/>
          <w:bCs/>
          <w:szCs w:val="24"/>
          <w:lang w:val="it-IT"/>
        </w:rPr>
        <w:t xml:space="preserve">Zeng, W., Musiega, A., Oyasi, J., Di Giorgio, L., Chuma, J., Lu, R., &amp; Ahn, H.(2022). </w:t>
      </w:r>
      <w:r>
        <w:rPr>
          <w:rFonts w:cs="Times New Roman"/>
          <w:bCs/>
          <w:szCs w:val="24"/>
          <w:lang w:val="en-US"/>
        </w:rPr>
        <w:t>Understanding the performance of county health service delivery in Kenya: a mixed-method analysis. Health Policy Plan. 8;37(2):189-199.</w:t>
      </w:r>
    </w:p>
    <w:p w14:paraId="6B23C857" w14:textId="77777777" w:rsidR="009F33CD" w:rsidRDefault="00E40740" w:rsidP="005163BD">
      <w:pPr>
        <w:ind w:left="720" w:hanging="720"/>
        <w:rPr>
          <w:rFonts w:cs="Times New Roman"/>
          <w:szCs w:val="24"/>
        </w:rPr>
      </w:pPr>
      <w:r>
        <w:rPr>
          <w:rFonts w:cs="Times New Roman"/>
          <w:szCs w:val="24"/>
        </w:rPr>
        <w:t>Zhang, Y., Luo, Y., Zhang, X., &amp; Zhao, J. (2019).</w:t>
      </w:r>
      <w:r w:rsidR="008A65FB">
        <w:rPr>
          <w:rFonts w:cs="Times New Roman"/>
          <w:szCs w:val="24"/>
        </w:rPr>
        <w:t xml:space="preserve"> </w:t>
      </w:r>
      <w:r>
        <w:rPr>
          <w:rFonts w:cs="Times New Roman"/>
          <w:szCs w:val="24"/>
        </w:rPr>
        <w:t xml:space="preserve">How Green Human Resources Management Can Promote Green Employee Behaviour in China: A Technology Acceptance Model Perspective, Sustainability, </w:t>
      </w:r>
      <w:r>
        <w:rPr>
          <w:rFonts w:cs="Times New Roman"/>
          <w:i/>
          <w:szCs w:val="24"/>
        </w:rPr>
        <w:t>11</w:t>
      </w:r>
      <w:r>
        <w:rPr>
          <w:rFonts w:cs="Times New Roman"/>
          <w:szCs w:val="24"/>
        </w:rPr>
        <w:t>(19), 1-19.</w:t>
      </w:r>
    </w:p>
    <w:p w14:paraId="56C99389" w14:textId="77777777" w:rsidR="009F33CD" w:rsidRDefault="00E40740" w:rsidP="005163BD">
      <w:pPr>
        <w:ind w:left="720" w:hanging="720"/>
        <w:rPr>
          <w:rFonts w:eastAsia="TimesNewRomanPSMT" w:cs="Times New Roman"/>
          <w:szCs w:val="24"/>
        </w:rPr>
      </w:pPr>
      <w:r>
        <w:rPr>
          <w:rFonts w:eastAsia="TimesNewRomanPSMT" w:cs="Times New Roman"/>
          <w:szCs w:val="24"/>
        </w:rPr>
        <w:t>Zoogah, D. (201</w:t>
      </w:r>
      <w:r w:rsidR="00F17A6E">
        <w:rPr>
          <w:rFonts w:eastAsia="TimesNewRomanPSMT" w:cs="Times New Roman"/>
          <w:szCs w:val="24"/>
        </w:rPr>
        <w:t>8</w:t>
      </w:r>
      <w:r>
        <w:rPr>
          <w:rFonts w:eastAsia="TimesNewRomanPSMT" w:cs="Times New Roman"/>
          <w:szCs w:val="24"/>
        </w:rPr>
        <w:t xml:space="preserve">). The Dynamics of Green Human Resource Management Behaviours: </w:t>
      </w:r>
      <w:r>
        <w:rPr>
          <w:rFonts w:eastAsia="TimesNewRomanPSMT" w:cs="Times New Roman"/>
          <w:i/>
          <w:szCs w:val="24"/>
        </w:rPr>
        <w:t>A Cognitive Social Information Processing Approach,</w:t>
      </w:r>
      <w:r>
        <w:rPr>
          <w:rFonts w:eastAsia="TimesNewRomanPSMT" w:cs="Times New Roman"/>
          <w:szCs w:val="24"/>
        </w:rPr>
        <w:t xml:space="preserve"> </w:t>
      </w:r>
      <w:r>
        <w:rPr>
          <w:rFonts w:eastAsia="TimesNewRomanPSMT" w:cs="Times New Roman"/>
          <w:i/>
          <w:szCs w:val="24"/>
        </w:rPr>
        <w:t>25</w:t>
      </w:r>
      <w:r>
        <w:rPr>
          <w:rFonts w:eastAsia="TimesNewRomanPSMT" w:cs="Times New Roman"/>
          <w:szCs w:val="24"/>
        </w:rPr>
        <w:t>(2), 117-139.</w:t>
      </w:r>
      <w:r>
        <w:rPr>
          <w:rFonts w:eastAsia="TimesNewRomanPSMT" w:cs="Times New Roman"/>
          <w:szCs w:val="24"/>
        </w:rPr>
        <w:br w:type="page"/>
      </w:r>
    </w:p>
    <w:p w14:paraId="0E2DD832" w14:textId="77777777" w:rsidR="009F33CD" w:rsidRDefault="00E40740">
      <w:pPr>
        <w:pStyle w:val="Heading1"/>
        <w:rPr>
          <w:rFonts w:cs="Times New Roman"/>
          <w:szCs w:val="24"/>
        </w:rPr>
      </w:pPr>
      <w:bookmarkStart w:id="1826" w:name="_Toc224237781"/>
      <w:bookmarkStart w:id="1827" w:name="_Toc5651617"/>
      <w:bookmarkEnd w:id="1799"/>
      <w:r>
        <w:rPr>
          <w:rFonts w:cs="Times New Roman"/>
          <w:szCs w:val="24"/>
        </w:rPr>
        <w:lastRenderedPageBreak/>
        <w:t>APPENDICES</w:t>
      </w:r>
      <w:bookmarkEnd w:id="1826"/>
    </w:p>
    <w:p w14:paraId="0FCBBF72" w14:textId="77777777" w:rsidR="009F33CD" w:rsidRDefault="00E40740">
      <w:pPr>
        <w:pStyle w:val="Heading7"/>
        <w:spacing w:line="276" w:lineRule="auto"/>
      </w:pPr>
      <w:bookmarkStart w:id="1828" w:name="_Toc147950312"/>
      <w:bookmarkStart w:id="1829" w:name="_Toc178945151"/>
      <w:bookmarkStart w:id="1830" w:name="_Toc185614198"/>
      <w:bookmarkStart w:id="1831" w:name="_Toc188071384"/>
      <w:bookmarkStart w:id="1832" w:name="_Toc165626471"/>
      <w:bookmarkStart w:id="1833" w:name="_Toc187080970"/>
      <w:bookmarkStart w:id="1834" w:name="_Toc147946973"/>
      <w:r>
        <w:t>Appendix I: Data Collection Request Letter</w:t>
      </w:r>
      <w:bookmarkEnd w:id="1828"/>
      <w:bookmarkEnd w:id="1829"/>
      <w:bookmarkEnd w:id="1830"/>
      <w:bookmarkEnd w:id="1831"/>
      <w:bookmarkEnd w:id="1832"/>
      <w:bookmarkEnd w:id="1833"/>
      <w:bookmarkEnd w:id="1834"/>
    </w:p>
    <w:p w14:paraId="167C449E" w14:textId="77777777" w:rsidR="009F33CD" w:rsidRDefault="00E40740">
      <w:pPr>
        <w:autoSpaceDE/>
        <w:autoSpaceDN/>
        <w:adjustRightInd/>
        <w:spacing w:line="276" w:lineRule="auto"/>
        <w:rPr>
          <w:rFonts w:cs="Times New Roman"/>
          <w:b/>
          <w:bCs/>
          <w:szCs w:val="24"/>
        </w:rPr>
      </w:pPr>
      <w:bookmarkStart w:id="1835" w:name="_Toc33443463"/>
      <w:r>
        <w:rPr>
          <w:rFonts w:cs="Times New Roman"/>
          <w:b/>
          <w:bCs/>
          <w:szCs w:val="24"/>
        </w:rPr>
        <w:t>FROM:</w:t>
      </w:r>
    </w:p>
    <w:p w14:paraId="386130D3" w14:textId="77777777" w:rsidR="009F33CD" w:rsidRPr="001B7BDB" w:rsidRDefault="00E40740">
      <w:pPr>
        <w:autoSpaceDE/>
        <w:autoSpaceDN/>
        <w:adjustRightInd/>
        <w:spacing w:line="276" w:lineRule="auto"/>
        <w:contextualSpacing/>
        <w:rPr>
          <w:rFonts w:cs="Times New Roman"/>
          <w:bCs/>
          <w:szCs w:val="24"/>
          <w:lang w:val="it-IT"/>
        </w:rPr>
      </w:pPr>
      <w:r w:rsidRPr="001B7BDB">
        <w:rPr>
          <w:rFonts w:cs="Times New Roman"/>
          <w:bCs/>
          <w:szCs w:val="24"/>
          <w:lang w:val="it-IT"/>
        </w:rPr>
        <w:t>NELSON MOMANYI BOGONKO</w:t>
      </w:r>
    </w:p>
    <w:p w14:paraId="039AD6D0" w14:textId="77777777" w:rsidR="009F33CD" w:rsidRPr="001B7BDB" w:rsidRDefault="00E40740">
      <w:pPr>
        <w:autoSpaceDE/>
        <w:autoSpaceDN/>
        <w:adjustRightInd/>
        <w:spacing w:line="276" w:lineRule="auto"/>
        <w:contextualSpacing/>
        <w:rPr>
          <w:rFonts w:cs="Times New Roman"/>
          <w:bCs/>
          <w:szCs w:val="24"/>
          <w:lang w:val="it-IT"/>
        </w:rPr>
      </w:pPr>
      <w:r w:rsidRPr="001B7BDB">
        <w:rPr>
          <w:rFonts w:cs="Times New Roman"/>
          <w:bCs/>
          <w:szCs w:val="24"/>
          <w:lang w:val="it-IT"/>
        </w:rPr>
        <w:t>PO BOX 7023-00300,</w:t>
      </w:r>
    </w:p>
    <w:p w14:paraId="662F99F7" w14:textId="77777777" w:rsidR="009F33CD" w:rsidRPr="001B7BDB" w:rsidRDefault="00E40740">
      <w:pPr>
        <w:autoSpaceDE/>
        <w:autoSpaceDN/>
        <w:adjustRightInd/>
        <w:spacing w:line="276" w:lineRule="auto"/>
        <w:contextualSpacing/>
        <w:rPr>
          <w:rFonts w:cs="Times New Roman"/>
          <w:bCs/>
          <w:szCs w:val="24"/>
          <w:lang w:val="it-IT"/>
        </w:rPr>
      </w:pPr>
      <w:r w:rsidRPr="001B7BDB">
        <w:rPr>
          <w:rFonts w:cs="Times New Roman"/>
          <w:bCs/>
          <w:szCs w:val="24"/>
          <w:lang w:val="it-IT"/>
        </w:rPr>
        <w:t>NAIROBI.</w:t>
      </w:r>
    </w:p>
    <w:p w14:paraId="4B327F9B" w14:textId="77777777" w:rsidR="009F33CD" w:rsidRPr="001B7BDB" w:rsidRDefault="00E40740">
      <w:pPr>
        <w:autoSpaceDE/>
        <w:autoSpaceDN/>
        <w:adjustRightInd/>
        <w:spacing w:line="276" w:lineRule="auto"/>
        <w:contextualSpacing/>
        <w:rPr>
          <w:rFonts w:cs="Times New Roman"/>
          <w:bCs/>
          <w:szCs w:val="24"/>
          <w:lang w:val="it-IT"/>
        </w:rPr>
      </w:pPr>
      <w:r w:rsidRPr="001B7BDB">
        <w:rPr>
          <w:rFonts w:cs="Times New Roman"/>
          <w:bCs/>
          <w:szCs w:val="24"/>
          <w:lang w:val="it-IT"/>
        </w:rPr>
        <w:t>Nelson.momanyi@jkuat.ac.ke</w:t>
      </w:r>
    </w:p>
    <w:p w14:paraId="6B564635" w14:textId="77777777" w:rsidR="009F33CD" w:rsidRDefault="00E40740">
      <w:pPr>
        <w:autoSpaceDE/>
        <w:autoSpaceDN/>
        <w:adjustRightInd/>
        <w:spacing w:line="276" w:lineRule="auto"/>
        <w:rPr>
          <w:rFonts w:cs="Times New Roman"/>
          <w:b/>
          <w:bCs/>
          <w:szCs w:val="24"/>
        </w:rPr>
      </w:pPr>
      <w:r>
        <w:rPr>
          <w:rFonts w:cs="Times New Roman"/>
          <w:b/>
          <w:bCs/>
          <w:szCs w:val="24"/>
        </w:rPr>
        <w:t>Date: 03.03.2020</w:t>
      </w:r>
    </w:p>
    <w:p w14:paraId="67D0447B" w14:textId="77777777" w:rsidR="009F33CD" w:rsidRDefault="00E40740">
      <w:pPr>
        <w:autoSpaceDE/>
        <w:autoSpaceDN/>
        <w:adjustRightInd/>
        <w:spacing w:line="276" w:lineRule="auto"/>
        <w:rPr>
          <w:rFonts w:cs="Times New Roman"/>
          <w:b/>
          <w:bCs/>
          <w:szCs w:val="24"/>
        </w:rPr>
      </w:pPr>
      <w:r>
        <w:rPr>
          <w:rFonts w:cs="Times New Roman"/>
          <w:b/>
          <w:bCs/>
          <w:szCs w:val="24"/>
        </w:rPr>
        <w:t>TO:</w:t>
      </w:r>
    </w:p>
    <w:p w14:paraId="3BE00BCF" w14:textId="77777777" w:rsidR="009F33CD" w:rsidRDefault="00E40740">
      <w:pPr>
        <w:autoSpaceDE/>
        <w:autoSpaceDN/>
        <w:adjustRightInd/>
        <w:spacing w:line="276" w:lineRule="auto"/>
        <w:contextualSpacing/>
        <w:rPr>
          <w:rFonts w:cs="Times New Roman"/>
          <w:bCs/>
          <w:szCs w:val="24"/>
        </w:rPr>
      </w:pPr>
      <w:r>
        <w:rPr>
          <w:rFonts w:cs="Times New Roman"/>
          <w:bCs/>
          <w:szCs w:val="24"/>
        </w:rPr>
        <w:t>THE CHIEF EXECUTIVE OFFICER/ MEDICAL SUPERINTENDENT</w:t>
      </w:r>
    </w:p>
    <w:p w14:paraId="1D31D7F9" w14:textId="77777777" w:rsidR="009F33CD" w:rsidRDefault="00E40740">
      <w:pPr>
        <w:autoSpaceDE/>
        <w:autoSpaceDN/>
        <w:adjustRightInd/>
        <w:spacing w:line="276" w:lineRule="auto"/>
        <w:contextualSpacing/>
        <w:rPr>
          <w:rFonts w:cs="Times New Roman"/>
          <w:bCs/>
          <w:szCs w:val="24"/>
        </w:rPr>
      </w:pPr>
      <w:r>
        <w:rPr>
          <w:rFonts w:cs="Times New Roman"/>
          <w:bCs/>
          <w:szCs w:val="24"/>
        </w:rPr>
        <w:t>_______________________ LEVEL FIVE HOSPITAL,</w:t>
      </w:r>
    </w:p>
    <w:p w14:paraId="1C3721C8" w14:textId="77777777" w:rsidR="009F33CD" w:rsidRDefault="00E40740">
      <w:pPr>
        <w:autoSpaceDE/>
        <w:autoSpaceDN/>
        <w:adjustRightInd/>
        <w:spacing w:after="160" w:line="276" w:lineRule="auto"/>
        <w:rPr>
          <w:rFonts w:cs="Times New Roman"/>
          <w:b/>
          <w:bCs/>
          <w:szCs w:val="24"/>
        </w:rPr>
      </w:pPr>
      <w:r>
        <w:rPr>
          <w:rFonts w:cs="Times New Roman"/>
          <w:b/>
          <w:bCs/>
          <w:szCs w:val="24"/>
        </w:rPr>
        <w:t>THROUGH:</w:t>
      </w:r>
    </w:p>
    <w:p w14:paraId="0A17C396" w14:textId="77777777" w:rsidR="009F33CD" w:rsidRDefault="00E40740">
      <w:pPr>
        <w:autoSpaceDE/>
        <w:autoSpaceDN/>
        <w:adjustRightInd/>
        <w:spacing w:after="160" w:line="276" w:lineRule="auto"/>
        <w:rPr>
          <w:rFonts w:cs="Times New Roman"/>
          <w:bCs/>
          <w:szCs w:val="24"/>
        </w:rPr>
      </w:pPr>
      <w:r>
        <w:rPr>
          <w:rFonts w:cs="Times New Roman"/>
          <w:bCs/>
          <w:szCs w:val="24"/>
        </w:rPr>
        <w:t xml:space="preserve">THE COUNTY DEPARTMENT OF HEALTH SERVICES </w:t>
      </w:r>
    </w:p>
    <w:p w14:paraId="4CB7015F" w14:textId="77777777" w:rsidR="009F33CD" w:rsidRDefault="00E40740">
      <w:pPr>
        <w:autoSpaceDE/>
        <w:autoSpaceDN/>
        <w:adjustRightInd/>
        <w:spacing w:after="160" w:line="276" w:lineRule="auto"/>
        <w:rPr>
          <w:rFonts w:cs="Times New Roman"/>
          <w:bCs/>
          <w:szCs w:val="24"/>
        </w:rPr>
      </w:pPr>
      <w:r>
        <w:rPr>
          <w:rFonts w:cs="Times New Roman"/>
          <w:bCs/>
          <w:szCs w:val="24"/>
        </w:rPr>
        <w:t>Dear Sir/Madam,</w:t>
      </w:r>
    </w:p>
    <w:p w14:paraId="23BC75FA" w14:textId="77777777" w:rsidR="009F33CD" w:rsidRDefault="00E40740">
      <w:pPr>
        <w:autoSpaceDE/>
        <w:autoSpaceDN/>
        <w:adjustRightInd/>
        <w:spacing w:after="160" w:line="276" w:lineRule="auto"/>
        <w:rPr>
          <w:rFonts w:cs="Times New Roman"/>
          <w:b/>
          <w:bCs/>
          <w:szCs w:val="24"/>
          <w:u w:val="single"/>
        </w:rPr>
      </w:pPr>
      <w:r>
        <w:rPr>
          <w:rFonts w:cs="Times New Roman"/>
          <w:b/>
          <w:bCs/>
          <w:szCs w:val="24"/>
          <w:u w:val="single"/>
        </w:rPr>
        <w:t>RE: REQUEST TO COLLECT RESEARCH DATA ON EFFECT OF GREEN HUMAN RESOURCE MANAGEMENT PRACTICES ON PERFORMANCE OF DEVOLVED HEALTHCARE SERVICES IN KENYA</w:t>
      </w:r>
    </w:p>
    <w:p w14:paraId="1006B0D8" w14:textId="77777777" w:rsidR="009F33CD" w:rsidRDefault="00E40740">
      <w:pPr>
        <w:autoSpaceDE/>
        <w:autoSpaceDN/>
        <w:adjustRightInd/>
        <w:spacing w:after="160" w:line="276" w:lineRule="auto"/>
        <w:rPr>
          <w:rFonts w:cs="Times New Roman"/>
          <w:bCs/>
          <w:szCs w:val="24"/>
        </w:rPr>
      </w:pPr>
      <w:r>
        <w:rPr>
          <w:rFonts w:cs="Times New Roman"/>
          <w:bCs/>
          <w:szCs w:val="24"/>
        </w:rPr>
        <w:t>I am a student at Jomo Kenyatta University of Agriculture and Technology requesting your able office to allow me collect data on the above subject. Kindly find the attached copy of authority letter from the university, Institutional Ethics Review approval, Research permit from National Commission on Science and Technology (</w:t>
      </w:r>
      <w:r>
        <w:rPr>
          <w:rFonts w:cs="Times New Roman"/>
          <w:szCs w:val="24"/>
        </w:rPr>
        <w:t>NACOSTI/P/21/12958) and data collection tools to be used.</w:t>
      </w:r>
    </w:p>
    <w:p w14:paraId="6BBB0AB5" w14:textId="77777777" w:rsidR="009F33CD" w:rsidRDefault="00E40740">
      <w:pPr>
        <w:autoSpaceDE/>
        <w:autoSpaceDN/>
        <w:adjustRightInd/>
        <w:spacing w:after="160" w:line="276" w:lineRule="auto"/>
        <w:rPr>
          <w:rFonts w:cs="Times New Roman"/>
          <w:bCs/>
          <w:szCs w:val="24"/>
        </w:rPr>
      </w:pPr>
      <w:r>
        <w:rPr>
          <w:rFonts w:cs="Times New Roman"/>
          <w:bCs/>
          <w:szCs w:val="24"/>
        </w:rPr>
        <w:t>Thank you.</w:t>
      </w:r>
    </w:p>
    <w:p w14:paraId="0196C375" w14:textId="77777777" w:rsidR="009F33CD" w:rsidRDefault="00E40740">
      <w:pPr>
        <w:autoSpaceDE/>
        <w:autoSpaceDN/>
        <w:adjustRightInd/>
        <w:spacing w:after="160" w:line="276" w:lineRule="auto"/>
        <w:rPr>
          <w:rFonts w:cs="Times New Roman"/>
          <w:bCs/>
          <w:szCs w:val="24"/>
        </w:rPr>
      </w:pPr>
      <w:r>
        <w:rPr>
          <w:rFonts w:cs="Times New Roman"/>
          <w:bCs/>
          <w:szCs w:val="24"/>
        </w:rPr>
        <w:t>Yours faithfully,</w:t>
      </w:r>
    </w:p>
    <w:p w14:paraId="0FD5232B" w14:textId="77777777" w:rsidR="009F33CD" w:rsidRDefault="00E40740" w:rsidP="00F362FF">
      <w:pPr>
        <w:autoSpaceDE/>
        <w:autoSpaceDN/>
        <w:adjustRightInd/>
        <w:contextualSpacing/>
        <w:rPr>
          <w:rFonts w:cs="Times New Roman"/>
          <w:bCs/>
          <w:szCs w:val="24"/>
        </w:rPr>
      </w:pPr>
      <w:r>
        <w:rPr>
          <w:rFonts w:cs="Times New Roman"/>
          <w:bCs/>
          <w:szCs w:val="24"/>
        </w:rPr>
        <w:t>Nelson Momanyi</w:t>
      </w:r>
    </w:p>
    <w:p w14:paraId="7EB2DCEB" w14:textId="77777777" w:rsidR="009F33CD" w:rsidRDefault="00E40740" w:rsidP="00F362FF">
      <w:pPr>
        <w:autoSpaceDE/>
        <w:autoSpaceDN/>
        <w:adjustRightInd/>
        <w:contextualSpacing/>
        <w:rPr>
          <w:rFonts w:cs="Times New Roman"/>
          <w:szCs w:val="24"/>
        </w:rPr>
      </w:pPr>
      <w:r>
        <w:rPr>
          <w:rFonts w:cs="Times New Roman"/>
          <w:bCs/>
          <w:szCs w:val="24"/>
        </w:rPr>
        <w:t>Tel: 0720 921 270</w:t>
      </w:r>
      <w:r>
        <w:rPr>
          <w:rFonts w:cs="Times New Roman"/>
          <w:szCs w:val="24"/>
        </w:rPr>
        <w:br w:type="page"/>
      </w:r>
    </w:p>
    <w:p w14:paraId="2ED226D6" w14:textId="77777777" w:rsidR="009F33CD" w:rsidRDefault="00E40740">
      <w:pPr>
        <w:pStyle w:val="Heading7"/>
      </w:pPr>
      <w:bookmarkStart w:id="1836" w:name="_Toc147946974"/>
      <w:bookmarkStart w:id="1837" w:name="_Toc178945152"/>
      <w:bookmarkStart w:id="1838" w:name="_Toc165626472"/>
      <w:bookmarkStart w:id="1839" w:name="_Toc187080971"/>
      <w:bookmarkStart w:id="1840" w:name="_Toc147950313"/>
      <w:bookmarkStart w:id="1841" w:name="_Toc188071385"/>
      <w:bookmarkStart w:id="1842" w:name="_Toc185614199"/>
      <w:r>
        <w:lastRenderedPageBreak/>
        <w:t>Appendix II: Informed Consent Form</w:t>
      </w:r>
      <w:bookmarkEnd w:id="1836"/>
      <w:bookmarkEnd w:id="1837"/>
      <w:bookmarkEnd w:id="1838"/>
      <w:bookmarkEnd w:id="1839"/>
      <w:bookmarkEnd w:id="1840"/>
      <w:bookmarkEnd w:id="1841"/>
      <w:bookmarkEnd w:id="1842"/>
      <w:r>
        <w:t xml:space="preserve"> </w:t>
      </w:r>
    </w:p>
    <w:p w14:paraId="4F289A8F" w14:textId="77777777" w:rsidR="009F33CD" w:rsidRDefault="00E40740">
      <w:pPr>
        <w:spacing w:after="240"/>
        <w:rPr>
          <w:rFonts w:cs="Times New Roman"/>
          <w:bCs/>
          <w:szCs w:val="24"/>
        </w:rPr>
      </w:pPr>
      <w:r>
        <w:rPr>
          <w:rFonts w:cs="Times New Roman"/>
          <w:b/>
          <w:bCs/>
          <w:szCs w:val="24"/>
        </w:rPr>
        <w:t>Study Title:</w:t>
      </w:r>
      <w:r>
        <w:rPr>
          <w:rFonts w:cs="Times New Roman"/>
          <w:bCs/>
          <w:szCs w:val="24"/>
        </w:rPr>
        <w:t xml:space="preserve"> Effect of green human resource management practices on performance of devolved healthcare services in Kenya. </w:t>
      </w:r>
    </w:p>
    <w:p w14:paraId="63BE5057" w14:textId="77777777" w:rsidR="009F33CD" w:rsidRDefault="00E40740">
      <w:pPr>
        <w:spacing w:after="240"/>
        <w:rPr>
          <w:rFonts w:eastAsia="Arial Unicode MS" w:cs="Times New Roman"/>
          <w:szCs w:val="24"/>
        </w:rPr>
      </w:pPr>
      <w:r>
        <w:rPr>
          <w:rFonts w:cs="Times New Roman"/>
          <w:b/>
          <w:bCs/>
          <w:szCs w:val="24"/>
        </w:rPr>
        <w:t>Principal Investigator</w:t>
      </w:r>
      <w:r>
        <w:rPr>
          <w:rFonts w:cs="Times New Roman"/>
          <w:bCs/>
          <w:szCs w:val="24"/>
        </w:rPr>
        <w:t xml:space="preserve">: Nelson Momanyi Bogonko (Admin no. </w:t>
      </w:r>
      <w:r>
        <w:rPr>
          <w:rFonts w:eastAsia="Arial Unicode MS" w:cs="Times New Roman"/>
          <w:szCs w:val="24"/>
        </w:rPr>
        <w:t>HD412-C004-1613/2015), is a student of Jomo Kenyatta University of Agriculture and Technology, in the School of Business and Entrepreneurship (SOBE) of the College of Human Resource Development (COHRED).</w:t>
      </w:r>
    </w:p>
    <w:p w14:paraId="171D0521" w14:textId="77777777" w:rsidR="009F33CD" w:rsidRDefault="00E40740">
      <w:pPr>
        <w:spacing w:after="240"/>
        <w:rPr>
          <w:rFonts w:cs="Times New Roman"/>
          <w:bCs/>
          <w:szCs w:val="24"/>
        </w:rPr>
      </w:pPr>
      <w:r>
        <w:rPr>
          <w:rFonts w:cs="Times New Roman"/>
          <w:b/>
          <w:szCs w:val="24"/>
        </w:rPr>
        <w:t>Purpose of the Study:</w:t>
      </w:r>
      <w:r>
        <w:rPr>
          <w:rFonts w:cs="Times New Roman"/>
          <w:szCs w:val="24"/>
        </w:rPr>
        <w:t xml:space="preserve">  To investigate the e</w:t>
      </w:r>
      <w:r>
        <w:rPr>
          <w:rFonts w:cs="Times New Roman"/>
          <w:bCs/>
          <w:szCs w:val="24"/>
        </w:rPr>
        <w:t>ffect of green human resource management practices on performance of devolved healthcare services in Kenya. The study focused on systematically selected Level Five Hospitals in Kenya.</w:t>
      </w:r>
    </w:p>
    <w:p w14:paraId="4F5A8F90" w14:textId="77777777" w:rsidR="009F33CD" w:rsidRDefault="00E40740">
      <w:pPr>
        <w:spacing w:after="240"/>
        <w:rPr>
          <w:rFonts w:cs="Times New Roman"/>
          <w:bCs/>
          <w:szCs w:val="24"/>
        </w:rPr>
      </w:pPr>
      <w:r>
        <w:rPr>
          <w:rFonts w:cs="Times New Roman"/>
          <w:b/>
          <w:bCs/>
          <w:szCs w:val="24"/>
        </w:rPr>
        <w:t>Study Procedure:</w:t>
      </w:r>
      <w:r>
        <w:rPr>
          <w:rFonts w:cs="Times New Roman"/>
          <w:bCs/>
          <w:szCs w:val="24"/>
        </w:rPr>
        <w:t xml:space="preserve"> The study uses a self-administered questionnaire to collect data from departmental heads, and their employees. You are not required to indicate your name on the questionnaire but only certain demographic characteristics, level of management and department/unit. You will then rate the questionnaire items on a five-point Likert-scale and suggest what can be done by the hospital to enhance study variable. The researcher shall also use document analysis guide to collect data from specified documents for purpose of analysing the trend and making inferences. Personal interview of at least three senior officers shall also be used to get support data for the study.</w:t>
      </w:r>
    </w:p>
    <w:p w14:paraId="60427994" w14:textId="77777777" w:rsidR="009F33CD" w:rsidRDefault="00E40740">
      <w:pPr>
        <w:spacing w:after="240"/>
        <w:rPr>
          <w:rFonts w:cs="Times New Roman"/>
          <w:bCs/>
          <w:szCs w:val="24"/>
        </w:rPr>
      </w:pPr>
      <w:r>
        <w:rPr>
          <w:rFonts w:cs="Times New Roman"/>
          <w:b/>
          <w:bCs/>
          <w:szCs w:val="24"/>
        </w:rPr>
        <w:t>Benefits:</w:t>
      </w:r>
      <w:r>
        <w:rPr>
          <w:rFonts w:cs="Times New Roman"/>
          <w:bCs/>
          <w:szCs w:val="24"/>
        </w:rPr>
        <w:t xml:space="preserve"> There is no direct benefit to you as a respondent, but it is hoped that the findings of the study will help the hospital managers and Health policy makers to embrace green HRM practices as strategy towards improved healthcare performance and environmental protection. </w:t>
      </w:r>
    </w:p>
    <w:p w14:paraId="713EFCAD" w14:textId="77777777" w:rsidR="009F33CD" w:rsidRDefault="00E40740">
      <w:pPr>
        <w:spacing w:after="240"/>
        <w:rPr>
          <w:rFonts w:cs="Times New Roman"/>
          <w:bCs/>
          <w:szCs w:val="24"/>
        </w:rPr>
      </w:pPr>
      <w:r>
        <w:rPr>
          <w:rFonts w:cs="Times New Roman"/>
          <w:b/>
          <w:bCs/>
          <w:szCs w:val="24"/>
        </w:rPr>
        <w:t>Risks:</w:t>
      </w:r>
      <w:r>
        <w:rPr>
          <w:rFonts w:cs="Times New Roman"/>
          <w:bCs/>
          <w:szCs w:val="24"/>
        </w:rPr>
        <w:t xml:space="preserve"> There are no foreseeable risks, but you will be free to decline to answer any or all the questions in the research and you may terminate your participation at any time.</w:t>
      </w:r>
    </w:p>
    <w:p w14:paraId="187077DB" w14:textId="77777777" w:rsidR="009F33CD" w:rsidRDefault="00E40740">
      <w:pPr>
        <w:spacing w:after="240"/>
        <w:rPr>
          <w:rFonts w:cs="Times New Roman"/>
          <w:bCs/>
          <w:szCs w:val="24"/>
        </w:rPr>
      </w:pPr>
      <w:r>
        <w:rPr>
          <w:rFonts w:cs="Times New Roman"/>
          <w:b/>
          <w:bCs/>
          <w:szCs w:val="24"/>
        </w:rPr>
        <w:t>Confidentiality:</w:t>
      </w:r>
      <w:r>
        <w:rPr>
          <w:rFonts w:cs="Times New Roman"/>
          <w:bCs/>
          <w:szCs w:val="24"/>
        </w:rPr>
        <w:t xml:space="preserve"> Your responses to this study will be anonymous and every effort will be made by the researcher to preserve your confidentiality by doing the following:</w:t>
      </w:r>
    </w:p>
    <w:p w14:paraId="2DB2BB8A" w14:textId="77777777" w:rsidR="009F33CD" w:rsidRDefault="00E40740">
      <w:pPr>
        <w:pStyle w:val="ListParagraph"/>
        <w:numPr>
          <w:ilvl w:val="0"/>
          <w:numId w:val="10"/>
        </w:numPr>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Assigning code names/numbers for participants that will be used on all research notes and documents.</w:t>
      </w:r>
    </w:p>
    <w:p w14:paraId="3CD172B4" w14:textId="77777777" w:rsidR="009F33CD" w:rsidRDefault="00E40740">
      <w:pPr>
        <w:pStyle w:val="ListParagraph"/>
        <w:numPr>
          <w:ilvl w:val="0"/>
          <w:numId w:val="10"/>
        </w:numPr>
        <w:autoSpaceDE w:val="0"/>
        <w:autoSpaceDN w:val="0"/>
        <w:adjustRightInd w:val="0"/>
        <w:spacing w:after="240" w:line="360" w:lineRule="auto"/>
        <w:rPr>
          <w:rFonts w:ascii="Times New Roman" w:hAnsi="Times New Roman" w:cs="Times New Roman"/>
          <w:bCs w:val="0"/>
          <w:sz w:val="24"/>
          <w:szCs w:val="24"/>
        </w:rPr>
      </w:pPr>
      <w:r>
        <w:rPr>
          <w:rFonts w:ascii="Times New Roman" w:hAnsi="Times New Roman" w:cs="Times New Roman"/>
          <w:sz w:val="24"/>
          <w:szCs w:val="24"/>
        </w:rPr>
        <w:t>Keeping notes, interview transcriptions, and any other identifying participant information in a locked file cabinet in the personal possession of the researcher.</w:t>
      </w:r>
    </w:p>
    <w:p w14:paraId="4A2A2780" w14:textId="77777777" w:rsidR="009F33CD" w:rsidRDefault="00E40740">
      <w:pPr>
        <w:spacing w:after="240"/>
        <w:rPr>
          <w:rFonts w:cs="Times New Roman"/>
          <w:bCs/>
          <w:szCs w:val="24"/>
        </w:rPr>
      </w:pPr>
      <w:r>
        <w:rPr>
          <w:rFonts w:cs="Times New Roman"/>
          <w:b/>
          <w:bCs/>
          <w:szCs w:val="24"/>
        </w:rPr>
        <w:t>Voluntary Participation:</w:t>
      </w:r>
      <w:r>
        <w:rPr>
          <w:rFonts w:cs="Times New Roman"/>
          <w:bCs/>
          <w:szCs w:val="24"/>
        </w:rPr>
        <w:t xml:space="preserve"> Your participation in this study is voluntary. If you decide to take part in this study, you are required to sign this consent form. After you sign the consent form, you are still free to withdraw at any time without giving reason. If you withdraw from the study before data collection is completed, your data will be returned to you or destroyed.</w:t>
      </w:r>
    </w:p>
    <w:p w14:paraId="4E3A379C" w14:textId="77777777" w:rsidR="009F33CD" w:rsidRDefault="00E40740">
      <w:pPr>
        <w:spacing w:after="240"/>
        <w:rPr>
          <w:rFonts w:cs="Times New Roman"/>
          <w:bCs/>
          <w:szCs w:val="24"/>
        </w:rPr>
      </w:pPr>
      <w:r>
        <w:rPr>
          <w:rFonts w:cs="Times New Roman"/>
          <w:b/>
          <w:bCs/>
          <w:szCs w:val="24"/>
        </w:rPr>
        <w:t>Consent:</w:t>
      </w:r>
      <w:r>
        <w:rPr>
          <w:rFonts w:cs="Times New Roman"/>
          <w:bCs/>
          <w:szCs w:val="24"/>
        </w:rPr>
        <w:t xml:space="preserve"> I have read and understood the provided information and have had the opportunity to ask questions. I understand that my participation is voluntary and that I am free to withdraw at any time, without giving a reason and without cost. I understand that I once I am given a copy of this consent form and I voluntarily agree to take part in this study.</w:t>
      </w:r>
    </w:p>
    <w:p w14:paraId="2A743AE8" w14:textId="77777777" w:rsidR="009F33CD" w:rsidRPr="001B7BDB" w:rsidRDefault="00E40740">
      <w:pPr>
        <w:spacing w:after="240"/>
        <w:rPr>
          <w:rFonts w:cs="Times New Roman"/>
          <w:bCs/>
          <w:szCs w:val="24"/>
          <w:lang w:val="it-IT"/>
        </w:rPr>
      </w:pPr>
      <w:r w:rsidRPr="001B7BDB">
        <w:rPr>
          <w:rFonts w:cs="Times New Roman"/>
          <w:bCs/>
          <w:szCs w:val="24"/>
          <w:lang w:val="it-IT"/>
        </w:rPr>
        <w:t>Participant’s Signature__________________________________________________</w:t>
      </w:r>
    </w:p>
    <w:p w14:paraId="4804AAF3" w14:textId="77777777" w:rsidR="009F33CD" w:rsidRPr="001B7BDB" w:rsidRDefault="00E40740">
      <w:pPr>
        <w:spacing w:after="240"/>
        <w:rPr>
          <w:rFonts w:cs="Times New Roman"/>
          <w:bCs/>
          <w:szCs w:val="24"/>
          <w:lang w:val="it-IT"/>
        </w:rPr>
      </w:pPr>
      <w:r w:rsidRPr="001B7BDB">
        <w:rPr>
          <w:rFonts w:cs="Times New Roman"/>
          <w:bCs/>
          <w:szCs w:val="24"/>
          <w:lang w:val="it-IT"/>
        </w:rPr>
        <w:t>Investigator’s Signature _________________________________________________</w:t>
      </w:r>
    </w:p>
    <w:p w14:paraId="761F0FDB" w14:textId="77777777" w:rsidR="009F33CD" w:rsidRPr="001B7BDB" w:rsidRDefault="00E40740">
      <w:pPr>
        <w:autoSpaceDE/>
        <w:autoSpaceDN/>
        <w:adjustRightInd/>
        <w:spacing w:after="200" w:line="276" w:lineRule="auto"/>
        <w:rPr>
          <w:rFonts w:eastAsiaTheme="majorEastAsia" w:cs="Times New Roman"/>
          <w:b/>
          <w:bCs/>
          <w:iCs/>
          <w:szCs w:val="24"/>
          <w:lang w:val="it-IT"/>
        </w:rPr>
      </w:pPr>
      <w:bookmarkStart w:id="1843" w:name="_Toc147946975"/>
      <w:bookmarkStart w:id="1844" w:name="_Toc147950314"/>
      <w:r w:rsidRPr="001B7BDB">
        <w:rPr>
          <w:rFonts w:cs="Times New Roman"/>
          <w:szCs w:val="24"/>
          <w:lang w:val="it-IT"/>
        </w:rPr>
        <w:br w:type="page"/>
      </w:r>
    </w:p>
    <w:p w14:paraId="20B02DC3" w14:textId="77777777" w:rsidR="009F33CD" w:rsidRPr="001B7BDB" w:rsidRDefault="00E40740">
      <w:pPr>
        <w:pStyle w:val="Heading7"/>
        <w:spacing w:before="0" w:beforeAutospacing="0"/>
        <w:rPr>
          <w:lang w:val="it-IT"/>
        </w:rPr>
      </w:pPr>
      <w:bookmarkStart w:id="1845" w:name="_Toc165626473"/>
      <w:bookmarkStart w:id="1846" w:name="_Toc178945153"/>
      <w:bookmarkStart w:id="1847" w:name="_Toc187080972"/>
      <w:bookmarkStart w:id="1848" w:name="_Toc188071386"/>
      <w:bookmarkStart w:id="1849" w:name="_Toc185614200"/>
      <w:r w:rsidRPr="001B7BDB">
        <w:rPr>
          <w:lang w:val="it-IT"/>
        </w:rPr>
        <w:lastRenderedPageBreak/>
        <w:t>Appendix III: Questionnaire</w:t>
      </w:r>
      <w:bookmarkEnd w:id="1843"/>
      <w:bookmarkEnd w:id="1844"/>
      <w:bookmarkEnd w:id="1845"/>
      <w:bookmarkEnd w:id="1846"/>
      <w:bookmarkEnd w:id="1847"/>
      <w:bookmarkEnd w:id="1848"/>
      <w:bookmarkEnd w:id="1849"/>
    </w:p>
    <w:p w14:paraId="21D84638" w14:textId="77777777" w:rsidR="009F33CD" w:rsidRDefault="00E40740">
      <w:pPr>
        <w:spacing w:before="0" w:beforeAutospacing="0"/>
      </w:pPr>
      <w:r>
        <w:t xml:space="preserve">Please spare a few moments from your busy schedule to fill this questionnaire with accurate information. The information you provide in this questionnaire will be for academic research and not for commercial purposes. It will also be handled as confidential. The research title is the effect of </w:t>
      </w:r>
      <w:r>
        <w:rPr>
          <w:b/>
        </w:rPr>
        <w:t>green</w:t>
      </w:r>
      <w:r>
        <w:t xml:space="preserve"> </w:t>
      </w:r>
      <w:r>
        <w:rPr>
          <w:b/>
        </w:rPr>
        <w:t>human resource management practices on performance of devolved healthcare services in Kenya.</w:t>
      </w:r>
    </w:p>
    <w:p w14:paraId="010A848D" w14:textId="77777777" w:rsidR="009F33CD" w:rsidRDefault="00E40740">
      <w:pPr>
        <w:spacing w:before="0" w:beforeAutospacing="0" w:after="0" w:afterAutospacing="0" w:line="240" w:lineRule="auto"/>
        <w:rPr>
          <w:rFonts w:eastAsia="Calibri"/>
          <w:b/>
        </w:rPr>
      </w:pPr>
      <w:r>
        <w:rPr>
          <w:rFonts w:eastAsia="Calibri"/>
          <w:b/>
        </w:rPr>
        <w:t>SECTION A: RESPONDENT’S CHARACTERISTICS</w:t>
      </w:r>
    </w:p>
    <w:p w14:paraId="0B8BBD2A" w14:textId="77777777" w:rsidR="009F33CD" w:rsidRDefault="00E40740">
      <w:pPr>
        <w:spacing w:before="0" w:beforeAutospacing="0" w:after="0" w:afterAutospacing="0" w:line="240" w:lineRule="auto"/>
        <w:rPr>
          <w:rFonts w:eastAsia="TimesNewRomanPSMT"/>
          <w:bCs/>
        </w:rPr>
      </w:pPr>
      <w:r>
        <w:rPr>
          <w:rFonts w:eastAsia="TimesNewRomanPSMT"/>
        </w:rPr>
        <w:t>1.  Name of the Hospital_________________________________</w:t>
      </w:r>
    </w:p>
    <w:p w14:paraId="0AE4A09F" w14:textId="77777777" w:rsidR="009F33CD" w:rsidRDefault="00E40740">
      <w:pPr>
        <w:spacing w:before="0" w:beforeAutospacing="0" w:after="0" w:afterAutospacing="0" w:line="240" w:lineRule="auto"/>
        <w:rPr>
          <w:rFonts w:eastAsia="TimesNewRomanPSMT"/>
          <w:bCs/>
        </w:rPr>
      </w:pPr>
      <w:r>
        <w:rPr>
          <w:rFonts w:eastAsia="TimesNewRomanPSMT"/>
        </w:rPr>
        <w:t>2. Gender of the Respondent (Tick where applicable)</w:t>
      </w:r>
    </w:p>
    <w:p w14:paraId="7FF2A0C1"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2336" behindDoc="0" locked="0" layoutInCell="1" allowOverlap="1" wp14:anchorId="6C350FCD" wp14:editId="4AAC1EC9">
                <wp:simplePos x="0" y="0"/>
                <wp:positionH relativeFrom="column">
                  <wp:posOffset>1074420</wp:posOffset>
                </wp:positionH>
                <wp:positionV relativeFrom="paragraph">
                  <wp:posOffset>52070</wp:posOffset>
                </wp:positionV>
                <wp:extent cx="90805" cy="90805"/>
                <wp:effectExtent l="0" t="0" r="4445" b="4445"/>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858AD" id="Rectangle 30" o:spid="_x0000_s1026" style="position:absolute;margin-left:84.6pt;margin-top:4.1pt;width:7.1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"/>
            </w:pict>
          </mc:Fallback>
        </mc:AlternateContent>
      </w:r>
      <w:r>
        <w:rPr>
          <w:rFonts w:eastAsia="TimesNewRomanPSMT"/>
        </w:rPr>
        <w:t>Male</w:t>
      </w:r>
      <w:r>
        <w:rPr>
          <w:rFonts w:eastAsia="TimesNewRomanPSMT"/>
        </w:rPr>
        <w:tab/>
      </w:r>
      <w:r>
        <w:rPr>
          <w:rFonts w:eastAsia="TimesNewRomanPSMT"/>
        </w:rPr>
        <w:tab/>
      </w:r>
    </w:p>
    <w:p w14:paraId="1A0DFC05"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3360" behindDoc="0" locked="0" layoutInCell="1" allowOverlap="1" wp14:anchorId="4825F3D7" wp14:editId="73084B61">
                <wp:simplePos x="0" y="0"/>
                <wp:positionH relativeFrom="column">
                  <wp:posOffset>1074420</wp:posOffset>
                </wp:positionH>
                <wp:positionV relativeFrom="paragraph">
                  <wp:posOffset>29210</wp:posOffset>
                </wp:positionV>
                <wp:extent cx="90805" cy="90805"/>
                <wp:effectExtent l="0" t="0" r="4445" b="4445"/>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8D4C9" id="Rectangle 28" o:spid="_x0000_s1026" style="position:absolute;margin-left:84.6pt;margin-top:2.3pt;width:7.15pt;height: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"/>
            </w:pict>
          </mc:Fallback>
        </mc:AlternateContent>
      </w:r>
      <w:r>
        <w:rPr>
          <w:rFonts w:eastAsia="TimesNewRomanPSMT"/>
        </w:rPr>
        <w:t>Female</w:t>
      </w:r>
    </w:p>
    <w:p w14:paraId="258A1D44" w14:textId="77777777" w:rsidR="009F33CD" w:rsidRDefault="00E40740">
      <w:pPr>
        <w:spacing w:before="0" w:beforeAutospacing="0" w:after="0" w:afterAutospacing="0" w:line="240" w:lineRule="auto"/>
        <w:rPr>
          <w:rFonts w:eastAsia="TimesNewRomanPSMT"/>
          <w:bCs/>
        </w:rPr>
      </w:pPr>
      <w:r>
        <w:rPr>
          <w:rFonts w:eastAsia="TimesNewRomanPSMT"/>
        </w:rPr>
        <w:t>3. Designation of the respondent in management (Tick where applicable)</w:t>
      </w:r>
    </w:p>
    <w:p w14:paraId="3E917E30"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g">
            <w:drawing>
              <wp:anchor distT="0" distB="0" distL="114300" distR="114300" simplePos="0" relativeHeight="251672576" behindDoc="0" locked="0" layoutInCell="1" allowOverlap="1" wp14:anchorId="2040C4FF" wp14:editId="6FD22EBE">
                <wp:simplePos x="0" y="0"/>
                <wp:positionH relativeFrom="column">
                  <wp:posOffset>1494790</wp:posOffset>
                </wp:positionH>
                <wp:positionV relativeFrom="paragraph">
                  <wp:posOffset>73025</wp:posOffset>
                </wp:positionV>
                <wp:extent cx="90805" cy="390525"/>
                <wp:effectExtent l="0" t="0" r="4445" b="9525"/>
                <wp:wrapNone/>
                <wp:docPr id="7" name="Group 26"/>
                <wp:cNvGraphicFramePr/>
                <a:graphic xmlns:a="http://schemas.openxmlformats.org/drawingml/2006/main">
                  <a:graphicData uri="http://schemas.microsoft.com/office/word/2010/wordprocessingGroup">
                    <wpg:wgp>
                      <wpg:cNvGrpSpPr/>
                      <wpg:grpSpPr>
                        <a:xfrm>
                          <a:off x="0" y="0"/>
                          <a:ext cx="90805" cy="390525"/>
                          <a:chOff x="3800" y="9779"/>
                          <a:chExt cx="143" cy="615"/>
                        </a:xfrm>
                      </wpg:grpSpPr>
                      <wps:wsp>
                        <wps:cNvPr id="12" name="Rectangle 47"/>
                        <wps:cNvSpPr>
                          <a:spLocks noChangeArrowheads="1"/>
                        </wps:cNvSpPr>
                        <wps:spPr bwMode="auto">
                          <a:xfrm>
                            <a:off x="3800" y="9779"/>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 name="Rectangle 48"/>
                        <wps:cNvSpPr>
                          <a:spLocks noChangeArrowheads="1"/>
                        </wps:cNvSpPr>
                        <wps:spPr bwMode="auto">
                          <a:xfrm>
                            <a:off x="3800" y="9998"/>
                            <a:ext cx="143" cy="17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 name="Rectangle 60"/>
                        <wps:cNvSpPr>
                          <a:spLocks noChangeArrowheads="1"/>
                        </wps:cNvSpPr>
                        <wps:spPr bwMode="auto">
                          <a:xfrm>
                            <a:off x="3800" y="10251"/>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D8936" id="Group 26" o:spid="_x0000_s1026" style="position:absolute;margin-left:117.7pt;margin-top:5.75pt;width:7.15pt;height:30.75pt;z-index:251672576" coordorigin="3800,9779" coordsize="14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">
                <v:rect id="Rectangle 47" o:spid="_x0000_s1027" style="position:absolute;left:3800;top:977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48" o:spid="_x0000_s1028" style="position:absolute;left:3800;top:9998;width:14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0" o:spid="_x0000_s1029" style="position:absolute;left:3800;top:102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group>
            </w:pict>
          </mc:Fallback>
        </mc:AlternateContent>
      </w:r>
      <w:r>
        <w:rPr>
          <w:rFonts w:eastAsia="TimesNewRomanPSMT"/>
        </w:rPr>
        <w:t>Top-level</w:t>
      </w:r>
    </w:p>
    <w:p w14:paraId="6EA2D206" w14:textId="77777777" w:rsidR="009F33CD" w:rsidRDefault="00E40740">
      <w:pPr>
        <w:spacing w:before="0" w:beforeAutospacing="0" w:after="0" w:afterAutospacing="0" w:line="240" w:lineRule="auto"/>
        <w:ind w:firstLine="720"/>
        <w:rPr>
          <w:rFonts w:eastAsia="TimesNewRomanPSMT"/>
          <w:bCs/>
        </w:rPr>
      </w:pPr>
      <w:r>
        <w:rPr>
          <w:rFonts w:eastAsia="TimesNewRomanPSMT"/>
        </w:rPr>
        <w:t>Middle-level</w:t>
      </w:r>
    </w:p>
    <w:p w14:paraId="7760212B" w14:textId="77777777" w:rsidR="009F33CD" w:rsidRDefault="00E40740">
      <w:pPr>
        <w:spacing w:before="0" w:beforeAutospacing="0" w:after="0" w:afterAutospacing="0" w:line="240" w:lineRule="auto"/>
        <w:ind w:firstLine="720"/>
        <w:rPr>
          <w:rFonts w:eastAsia="TimesNewRomanPSMT"/>
          <w:bCs/>
        </w:rPr>
      </w:pPr>
      <w:r>
        <w:rPr>
          <w:rFonts w:eastAsia="TimesNewRomanPSMT"/>
        </w:rPr>
        <w:t>Bottom-level</w:t>
      </w:r>
    </w:p>
    <w:p w14:paraId="3DE56B87" w14:textId="77777777" w:rsidR="009F33CD" w:rsidRDefault="00E40740">
      <w:pPr>
        <w:spacing w:before="0" w:beforeAutospacing="0" w:after="0" w:afterAutospacing="0" w:line="240" w:lineRule="auto"/>
        <w:rPr>
          <w:rFonts w:eastAsia="TimesNewRomanPSMT"/>
          <w:bCs/>
        </w:rPr>
      </w:pPr>
      <w:r>
        <w:rPr>
          <w:rFonts w:eastAsia="TimesNewRomanPSMT"/>
        </w:rPr>
        <w:t>4. Age of respondent (Tick where applicable)</w:t>
      </w:r>
    </w:p>
    <w:p w14:paraId="255AEC17"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g">
            <w:drawing>
              <wp:anchor distT="0" distB="0" distL="114300" distR="114300" simplePos="0" relativeHeight="251664384" behindDoc="0" locked="0" layoutInCell="1" allowOverlap="1" wp14:anchorId="6D58337F" wp14:editId="6BBC6E5E">
                <wp:simplePos x="0" y="0"/>
                <wp:positionH relativeFrom="column">
                  <wp:posOffset>1164590</wp:posOffset>
                </wp:positionH>
                <wp:positionV relativeFrom="paragraph">
                  <wp:posOffset>54610</wp:posOffset>
                </wp:positionV>
                <wp:extent cx="91440" cy="594360"/>
                <wp:effectExtent l="0" t="0" r="3810" b="0"/>
                <wp:wrapNone/>
                <wp:docPr id="1" name="Group 15"/>
                <wp:cNvGraphicFramePr/>
                <a:graphic xmlns:a="http://schemas.openxmlformats.org/drawingml/2006/main">
                  <a:graphicData uri="http://schemas.microsoft.com/office/word/2010/wordprocessingGroup">
                    <wpg:wgp>
                      <wpg:cNvGrpSpPr/>
                      <wpg:grpSpPr>
                        <a:xfrm>
                          <a:off x="0" y="0"/>
                          <a:ext cx="91440" cy="594360"/>
                          <a:chOff x="3274" y="10873"/>
                          <a:chExt cx="144" cy="936"/>
                        </a:xfrm>
                      </wpg:grpSpPr>
                      <wps:wsp>
                        <wps:cNvPr id="16" name="Rectangle 50"/>
                        <wps:cNvSpPr>
                          <a:spLocks noChangeArrowheads="1"/>
                        </wps:cNvSpPr>
                        <wps:spPr bwMode="auto">
                          <a:xfrm>
                            <a:off x="3275" y="10873"/>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 name="Rectangle 51"/>
                        <wps:cNvSpPr>
                          <a:spLocks noChangeArrowheads="1"/>
                        </wps:cNvSpPr>
                        <wps:spPr bwMode="auto">
                          <a:xfrm>
                            <a:off x="3274" y="11125"/>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 name="Rectangle 52"/>
                        <wps:cNvSpPr>
                          <a:spLocks noChangeArrowheads="1"/>
                        </wps:cNvSpPr>
                        <wps:spPr bwMode="auto">
                          <a:xfrm>
                            <a:off x="3274" y="11367"/>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 name="Rectangle 53"/>
                        <wps:cNvSpPr>
                          <a:spLocks noChangeArrowheads="1"/>
                        </wps:cNvSpPr>
                        <wps:spPr bwMode="auto">
                          <a:xfrm>
                            <a:off x="3274" y="11666"/>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21C13" id="Group 15" o:spid="_x0000_s1026" style="position:absolute;margin-left:91.7pt;margin-top:4.3pt;width:7.2pt;height:46.8pt;z-index:251664384" coordorigin="3274,10873" coordsize="14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">
                <v:rect id="Rectangle 50" o:spid="_x0000_s1027" style="position:absolute;left:3275;top:108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51" o:spid="_x0000_s1028" style="position:absolute;left:3274;top:111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52" o:spid="_x0000_s1029" style="position:absolute;left:3274;top:113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53" o:spid="_x0000_s1030" style="position:absolute;left:3274;top:116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group>
            </w:pict>
          </mc:Fallback>
        </mc:AlternateContent>
      </w:r>
      <w:r>
        <w:rPr>
          <w:rFonts w:eastAsia="TimesNewRomanPSMT"/>
        </w:rPr>
        <w:t>21 – 30</w:t>
      </w:r>
    </w:p>
    <w:p w14:paraId="2C20043A" w14:textId="77777777" w:rsidR="009F33CD" w:rsidRDefault="00E40740">
      <w:pPr>
        <w:spacing w:before="0" w:beforeAutospacing="0" w:after="0" w:afterAutospacing="0" w:line="240" w:lineRule="auto"/>
        <w:ind w:firstLine="720"/>
        <w:rPr>
          <w:rFonts w:eastAsia="TimesNewRomanPSMT"/>
          <w:bCs/>
        </w:rPr>
      </w:pPr>
      <w:r>
        <w:rPr>
          <w:rFonts w:eastAsia="TimesNewRomanPSMT"/>
        </w:rPr>
        <w:t>31 – 40</w:t>
      </w:r>
    </w:p>
    <w:p w14:paraId="634EDEB0" w14:textId="77777777" w:rsidR="009F33CD" w:rsidRDefault="00E40740">
      <w:pPr>
        <w:spacing w:before="0" w:beforeAutospacing="0" w:after="0" w:afterAutospacing="0" w:line="240" w:lineRule="auto"/>
        <w:ind w:firstLine="720"/>
        <w:rPr>
          <w:rFonts w:eastAsia="TimesNewRomanPSMT"/>
          <w:bCs/>
        </w:rPr>
      </w:pPr>
      <w:r>
        <w:rPr>
          <w:rFonts w:eastAsia="TimesNewRomanPSMT"/>
        </w:rPr>
        <w:t>41 – 50</w:t>
      </w:r>
    </w:p>
    <w:p w14:paraId="63C1F9ED" w14:textId="77777777" w:rsidR="009F33CD" w:rsidRDefault="00E40740">
      <w:pPr>
        <w:spacing w:before="0" w:beforeAutospacing="0" w:after="0" w:afterAutospacing="0" w:line="240" w:lineRule="auto"/>
        <w:ind w:firstLine="720"/>
        <w:rPr>
          <w:rFonts w:eastAsia="TimesNewRomanPSMT"/>
          <w:bCs/>
        </w:rPr>
      </w:pPr>
      <w:r>
        <w:rPr>
          <w:rFonts w:eastAsia="TimesNewRomanPSMT"/>
        </w:rPr>
        <w:t>51 – 60</w:t>
      </w:r>
    </w:p>
    <w:p w14:paraId="239DD9D5"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5408" behindDoc="0" locked="0" layoutInCell="1" allowOverlap="1" wp14:anchorId="36E30742" wp14:editId="3E9A333D">
                <wp:simplePos x="0" y="0"/>
                <wp:positionH relativeFrom="column">
                  <wp:posOffset>1498600</wp:posOffset>
                </wp:positionH>
                <wp:positionV relativeFrom="paragraph">
                  <wp:posOffset>54610</wp:posOffset>
                </wp:positionV>
                <wp:extent cx="90805" cy="90805"/>
                <wp:effectExtent l="0" t="0" r="4445" b="444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4F168" id="Rectangle 18" o:spid="_x0000_s1026" style="position:absolute;margin-left:118pt;margin-top:4.3pt;width:7.15pt;height: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"/>
            </w:pict>
          </mc:Fallback>
        </mc:AlternateContent>
      </w:r>
      <w:r>
        <w:rPr>
          <w:rFonts w:eastAsia="TimesNewRomanPSMT"/>
        </w:rPr>
        <w:t>Above 61 years</w:t>
      </w:r>
    </w:p>
    <w:p w14:paraId="79BA86F5" w14:textId="77777777" w:rsidR="009F33CD" w:rsidRDefault="00E40740">
      <w:pPr>
        <w:spacing w:before="0" w:beforeAutospacing="0" w:after="0" w:afterAutospacing="0" w:line="240" w:lineRule="auto"/>
        <w:rPr>
          <w:rFonts w:eastAsia="TimesNewRomanPSMT"/>
          <w:bCs/>
        </w:rPr>
      </w:pPr>
      <w:r>
        <w:rPr>
          <w:rFonts w:eastAsia="TimesNewRomanPSMT"/>
        </w:rPr>
        <w:t>5. Highest level of education (Tick where applicable)</w:t>
      </w:r>
    </w:p>
    <w:p w14:paraId="03D86942"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6432" behindDoc="0" locked="0" layoutInCell="1" allowOverlap="1" wp14:anchorId="3CAC70D8" wp14:editId="3E71E576">
                <wp:simplePos x="0" y="0"/>
                <wp:positionH relativeFrom="column">
                  <wp:posOffset>1255395</wp:posOffset>
                </wp:positionH>
                <wp:positionV relativeFrom="paragraph">
                  <wp:posOffset>71120</wp:posOffset>
                </wp:positionV>
                <wp:extent cx="90805" cy="90805"/>
                <wp:effectExtent l="0" t="0" r="4445" b="444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ACF8A1" id="Rectangle 16" o:spid="_x0000_s1026" style="position:absolute;margin-left:98.85pt;margin-top:5.6pt;width:7.15pt;height:7.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"/>
            </w:pict>
          </mc:Fallback>
        </mc:AlternateContent>
      </w:r>
      <w:r>
        <w:rPr>
          <w:rFonts w:eastAsia="TimesNewRomanPSMT"/>
        </w:rPr>
        <w:t>Certificate</w:t>
      </w:r>
    </w:p>
    <w:p w14:paraId="204AAD05"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7456" behindDoc="0" locked="0" layoutInCell="1" allowOverlap="1" wp14:anchorId="327CB549" wp14:editId="75438E0E">
                <wp:simplePos x="0" y="0"/>
                <wp:positionH relativeFrom="column">
                  <wp:posOffset>1240155</wp:posOffset>
                </wp:positionH>
                <wp:positionV relativeFrom="paragraph">
                  <wp:posOffset>48260</wp:posOffset>
                </wp:positionV>
                <wp:extent cx="90805" cy="90805"/>
                <wp:effectExtent l="0" t="0" r="4445" b="444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5D666" id="Rectangle 14" o:spid="_x0000_s1026" style="position:absolute;margin-left:97.65pt;margin-top:3.8pt;width:7.15pt;height:7.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"/>
            </w:pict>
          </mc:Fallback>
        </mc:AlternateContent>
      </w:r>
      <w:r>
        <w:rPr>
          <w:rFonts w:eastAsia="TimesNewRomanPSMT"/>
        </w:rPr>
        <w:t>Diploma</w:t>
      </w:r>
    </w:p>
    <w:p w14:paraId="6BDC5A74"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8480" behindDoc="0" locked="0" layoutInCell="1" allowOverlap="1" wp14:anchorId="3BAD9570" wp14:editId="0D4AC853">
                <wp:simplePos x="0" y="0"/>
                <wp:positionH relativeFrom="column">
                  <wp:posOffset>1240155</wp:posOffset>
                </wp:positionH>
                <wp:positionV relativeFrom="paragraph">
                  <wp:posOffset>27305</wp:posOffset>
                </wp:positionV>
                <wp:extent cx="90805" cy="90805"/>
                <wp:effectExtent l="0" t="0" r="4445" b="444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6B90A" id="Rectangle 12" o:spid="_x0000_s1026" style="position:absolute;margin-left:97.65pt;margin-top:2.15pt;width:7.15pt;height: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"/>
            </w:pict>
          </mc:Fallback>
        </mc:AlternateContent>
      </w:r>
      <w:r>
        <w:rPr>
          <w:rFonts w:eastAsia="TimesNewRomanPSMT"/>
        </w:rPr>
        <w:t>Degree</w:t>
      </w:r>
    </w:p>
    <w:p w14:paraId="7F86F279"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69504" behindDoc="0" locked="0" layoutInCell="1" allowOverlap="1" wp14:anchorId="08F3DB71" wp14:editId="0E3635E0">
                <wp:simplePos x="0" y="0"/>
                <wp:positionH relativeFrom="column">
                  <wp:posOffset>1240155</wp:posOffset>
                </wp:positionH>
                <wp:positionV relativeFrom="paragraph">
                  <wp:posOffset>27940</wp:posOffset>
                </wp:positionV>
                <wp:extent cx="90805" cy="90805"/>
                <wp:effectExtent l="0" t="0" r="4445" b="444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77941" id="Rectangle 10" o:spid="_x0000_s1026" style="position:absolute;margin-left:97.65pt;margin-top:2.2pt;width:7.15pt;height: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"/>
            </w:pict>
          </mc:Fallback>
        </mc:AlternateContent>
      </w:r>
      <w:r>
        <w:rPr>
          <w:rFonts w:eastAsia="TimesNewRomanPSMT"/>
        </w:rPr>
        <w:t>Masters</w:t>
      </w:r>
    </w:p>
    <w:p w14:paraId="7711002B"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s">
            <w:drawing>
              <wp:anchor distT="0" distB="0" distL="114300" distR="114300" simplePos="0" relativeHeight="251670528" behindDoc="0" locked="0" layoutInCell="1" allowOverlap="1" wp14:anchorId="50BD9237" wp14:editId="139F1888">
                <wp:simplePos x="0" y="0"/>
                <wp:positionH relativeFrom="column">
                  <wp:posOffset>1240155</wp:posOffset>
                </wp:positionH>
                <wp:positionV relativeFrom="paragraph">
                  <wp:posOffset>12700</wp:posOffset>
                </wp:positionV>
                <wp:extent cx="90805" cy="90805"/>
                <wp:effectExtent l="0" t="0" r="4445" b="4445"/>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2DE5C" id="Rectangle 8" o:spid="_x0000_s1026" style="position:absolute;margin-left:97.65pt;margin-top:1pt;width:7.15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"/>
            </w:pict>
          </mc:Fallback>
        </mc:AlternateContent>
      </w:r>
      <w:r>
        <w:rPr>
          <w:rFonts w:eastAsia="TimesNewRomanPSMT"/>
        </w:rPr>
        <w:t>PhD</w:t>
      </w:r>
    </w:p>
    <w:p w14:paraId="62406755" w14:textId="77777777" w:rsidR="009F33CD" w:rsidRDefault="00E40740">
      <w:pPr>
        <w:spacing w:before="0" w:beforeAutospacing="0" w:after="0" w:afterAutospacing="0" w:line="240" w:lineRule="auto"/>
        <w:ind w:firstLine="720"/>
        <w:rPr>
          <w:rFonts w:eastAsia="TimesNewRomanPSMT"/>
          <w:bCs/>
        </w:rPr>
      </w:pPr>
      <w:r>
        <w:rPr>
          <w:rFonts w:eastAsia="TimesNewRomanPSMT"/>
        </w:rPr>
        <w:t>Other (specify) ______________________________</w:t>
      </w:r>
    </w:p>
    <w:p w14:paraId="5BC90F81" w14:textId="77777777" w:rsidR="009F33CD" w:rsidRDefault="00E40740">
      <w:pPr>
        <w:spacing w:before="0" w:beforeAutospacing="0" w:after="0" w:afterAutospacing="0" w:line="240" w:lineRule="auto"/>
        <w:rPr>
          <w:rFonts w:eastAsia="TimesNewRomanPSMT"/>
          <w:bCs/>
        </w:rPr>
      </w:pPr>
      <w:r>
        <w:rPr>
          <w:rFonts w:eastAsia="TimesNewRomanPSMT"/>
        </w:rPr>
        <w:t>6. Length of service (Tick where applicable)</w:t>
      </w:r>
    </w:p>
    <w:p w14:paraId="4B64A9B8" w14:textId="77777777" w:rsidR="009F33CD" w:rsidRDefault="00E40740">
      <w:pPr>
        <w:spacing w:before="0" w:beforeAutospacing="0" w:after="0" w:afterAutospacing="0" w:line="240" w:lineRule="auto"/>
        <w:ind w:firstLine="720"/>
        <w:rPr>
          <w:rFonts w:eastAsia="TimesNewRomanPSMT"/>
          <w:bCs/>
        </w:rPr>
      </w:pPr>
      <w:r>
        <w:rPr>
          <w:noProof/>
          <w:lang w:val="en-US"/>
        </w:rPr>
        <mc:AlternateContent>
          <mc:Choice Requires="wpg">
            <w:drawing>
              <wp:anchor distT="0" distB="0" distL="114300" distR="114300" simplePos="0" relativeHeight="251671552" behindDoc="0" locked="0" layoutInCell="1" allowOverlap="1" wp14:anchorId="597CD6FF" wp14:editId="2550DA51">
                <wp:simplePos x="0" y="0"/>
                <wp:positionH relativeFrom="column">
                  <wp:posOffset>1469390</wp:posOffset>
                </wp:positionH>
                <wp:positionV relativeFrom="paragraph">
                  <wp:posOffset>34925</wp:posOffset>
                </wp:positionV>
                <wp:extent cx="106045" cy="802005"/>
                <wp:effectExtent l="0" t="0" r="8255" b="0"/>
                <wp:wrapNone/>
                <wp:docPr id="27" name="Group 6"/>
                <wp:cNvGraphicFramePr/>
                <a:graphic xmlns:a="http://schemas.openxmlformats.org/drawingml/2006/main">
                  <a:graphicData uri="http://schemas.microsoft.com/office/word/2010/wordprocessingGroup">
                    <wpg:wgp>
                      <wpg:cNvGrpSpPr/>
                      <wpg:grpSpPr>
                        <a:xfrm>
                          <a:off x="0" y="0"/>
                          <a:ext cx="106045" cy="802005"/>
                          <a:chOff x="3754" y="2425"/>
                          <a:chExt cx="167" cy="1263"/>
                        </a:xfrm>
                      </wpg:grpSpPr>
                      <wps:wsp>
                        <wps:cNvPr id="29" name="Rectangle 61"/>
                        <wps:cNvSpPr>
                          <a:spLocks noChangeArrowheads="1"/>
                        </wps:cNvSpPr>
                        <wps:spPr bwMode="auto">
                          <a:xfrm>
                            <a:off x="3754" y="2425"/>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0" name="Rectangle 62"/>
                        <wps:cNvSpPr>
                          <a:spLocks noChangeArrowheads="1"/>
                        </wps:cNvSpPr>
                        <wps:spPr bwMode="auto">
                          <a:xfrm>
                            <a:off x="3754" y="2727"/>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7" name="Rectangle 63"/>
                        <wps:cNvSpPr>
                          <a:spLocks noChangeArrowheads="1"/>
                        </wps:cNvSpPr>
                        <wps:spPr bwMode="auto">
                          <a:xfrm>
                            <a:off x="3754" y="2980"/>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 name="Rectangle 64"/>
                        <wps:cNvSpPr>
                          <a:spLocks noChangeArrowheads="1"/>
                        </wps:cNvSpPr>
                        <wps:spPr bwMode="auto">
                          <a:xfrm>
                            <a:off x="3754" y="3288"/>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 name="Rectangle 66"/>
                        <wps:cNvSpPr>
                          <a:spLocks noChangeArrowheads="1"/>
                        </wps:cNvSpPr>
                        <wps:spPr bwMode="auto">
                          <a:xfrm>
                            <a:off x="3778" y="3545"/>
                            <a:ext cx="143" cy="14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B7113" id="Group 6" o:spid="_x0000_s1026" style="position:absolute;margin-left:115.7pt;margin-top:2.75pt;width:8.35pt;height:63.15pt;z-index:251671552" coordorigin="3754,2425" coordsize="16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">
                <v:rect id="Rectangle 61" o:spid="_x0000_s1027" style="position:absolute;left:3754;top:24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62" o:spid="_x0000_s1028" style="position:absolute;left:3754;top:27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63" o:spid="_x0000_s1029" style="position:absolute;left:3754;top:29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64" o:spid="_x0000_s1030" style="position:absolute;left:3754;top:3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66" o:spid="_x0000_s1031" style="position:absolute;left:3778;top:35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group>
            </w:pict>
          </mc:Fallback>
        </mc:AlternateContent>
      </w:r>
      <w:r>
        <w:rPr>
          <w:rFonts w:eastAsia="TimesNewRomanPSMT"/>
        </w:rPr>
        <w:t>0 -5 years</w:t>
      </w:r>
    </w:p>
    <w:p w14:paraId="6FCFDA39" w14:textId="77777777" w:rsidR="009F33CD" w:rsidRDefault="00E40740">
      <w:pPr>
        <w:spacing w:before="0" w:beforeAutospacing="0" w:after="0" w:afterAutospacing="0" w:line="240" w:lineRule="auto"/>
        <w:ind w:firstLine="720"/>
        <w:rPr>
          <w:rFonts w:eastAsia="TimesNewRomanPSMT"/>
          <w:bCs/>
        </w:rPr>
      </w:pPr>
      <w:r>
        <w:rPr>
          <w:rFonts w:eastAsia="TimesNewRomanPSMT"/>
        </w:rPr>
        <w:t>6 – 10 years</w:t>
      </w:r>
    </w:p>
    <w:p w14:paraId="13F3A982" w14:textId="77777777" w:rsidR="009F33CD" w:rsidRDefault="00E40740">
      <w:pPr>
        <w:spacing w:before="0" w:beforeAutospacing="0" w:after="0" w:afterAutospacing="0" w:line="240" w:lineRule="auto"/>
        <w:ind w:firstLine="720"/>
        <w:rPr>
          <w:rFonts w:eastAsia="TimesNewRomanPSMT"/>
          <w:bCs/>
        </w:rPr>
      </w:pPr>
      <w:r>
        <w:rPr>
          <w:rFonts w:eastAsia="TimesNewRomanPSMT"/>
        </w:rPr>
        <w:t>11 – 15 years</w:t>
      </w:r>
    </w:p>
    <w:p w14:paraId="05BA89D1" w14:textId="77777777" w:rsidR="009F33CD" w:rsidRDefault="00E40740">
      <w:pPr>
        <w:spacing w:before="0" w:beforeAutospacing="0" w:after="0" w:afterAutospacing="0" w:line="240" w:lineRule="auto"/>
        <w:ind w:firstLine="720"/>
        <w:rPr>
          <w:rFonts w:eastAsia="TimesNewRomanPSMT"/>
          <w:bCs/>
        </w:rPr>
      </w:pPr>
      <w:r>
        <w:rPr>
          <w:rFonts w:eastAsia="TimesNewRomanPSMT"/>
        </w:rPr>
        <w:t>16 – 20 years</w:t>
      </w:r>
    </w:p>
    <w:p w14:paraId="6045C322" w14:textId="77777777" w:rsidR="009F33CD" w:rsidRDefault="00E40740">
      <w:pPr>
        <w:spacing w:before="0" w:beforeAutospacing="0" w:after="0" w:afterAutospacing="0" w:line="240" w:lineRule="auto"/>
        <w:ind w:firstLine="720"/>
        <w:rPr>
          <w:rFonts w:eastAsia="TimesNewRomanPSMT"/>
          <w:bCs/>
        </w:rPr>
      </w:pPr>
      <w:r>
        <w:rPr>
          <w:rFonts w:eastAsia="TimesNewRomanPSMT"/>
        </w:rPr>
        <w:t>Above 21 years</w:t>
      </w:r>
    </w:p>
    <w:p w14:paraId="6F5BCFA2" w14:textId="77777777" w:rsidR="009F33CD" w:rsidRDefault="00E40740">
      <w:pPr>
        <w:spacing w:before="0" w:beforeAutospacing="0"/>
        <w:rPr>
          <w:rFonts w:eastAsia="TimesNewRomanPSMT"/>
          <w:bCs/>
        </w:rPr>
      </w:pPr>
      <w:r>
        <w:rPr>
          <w:rFonts w:eastAsia="TimesNewRomanPSMT"/>
        </w:rPr>
        <w:t>7. Position held (Specify) ____________________Department __________________</w:t>
      </w:r>
    </w:p>
    <w:p w14:paraId="3039635A" w14:textId="77777777" w:rsidR="009F33CD" w:rsidRDefault="00E40740">
      <w:pPr>
        <w:spacing w:before="0" w:beforeAutospacing="0"/>
        <w:rPr>
          <w:rFonts w:eastAsia="Calibri"/>
          <w:b/>
        </w:rPr>
      </w:pPr>
      <w:r>
        <w:rPr>
          <w:rFonts w:eastAsia="Calibri"/>
          <w:b/>
        </w:rPr>
        <w:t>SECTION B: GREEN EMPLOYEE RESOURCING.</w:t>
      </w:r>
      <w:r>
        <w:rPr>
          <w:rFonts w:eastAsia="TimesNewRomanPSMT"/>
        </w:rPr>
        <w:t xml:space="preserve"> In a Level Five hospital, this is a process of attracting and selecting environmentally aware employees. It is an important component of green human resource management (GHRM) practices because it affects the extent the hospital is able to attract and select qualified employees who will provide eco-friendly quality healthcare services to clients. Therefore, you are </w:t>
      </w:r>
      <w:r>
        <w:rPr>
          <w:rFonts w:eastAsia="TimesNewRomanPSMT"/>
        </w:rPr>
        <w:lastRenderedPageBreak/>
        <w:t xml:space="preserve">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112"/>
        <w:gridCol w:w="780"/>
        <w:gridCol w:w="690"/>
        <w:gridCol w:w="820"/>
        <w:gridCol w:w="690"/>
        <w:gridCol w:w="780"/>
      </w:tblGrid>
      <w:tr w:rsidR="009F33CD" w14:paraId="12B731DC" w14:textId="77777777">
        <w:tc>
          <w:tcPr>
            <w:tcW w:w="337" w:type="dxa"/>
          </w:tcPr>
          <w:p w14:paraId="24A543F2" w14:textId="77777777" w:rsidR="009F33CD" w:rsidRDefault="009F33CD">
            <w:pPr>
              <w:spacing w:before="0" w:beforeAutospacing="0" w:after="0" w:afterAutospacing="0" w:line="240" w:lineRule="auto"/>
              <w:rPr>
                <w:rFonts w:eastAsia="TimesNewRomanPSMT"/>
                <w:bCs/>
              </w:rPr>
            </w:pPr>
          </w:p>
        </w:tc>
        <w:tc>
          <w:tcPr>
            <w:tcW w:w="4435" w:type="dxa"/>
          </w:tcPr>
          <w:p w14:paraId="732C62FE" w14:textId="77777777" w:rsidR="009F33CD" w:rsidRDefault="00E40740">
            <w:pPr>
              <w:spacing w:before="0" w:beforeAutospacing="0" w:after="0" w:afterAutospacing="0" w:line="240" w:lineRule="auto"/>
              <w:rPr>
                <w:rFonts w:eastAsia="TimesNewRomanPSMT"/>
                <w:b/>
                <w:bCs/>
              </w:rPr>
            </w:pPr>
            <w:r>
              <w:rPr>
                <w:rFonts w:eastAsia="TimesNewRomanPSMT"/>
                <w:b/>
              </w:rPr>
              <w:t>Green Employee Resourcing</w:t>
            </w:r>
          </w:p>
        </w:tc>
        <w:tc>
          <w:tcPr>
            <w:tcW w:w="780" w:type="dxa"/>
          </w:tcPr>
          <w:p w14:paraId="08DEA070" w14:textId="77777777" w:rsidR="009F33CD" w:rsidRDefault="00E40740">
            <w:pPr>
              <w:spacing w:before="0" w:beforeAutospacing="0" w:after="0" w:afterAutospacing="0" w:line="240" w:lineRule="auto"/>
              <w:rPr>
                <w:rFonts w:eastAsia="TimesNewRomanPSMT"/>
                <w:b/>
                <w:bCs/>
              </w:rPr>
            </w:pPr>
            <w:r>
              <w:rPr>
                <w:rFonts w:eastAsia="TimesNewRomanPSMT"/>
                <w:b/>
              </w:rPr>
              <w:t>SD=1</w:t>
            </w:r>
          </w:p>
        </w:tc>
        <w:tc>
          <w:tcPr>
            <w:tcW w:w="696" w:type="dxa"/>
          </w:tcPr>
          <w:p w14:paraId="5FBDAD65" w14:textId="77777777" w:rsidR="009F33CD" w:rsidRDefault="00E40740">
            <w:pPr>
              <w:spacing w:before="0" w:beforeAutospacing="0" w:after="0" w:afterAutospacing="0" w:line="240" w:lineRule="auto"/>
              <w:rPr>
                <w:rFonts w:eastAsia="TimesNewRomanPSMT"/>
                <w:b/>
                <w:bCs/>
              </w:rPr>
            </w:pPr>
            <w:r>
              <w:rPr>
                <w:rFonts w:eastAsia="TimesNewRomanPSMT"/>
                <w:b/>
              </w:rPr>
              <w:t>D=2</w:t>
            </w:r>
          </w:p>
        </w:tc>
        <w:tc>
          <w:tcPr>
            <w:tcW w:w="820" w:type="dxa"/>
          </w:tcPr>
          <w:p w14:paraId="0AB1EB30" w14:textId="77777777" w:rsidR="009F33CD" w:rsidRDefault="00E40740">
            <w:pPr>
              <w:spacing w:before="0" w:beforeAutospacing="0" w:after="0" w:afterAutospacing="0" w:line="240" w:lineRule="auto"/>
              <w:rPr>
                <w:rFonts w:eastAsia="TimesNewRomanPSMT"/>
                <w:b/>
                <w:bCs/>
              </w:rPr>
            </w:pPr>
            <w:r>
              <w:rPr>
                <w:rFonts w:eastAsia="TimesNewRomanPSMT"/>
                <w:b/>
              </w:rPr>
              <w:t>UD=3</w:t>
            </w:r>
          </w:p>
        </w:tc>
        <w:tc>
          <w:tcPr>
            <w:tcW w:w="696" w:type="dxa"/>
          </w:tcPr>
          <w:p w14:paraId="66984EB3" w14:textId="77777777" w:rsidR="009F33CD" w:rsidRDefault="00E40740">
            <w:pPr>
              <w:spacing w:before="0" w:beforeAutospacing="0" w:after="0" w:afterAutospacing="0" w:line="240" w:lineRule="auto"/>
              <w:rPr>
                <w:rFonts w:eastAsia="TimesNewRomanPSMT"/>
                <w:b/>
                <w:bCs/>
              </w:rPr>
            </w:pPr>
            <w:r>
              <w:rPr>
                <w:rFonts w:eastAsia="TimesNewRomanPSMT"/>
                <w:b/>
              </w:rPr>
              <w:t>A=4</w:t>
            </w:r>
          </w:p>
        </w:tc>
        <w:tc>
          <w:tcPr>
            <w:tcW w:w="780" w:type="dxa"/>
          </w:tcPr>
          <w:p w14:paraId="7C10270E" w14:textId="77777777" w:rsidR="009F33CD" w:rsidRDefault="00E40740">
            <w:pPr>
              <w:spacing w:before="0" w:beforeAutospacing="0" w:after="0" w:afterAutospacing="0" w:line="240" w:lineRule="auto"/>
              <w:rPr>
                <w:rFonts w:eastAsia="TimesNewRomanPSMT"/>
                <w:b/>
                <w:bCs/>
              </w:rPr>
            </w:pPr>
            <w:r>
              <w:rPr>
                <w:rFonts w:eastAsia="TimesNewRomanPSMT"/>
                <w:b/>
              </w:rPr>
              <w:t>SA=5</w:t>
            </w:r>
          </w:p>
        </w:tc>
      </w:tr>
      <w:tr w:rsidR="009F33CD" w14:paraId="6A70019E" w14:textId="77777777">
        <w:tc>
          <w:tcPr>
            <w:tcW w:w="337" w:type="dxa"/>
          </w:tcPr>
          <w:p w14:paraId="19007C72" w14:textId="77777777" w:rsidR="009F33CD" w:rsidRDefault="00E40740">
            <w:pPr>
              <w:spacing w:before="0" w:beforeAutospacing="0" w:after="0" w:afterAutospacing="0" w:line="240" w:lineRule="auto"/>
              <w:rPr>
                <w:rFonts w:eastAsia="TimesNewRomanPSMT"/>
                <w:bCs/>
              </w:rPr>
            </w:pPr>
            <w:r>
              <w:rPr>
                <w:rFonts w:eastAsia="TimesNewRomanPSMT"/>
              </w:rPr>
              <w:t>1</w:t>
            </w:r>
          </w:p>
        </w:tc>
        <w:tc>
          <w:tcPr>
            <w:tcW w:w="4435" w:type="dxa"/>
          </w:tcPr>
          <w:p w14:paraId="42B2EBBE" w14:textId="77777777" w:rsidR="009F33CD" w:rsidRDefault="00E40740">
            <w:pPr>
              <w:spacing w:before="0" w:beforeAutospacing="0" w:after="0" w:afterAutospacing="0" w:line="240" w:lineRule="auto"/>
              <w:rPr>
                <w:rFonts w:eastAsia="TimesNewRomanPSMT"/>
                <w:bCs/>
              </w:rPr>
            </w:pPr>
            <w:r>
              <w:rPr>
                <w:rFonts w:eastAsia="TimesNewRomanPSMT"/>
              </w:rPr>
              <w:t>This hospital adheres to the policy which guides public service employee resourcing activities</w:t>
            </w:r>
          </w:p>
        </w:tc>
        <w:tc>
          <w:tcPr>
            <w:tcW w:w="780" w:type="dxa"/>
          </w:tcPr>
          <w:p w14:paraId="650AB90E" w14:textId="77777777" w:rsidR="009F33CD" w:rsidRDefault="009F33CD">
            <w:pPr>
              <w:spacing w:before="0" w:beforeAutospacing="0" w:after="0" w:afterAutospacing="0" w:line="240" w:lineRule="auto"/>
              <w:rPr>
                <w:rFonts w:eastAsia="TimesNewRomanPSMT"/>
                <w:bCs/>
              </w:rPr>
            </w:pPr>
          </w:p>
        </w:tc>
        <w:tc>
          <w:tcPr>
            <w:tcW w:w="696" w:type="dxa"/>
          </w:tcPr>
          <w:p w14:paraId="676A308A" w14:textId="77777777" w:rsidR="009F33CD" w:rsidRDefault="009F33CD">
            <w:pPr>
              <w:spacing w:before="0" w:beforeAutospacing="0" w:after="0" w:afterAutospacing="0" w:line="240" w:lineRule="auto"/>
              <w:rPr>
                <w:rFonts w:eastAsia="TimesNewRomanPSMT"/>
                <w:bCs/>
              </w:rPr>
            </w:pPr>
          </w:p>
        </w:tc>
        <w:tc>
          <w:tcPr>
            <w:tcW w:w="820" w:type="dxa"/>
          </w:tcPr>
          <w:p w14:paraId="6FD511E5" w14:textId="77777777" w:rsidR="009F33CD" w:rsidRDefault="009F33CD">
            <w:pPr>
              <w:spacing w:before="0" w:beforeAutospacing="0" w:after="0" w:afterAutospacing="0" w:line="240" w:lineRule="auto"/>
              <w:rPr>
                <w:rFonts w:eastAsia="TimesNewRomanPSMT"/>
                <w:bCs/>
              </w:rPr>
            </w:pPr>
          </w:p>
        </w:tc>
        <w:tc>
          <w:tcPr>
            <w:tcW w:w="696" w:type="dxa"/>
          </w:tcPr>
          <w:p w14:paraId="5C1C7061" w14:textId="77777777" w:rsidR="009F33CD" w:rsidRDefault="009F33CD">
            <w:pPr>
              <w:spacing w:before="0" w:beforeAutospacing="0" w:after="0" w:afterAutospacing="0" w:line="240" w:lineRule="auto"/>
              <w:rPr>
                <w:rFonts w:eastAsia="TimesNewRomanPSMT"/>
                <w:bCs/>
              </w:rPr>
            </w:pPr>
          </w:p>
        </w:tc>
        <w:tc>
          <w:tcPr>
            <w:tcW w:w="780" w:type="dxa"/>
          </w:tcPr>
          <w:p w14:paraId="4A10328C" w14:textId="77777777" w:rsidR="009F33CD" w:rsidRDefault="009F33CD">
            <w:pPr>
              <w:spacing w:before="0" w:beforeAutospacing="0" w:after="0" w:afterAutospacing="0" w:line="240" w:lineRule="auto"/>
              <w:rPr>
                <w:rFonts w:eastAsia="TimesNewRomanPSMT"/>
                <w:bCs/>
              </w:rPr>
            </w:pPr>
          </w:p>
        </w:tc>
      </w:tr>
      <w:tr w:rsidR="009F33CD" w14:paraId="4CC2FD1D" w14:textId="77777777">
        <w:tc>
          <w:tcPr>
            <w:tcW w:w="337" w:type="dxa"/>
          </w:tcPr>
          <w:p w14:paraId="65FB05A7" w14:textId="77777777" w:rsidR="009F33CD" w:rsidRDefault="00E40740">
            <w:pPr>
              <w:spacing w:before="0" w:beforeAutospacing="0" w:after="0" w:afterAutospacing="0" w:line="240" w:lineRule="auto"/>
              <w:rPr>
                <w:rFonts w:eastAsia="TimesNewRomanPSMT"/>
                <w:bCs/>
              </w:rPr>
            </w:pPr>
            <w:r>
              <w:rPr>
                <w:rFonts w:eastAsia="TimesNewRomanPSMT"/>
              </w:rPr>
              <w:t>2</w:t>
            </w:r>
          </w:p>
        </w:tc>
        <w:tc>
          <w:tcPr>
            <w:tcW w:w="4435" w:type="dxa"/>
          </w:tcPr>
          <w:p w14:paraId="6A14D027" w14:textId="77777777" w:rsidR="009F33CD" w:rsidRDefault="00E40740">
            <w:pPr>
              <w:spacing w:before="0" w:beforeAutospacing="0" w:after="0" w:afterAutospacing="0" w:line="240" w:lineRule="auto"/>
              <w:rPr>
                <w:rFonts w:eastAsia="TimesNewRomanPSMT"/>
                <w:bCs/>
              </w:rPr>
            </w:pPr>
            <w:r>
              <w:rPr>
                <w:rFonts w:eastAsia="TimesNewRomanPSMT"/>
              </w:rPr>
              <w:t>Advertisement for job openings is mostly posted on hospital website with some element of greening.</w:t>
            </w:r>
          </w:p>
        </w:tc>
        <w:tc>
          <w:tcPr>
            <w:tcW w:w="780" w:type="dxa"/>
          </w:tcPr>
          <w:p w14:paraId="3B824501" w14:textId="77777777" w:rsidR="009F33CD" w:rsidRDefault="009F33CD">
            <w:pPr>
              <w:spacing w:before="0" w:beforeAutospacing="0" w:after="0" w:afterAutospacing="0" w:line="240" w:lineRule="auto"/>
              <w:rPr>
                <w:rFonts w:eastAsia="TimesNewRomanPSMT"/>
                <w:bCs/>
              </w:rPr>
            </w:pPr>
          </w:p>
        </w:tc>
        <w:tc>
          <w:tcPr>
            <w:tcW w:w="696" w:type="dxa"/>
          </w:tcPr>
          <w:p w14:paraId="0F9E133B" w14:textId="77777777" w:rsidR="009F33CD" w:rsidRDefault="009F33CD">
            <w:pPr>
              <w:spacing w:before="0" w:beforeAutospacing="0" w:after="0" w:afterAutospacing="0" w:line="240" w:lineRule="auto"/>
              <w:rPr>
                <w:rFonts w:eastAsia="TimesNewRomanPSMT"/>
                <w:bCs/>
              </w:rPr>
            </w:pPr>
          </w:p>
        </w:tc>
        <w:tc>
          <w:tcPr>
            <w:tcW w:w="820" w:type="dxa"/>
          </w:tcPr>
          <w:p w14:paraId="3E546612" w14:textId="77777777" w:rsidR="009F33CD" w:rsidRDefault="009F33CD">
            <w:pPr>
              <w:spacing w:before="0" w:beforeAutospacing="0" w:after="0" w:afterAutospacing="0" w:line="240" w:lineRule="auto"/>
              <w:rPr>
                <w:rFonts w:eastAsia="TimesNewRomanPSMT"/>
                <w:bCs/>
              </w:rPr>
            </w:pPr>
          </w:p>
        </w:tc>
        <w:tc>
          <w:tcPr>
            <w:tcW w:w="696" w:type="dxa"/>
          </w:tcPr>
          <w:p w14:paraId="46DC9DC0" w14:textId="77777777" w:rsidR="009F33CD" w:rsidRDefault="009F33CD">
            <w:pPr>
              <w:spacing w:before="0" w:beforeAutospacing="0" w:after="0" w:afterAutospacing="0" w:line="240" w:lineRule="auto"/>
              <w:rPr>
                <w:rFonts w:eastAsia="TimesNewRomanPSMT"/>
                <w:bCs/>
              </w:rPr>
            </w:pPr>
          </w:p>
        </w:tc>
        <w:tc>
          <w:tcPr>
            <w:tcW w:w="780" w:type="dxa"/>
          </w:tcPr>
          <w:p w14:paraId="189CA718" w14:textId="77777777" w:rsidR="009F33CD" w:rsidRDefault="009F33CD">
            <w:pPr>
              <w:spacing w:before="0" w:beforeAutospacing="0" w:after="0" w:afterAutospacing="0" w:line="240" w:lineRule="auto"/>
              <w:rPr>
                <w:rFonts w:eastAsia="TimesNewRomanPSMT"/>
                <w:bCs/>
              </w:rPr>
            </w:pPr>
          </w:p>
        </w:tc>
      </w:tr>
      <w:tr w:rsidR="009F33CD" w14:paraId="1B75000D" w14:textId="77777777">
        <w:tc>
          <w:tcPr>
            <w:tcW w:w="337" w:type="dxa"/>
          </w:tcPr>
          <w:p w14:paraId="6F75209E" w14:textId="77777777" w:rsidR="009F33CD" w:rsidRDefault="00E40740">
            <w:pPr>
              <w:spacing w:before="0" w:beforeAutospacing="0" w:after="0" w:afterAutospacing="0" w:line="240" w:lineRule="auto"/>
              <w:rPr>
                <w:rFonts w:eastAsia="TimesNewRomanPSMT"/>
                <w:bCs/>
              </w:rPr>
            </w:pPr>
            <w:r>
              <w:rPr>
                <w:rFonts w:eastAsia="TimesNewRomanPSMT"/>
              </w:rPr>
              <w:t>3</w:t>
            </w:r>
          </w:p>
        </w:tc>
        <w:tc>
          <w:tcPr>
            <w:tcW w:w="4435" w:type="dxa"/>
          </w:tcPr>
          <w:p w14:paraId="7B713A7E" w14:textId="77777777" w:rsidR="009F33CD" w:rsidRDefault="00E40740">
            <w:pPr>
              <w:spacing w:before="0" w:beforeAutospacing="0" w:after="0" w:afterAutospacing="0" w:line="240" w:lineRule="auto"/>
              <w:rPr>
                <w:rFonts w:eastAsia="TimesNewRomanPSMT"/>
                <w:bCs/>
              </w:rPr>
            </w:pPr>
            <w:r>
              <w:rPr>
                <w:rFonts w:eastAsia="TimesNewRomanPSMT"/>
              </w:rPr>
              <w:t>Applications are usually invited through online mediums like e-mail and online application forms to reduce paper usage and cost.</w:t>
            </w:r>
          </w:p>
        </w:tc>
        <w:tc>
          <w:tcPr>
            <w:tcW w:w="780" w:type="dxa"/>
          </w:tcPr>
          <w:p w14:paraId="41DDDF98" w14:textId="77777777" w:rsidR="009F33CD" w:rsidRDefault="009F33CD">
            <w:pPr>
              <w:spacing w:before="0" w:beforeAutospacing="0" w:after="0" w:afterAutospacing="0" w:line="240" w:lineRule="auto"/>
              <w:rPr>
                <w:rFonts w:eastAsia="TimesNewRomanPSMT"/>
                <w:bCs/>
              </w:rPr>
            </w:pPr>
          </w:p>
        </w:tc>
        <w:tc>
          <w:tcPr>
            <w:tcW w:w="696" w:type="dxa"/>
          </w:tcPr>
          <w:p w14:paraId="77D7B2BE" w14:textId="77777777" w:rsidR="009F33CD" w:rsidRDefault="009F33CD">
            <w:pPr>
              <w:spacing w:before="0" w:beforeAutospacing="0" w:after="0" w:afterAutospacing="0" w:line="240" w:lineRule="auto"/>
              <w:rPr>
                <w:rFonts w:eastAsia="TimesNewRomanPSMT"/>
                <w:bCs/>
              </w:rPr>
            </w:pPr>
          </w:p>
        </w:tc>
        <w:tc>
          <w:tcPr>
            <w:tcW w:w="820" w:type="dxa"/>
          </w:tcPr>
          <w:p w14:paraId="28F10BC6" w14:textId="77777777" w:rsidR="009F33CD" w:rsidRDefault="009F33CD">
            <w:pPr>
              <w:spacing w:before="0" w:beforeAutospacing="0" w:after="0" w:afterAutospacing="0" w:line="240" w:lineRule="auto"/>
              <w:rPr>
                <w:rFonts w:eastAsia="TimesNewRomanPSMT"/>
                <w:bCs/>
              </w:rPr>
            </w:pPr>
          </w:p>
        </w:tc>
        <w:tc>
          <w:tcPr>
            <w:tcW w:w="696" w:type="dxa"/>
          </w:tcPr>
          <w:p w14:paraId="425D825F" w14:textId="77777777" w:rsidR="009F33CD" w:rsidRDefault="009F33CD">
            <w:pPr>
              <w:spacing w:before="0" w:beforeAutospacing="0" w:after="0" w:afterAutospacing="0" w:line="240" w:lineRule="auto"/>
              <w:rPr>
                <w:rFonts w:eastAsia="TimesNewRomanPSMT"/>
                <w:bCs/>
              </w:rPr>
            </w:pPr>
          </w:p>
        </w:tc>
        <w:tc>
          <w:tcPr>
            <w:tcW w:w="780" w:type="dxa"/>
          </w:tcPr>
          <w:p w14:paraId="185F4F61" w14:textId="77777777" w:rsidR="009F33CD" w:rsidRDefault="009F33CD">
            <w:pPr>
              <w:spacing w:before="0" w:beforeAutospacing="0" w:after="0" w:afterAutospacing="0" w:line="240" w:lineRule="auto"/>
              <w:rPr>
                <w:rFonts w:eastAsia="TimesNewRomanPSMT"/>
                <w:bCs/>
              </w:rPr>
            </w:pPr>
          </w:p>
        </w:tc>
      </w:tr>
      <w:tr w:rsidR="009F33CD" w14:paraId="63F8E158" w14:textId="77777777">
        <w:tc>
          <w:tcPr>
            <w:tcW w:w="337" w:type="dxa"/>
          </w:tcPr>
          <w:p w14:paraId="728FB4F5" w14:textId="77777777" w:rsidR="009F33CD" w:rsidRDefault="00E40740">
            <w:pPr>
              <w:spacing w:before="0" w:beforeAutospacing="0" w:after="0" w:afterAutospacing="0" w:line="240" w:lineRule="auto"/>
              <w:rPr>
                <w:rFonts w:eastAsia="TimesNewRomanPSMT"/>
                <w:bCs/>
              </w:rPr>
            </w:pPr>
            <w:r>
              <w:rPr>
                <w:rFonts w:eastAsia="TimesNewRomanPSMT"/>
              </w:rPr>
              <w:t>4</w:t>
            </w:r>
          </w:p>
        </w:tc>
        <w:tc>
          <w:tcPr>
            <w:tcW w:w="4435" w:type="dxa"/>
          </w:tcPr>
          <w:p w14:paraId="0E1E0ABA" w14:textId="77777777" w:rsidR="009F33CD" w:rsidRDefault="00E40740">
            <w:pPr>
              <w:spacing w:before="0" w:beforeAutospacing="0" w:after="0" w:afterAutospacing="0" w:line="240" w:lineRule="auto"/>
              <w:rPr>
                <w:rFonts w:eastAsia="Calibri"/>
                <w:bCs/>
                <w:color w:val="000000"/>
              </w:rPr>
            </w:pPr>
            <w:r>
              <w:rPr>
                <w:rFonts w:eastAsia="Calibri"/>
                <w:color w:val="000000"/>
              </w:rPr>
              <w:t xml:space="preserve">This hospital practices online-video interviews which enhances performance. </w:t>
            </w:r>
          </w:p>
        </w:tc>
        <w:tc>
          <w:tcPr>
            <w:tcW w:w="780" w:type="dxa"/>
          </w:tcPr>
          <w:p w14:paraId="318E2E74" w14:textId="77777777" w:rsidR="009F33CD" w:rsidRDefault="009F33CD">
            <w:pPr>
              <w:spacing w:before="0" w:beforeAutospacing="0" w:after="0" w:afterAutospacing="0" w:line="240" w:lineRule="auto"/>
              <w:rPr>
                <w:rFonts w:eastAsia="TimesNewRomanPSMT"/>
                <w:bCs/>
              </w:rPr>
            </w:pPr>
          </w:p>
        </w:tc>
        <w:tc>
          <w:tcPr>
            <w:tcW w:w="696" w:type="dxa"/>
          </w:tcPr>
          <w:p w14:paraId="3698EA6A" w14:textId="77777777" w:rsidR="009F33CD" w:rsidRDefault="009F33CD">
            <w:pPr>
              <w:spacing w:before="0" w:beforeAutospacing="0" w:after="0" w:afterAutospacing="0" w:line="240" w:lineRule="auto"/>
              <w:rPr>
                <w:rFonts w:eastAsia="TimesNewRomanPSMT"/>
                <w:bCs/>
              </w:rPr>
            </w:pPr>
          </w:p>
        </w:tc>
        <w:tc>
          <w:tcPr>
            <w:tcW w:w="820" w:type="dxa"/>
          </w:tcPr>
          <w:p w14:paraId="2365A8EB" w14:textId="77777777" w:rsidR="009F33CD" w:rsidRDefault="009F33CD">
            <w:pPr>
              <w:spacing w:before="0" w:beforeAutospacing="0" w:after="0" w:afterAutospacing="0" w:line="240" w:lineRule="auto"/>
              <w:rPr>
                <w:rFonts w:eastAsia="TimesNewRomanPSMT"/>
                <w:bCs/>
              </w:rPr>
            </w:pPr>
          </w:p>
        </w:tc>
        <w:tc>
          <w:tcPr>
            <w:tcW w:w="696" w:type="dxa"/>
          </w:tcPr>
          <w:p w14:paraId="0E0E12FF" w14:textId="77777777" w:rsidR="009F33CD" w:rsidRDefault="009F33CD">
            <w:pPr>
              <w:spacing w:before="0" w:beforeAutospacing="0" w:after="0" w:afterAutospacing="0" w:line="240" w:lineRule="auto"/>
              <w:rPr>
                <w:rFonts w:eastAsia="TimesNewRomanPSMT"/>
                <w:bCs/>
              </w:rPr>
            </w:pPr>
          </w:p>
        </w:tc>
        <w:tc>
          <w:tcPr>
            <w:tcW w:w="780" w:type="dxa"/>
          </w:tcPr>
          <w:p w14:paraId="4CFB6906" w14:textId="77777777" w:rsidR="009F33CD" w:rsidRDefault="009F33CD">
            <w:pPr>
              <w:spacing w:before="0" w:beforeAutospacing="0" w:after="0" w:afterAutospacing="0" w:line="240" w:lineRule="auto"/>
              <w:rPr>
                <w:rFonts w:eastAsia="TimesNewRomanPSMT"/>
                <w:bCs/>
              </w:rPr>
            </w:pPr>
          </w:p>
        </w:tc>
      </w:tr>
      <w:tr w:rsidR="009F33CD" w14:paraId="6564DFD8" w14:textId="77777777">
        <w:tc>
          <w:tcPr>
            <w:tcW w:w="337" w:type="dxa"/>
          </w:tcPr>
          <w:p w14:paraId="5DE9E8D3" w14:textId="77777777" w:rsidR="009F33CD" w:rsidRDefault="00E40740">
            <w:pPr>
              <w:spacing w:before="0" w:beforeAutospacing="0" w:after="0" w:afterAutospacing="0" w:line="240" w:lineRule="auto"/>
              <w:rPr>
                <w:rFonts w:eastAsia="TimesNewRomanPSMT"/>
                <w:bCs/>
              </w:rPr>
            </w:pPr>
            <w:r>
              <w:rPr>
                <w:rFonts w:eastAsia="TimesNewRomanPSMT"/>
              </w:rPr>
              <w:t>5</w:t>
            </w:r>
          </w:p>
        </w:tc>
        <w:tc>
          <w:tcPr>
            <w:tcW w:w="4435" w:type="dxa"/>
          </w:tcPr>
          <w:p w14:paraId="7195CA28" w14:textId="77777777" w:rsidR="009F33CD" w:rsidRDefault="00E40740">
            <w:pPr>
              <w:spacing w:before="0" w:beforeAutospacing="0" w:after="0" w:afterAutospacing="0" w:line="240" w:lineRule="auto"/>
              <w:rPr>
                <w:rFonts w:eastAsia="Calibri"/>
                <w:bCs/>
                <w:color w:val="000000"/>
              </w:rPr>
            </w:pPr>
            <w:r>
              <w:rPr>
                <w:rFonts w:eastAsia="Calibri"/>
                <w:color w:val="000000"/>
              </w:rPr>
              <w:t xml:space="preserve">An environmental awareness criterion is included in employee selection procedure of the hospital. </w:t>
            </w:r>
          </w:p>
        </w:tc>
        <w:tc>
          <w:tcPr>
            <w:tcW w:w="780" w:type="dxa"/>
          </w:tcPr>
          <w:p w14:paraId="1A7942C4" w14:textId="77777777" w:rsidR="009F33CD" w:rsidRDefault="009F33CD">
            <w:pPr>
              <w:spacing w:before="0" w:beforeAutospacing="0" w:after="0" w:afterAutospacing="0" w:line="240" w:lineRule="auto"/>
              <w:rPr>
                <w:rFonts w:eastAsia="TimesNewRomanPSMT"/>
                <w:bCs/>
              </w:rPr>
            </w:pPr>
          </w:p>
        </w:tc>
        <w:tc>
          <w:tcPr>
            <w:tcW w:w="696" w:type="dxa"/>
          </w:tcPr>
          <w:p w14:paraId="390311C6" w14:textId="77777777" w:rsidR="009F33CD" w:rsidRDefault="009F33CD">
            <w:pPr>
              <w:spacing w:before="0" w:beforeAutospacing="0" w:after="0" w:afterAutospacing="0" w:line="240" w:lineRule="auto"/>
              <w:rPr>
                <w:rFonts w:eastAsia="TimesNewRomanPSMT"/>
                <w:bCs/>
              </w:rPr>
            </w:pPr>
          </w:p>
        </w:tc>
        <w:tc>
          <w:tcPr>
            <w:tcW w:w="820" w:type="dxa"/>
          </w:tcPr>
          <w:p w14:paraId="45CDB817" w14:textId="77777777" w:rsidR="009F33CD" w:rsidRDefault="009F33CD">
            <w:pPr>
              <w:spacing w:before="0" w:beforeAutospacing="0" w:after="0" w:afterAutospacing="0" w:line="240" w:lineRule="auto"/>
              <w:rPr>
                <w:rFonts w:eastAsia="TimesNewRomanPSMT"/>
                <w:bCs/>
              </w:rPr>
            </w:pPr>
          </w:p>
        </w:tc>
        <w:tc>
          <w:tcPr>
            <w:tcW w:w="696" w:type="dxa"/>
          </w:tcPr>
          <w:p w14:paraId="001C180F" w14:textId="77777777" w:rsidR="009F33CD" w:rsidRDefault="009F33CD">
            <w:pPr>
              <w:spacing w:before="0" w:beforeAutospacing="0" w:after="0" w:afterAutospacing="0" w:line="240" w:lineRule="auto"/>
              <w:rPr>
                <w:rFonts w:eastAsia="TimesNewRomanPSMT"/>
                <w:bCs/>
              </w:rPr>
            </w:pPr>
          </w:p>
        </w:tc>
        <w:tc>
          <w:tcPr>
            <w:tcW w:w="780" w:type="dxa"/>
          </w:tcPr>
          <w:p w14:paraId="50D3B8C9" w14:textId="77777777" w:rsidR="009F33CD" w:rsidRDefault="009F33CD">
            <w:pPr>
              <w:spacing w:before="0" w:beforeAutospacing="0" w:after="0" w:afterAutospacing="0" w:line="240" w:lineRule="auto"/>
              <w:rPr>
                <w:rFonts w:eastAsia="TimesNewRomanPSMT"/>
                <w:bCs/>
              </w:rPr>
            </w:pPr>
          </w:p>
        </w:tc>
      </w:tr>
      <w:tr w:rsidR="009F33CD" w14:paraId="577CF796" w14:textId="77777777">
        <w:tc>
          <w:tcPr>
            <w:tcW w:w="337" w:type="dxa"/>
          </w:tcPr>
          <w:p w14:paraId="69EC4E1D" w14:textId="77777777" w:rsidR="009F33CD" w:rsidRDefault="00E40740">
            <w:pPr>
              <w:spacing w:before="0" w:beforeAutospacing="0" w:after="0" w:afterAutospacing="0" w:line="240" w:lineRule="auto"/>
              <w:rPr>
                <w:rFonts w:eastAsia="TimesNewRomanPSMT"/>
                <w:bCs/>
              </w:rPr>
            </w:pPr>
            <w:r>
              <w:rPr>
                <w:rFonts w:eastAsia="TimesNewRomanPSMT"/>
              </w:rPr>
              <w:t>6</w:t>
            </w:r>
          </w:p>
        </w:tc>
        <w:tc>
          <w:tcPr>
            <w:tcW w:w="4435" w:type="dxa"/>
          </w:tcPr>
          <w:p w14:paraId="297D96E9" w14:textId="77777777" w:rsidR="009F33CD" w:rsidRDefault="00E40740">
            <w:pPr>
              <w:spacing w:before="0" w:beforeAutospacing="0" w:after="0" w:afterAutospacing="0" w:line="240" w:lineRule="auto"/>
              <w:rPr>
                <w:rFonts w:eastAsia="Calibri"/>
                <w:bCs/>
              </w:rPr>
            </w:pPr>
            <w:r>
              <w:rPr>
                <w:rFonts w:eastAsia="Calibri"/>
              </w:rPr>
              <w:t xml:space="preserve">Employees who have contributed towards environmental management are usually selected to fill jobs in devolved healthcare services. </w:t>
            </w:r>
          </w:p>
        </w:tc>
        <w:tc>
          <w:tcPr>
            <w:tcW w:w="780" w:type="dxa"/>
          </w:tcPr>
          <w:p w14:paraId="52134375" w14:textId="77777777" w:rsidR="009F33CD" w:rsidRDefault="009F33CD">
            <w:pPr>
              <w:spacing w:before="0" w:beforeAutospacing="0" w:after="0" w:afterAutospacing="0" w:line="240" w:lineRule="auto"/>
              <w:rPr>
                <w:rFonts w:eastAsia="TimesNewRomanPSMT"/>
                <w:bCs/>
              </w:rPr>
            </w:pPr>
          </w:p>
        </w:tc>
        <w:tc>
          <w:tcPr>
            <w:tcW w:w="696" w:type="dxa"/>
          </w:tcPr>
          <w:p w14:paraId="480FBF0A" w14:textId="77777777" w:rsidR="009F33CD" w:rsidRDefault="009F33CD">
            <w:pPr>
              <w:spacing w:before="0" w:beforeAutospacing="0" w:after="0" w:afterAutospacing="0" w:line="240" w:lineRule="auto"/>
              <w:rPr>
                <w:rFonts w:eastAsia="TimesNewRomanPSMT"/>
                <w:bCs/>
              </w:rPr>
            </w:pPr>
          </w:p>
        </w:tc>
        <w:tc>
          <w:tcPr>
            <w:tcW w:w="820" w:type="dxa"/>
          </w:tcPr>
          <w:p w14:paraId="1F20ACD0" w14:textId="77777777" w:rsidR="009F33CD" w:rsidRDefault="009F33CD">
            <w:pPr>
              <w:spacing w:before="0" w:beforeAutospacing="0" w:after="0" w:afterAutospacing="0" w:line="240" w:lineRule="auto"/>
              <w:rPr>
                <w:rFonts w:eastAsia="TimesNewRomanPSMT"/>
                <w:bCs/>
              </w:rPr>
            </w:pPr>
          </w:p>
        </w:tc>
        <w:tc>
          <w:tcPr>
            <w:tcW w:w="696" w:type="dxa"/>
          </w:tcPr>
          <w:p w14:paraId="43927AA8" w14:textId="77777777" w:rsidR="009F33CD" w:rsidRDefault="009F33CD">
            <w:pPr>
              <w:spacing w:before="0" w:beforeAutospacing="0" w:after="0" w:afterAutospacing="0" w:line="240" w:lineRule="auto"/>
              <w:rPr>
                <w:rFonts w:eastAsia="TimesNewRomanPSMT"/>
                <w:bCs/>
              </w:rPr>
            </w:pPr>
          </w:p>
        </w:tc>
        <w:tc>
          <w:tcPr>
            <w:tcW w:w="780" w:type="dxa"/>
          </w:tcPr>
          <w:p w14:paraId="657869BA" w14:textId="77777777" w:rsidR="009F33CD" w:rsidRDefault="009F33CD">
            <w:pPr>
              <w:spacing w:before="0" w:beforeAutospacing="0" w:after="0" w:afterAutospacing="0" w:line="240" w:lineRule="auto"/>
              <w:rPr>
                <w:rFonts w:eastAsia="TimesNewRomanPSMT"/>
                <w:bCs/>
              </w:rPr>
            </w:pPr>
          </w:p>
        </w:tc>
      </w:tr>
      <w:tr w:rsidR="009F33CD" w14:paraId="21B0F2CF" w14:textId="77777777">
        <w:tc>
          <w:tcPr>
            <w:tcW w:w="337" w:type="dxa"/>
          </w:tcPr>
          <w:p w14:paraId="7033085C" w14:textId="77777777" w:rsidR="009F33CD" w:rsidRDefault="00E40740">
            <w:pPr>
              <w:spacing w:before="0" w:beforeAutospacing="0" w:after="0" w:afterAutospacing="0" w:line="240" w:lineRule="auto"/>
              <w:rPr>
                <w:rFonts w:eastAsia="TimesNewRomanPSMT"/>
                <w:bCs/>
              </w:rPr>
            </w:pPr>
            <w:r>
              <w:rPr>
                <w:rFonts w:eastAsia="TimesNewRomanPSMT"/>
              </w:rPr>
              <w:t>7</w:t>
            </w:r>
          </w:p>
        </w:tc>
        <w:tc>
          <w:tcPr>
            <w:tcW w:w="4435" w:type="dxa"/>
          </w:tcPr>
          <w:p w14:paraId="70D4AD93" w14:textId="77777777" w:rsidR="009F33CD" w:rsidRDefault="00E40740">
            <w:pPr>
              <w:spacing w:before="0" w:beforeAutospacing="0" w:after="0" w:afterAutospacing="0" w:line="240" w:lineRule="auto"/>
              <w:rPr>
                <w:rFonts w:eastAsia="TimesNewRomanPSMT"/>
                <w:bCs/>
              </w:rPr>
            </w:pPr>
            <w:r>
              <w:rPr>
                <w:rFonts w:eastAsia="TimesNewRomanPSMT"/>
              </w:rPr>
              <w:t>Green employee resourcing has an effect on performance of this hospital</w:t>
            </w:r>
          </w:p>
        </w:tc>
        <w:tc>
          <w:tcPr>
            <w:tcW w:w="780" w:type="dxa"/>
          </w:tcPr>
          <w:p w14:paraId="2A13DFDB" w14:textId="77777777" w:rsidR="009F33CD" w:rsidRDefault="009F33CD">
            <w:pPr>
              <w:spacing w:before="0" w:beforeAutospacing="0" w:after="0" w:afterAutospacing="0" w:line="240" w:lineRule="auto"/>
              <w:rPr>
                <w:rFonts w:eastAsia="TimesNewRomanPSMT"/>
                <w:bCs/>
              </w:rPr>
            </w:pPr>
          </w:p>
        </w:tc>
        <w:tc>
          <w:tcPr>
            <w:tcW w:w="696" w:type="dxa"/>
          </w:tcPr>
          <w:p w14:paraId="577FAD59" w14:textId="77777777" w:rsidR="009F33CD" w:rsidRDefault="009F33CD">
            <w:pPr>
              <w:spacing w:before="0" w:beforeAutospacing="0" w:after="0" w:afterAutospacing="0" w:line="240" w:lineRule="auto"/>
              <w:rPr>
                <w:rFonts w:eastAsia="TimesNewRomanPSMT"/>
                <w:bCs/>
              </w:rPr>
            </w:pPr>
          </w:p>
        </w:tc>
        <w:tc>
          <w:tcPr>
            <w:tcW w:w="820" w:type="dxa"/>
          </w:tcPr>
          <w:p w14:paraId="582A1289" w14:textId="77777777" w:rsidR="009F33CD" w:rsidRDefault="009F33CD">
            <w:pPr>
              <w:spacing w:before="0" w:beforeAutospacing="0" w:after="0" w:afterAutospacing="0" w:line="240" w:lineRule="auto"/>
              <w:rPr>
                <w:rFonts w:eastAsia="TimesNewRomanPSMT"/>
                <w:bCs/>
              </w:rPr>
            </w:pPr>
          </w:p>
        </w:tc>
        <w:tc>
          <w:tcPr>
            <w:tcW w:w="696" w:type="dxa"/>
          </w:tcPr>
          <w:p w14:paraId="6115FE7D" w14:textId="77777777" w:rsidR="009F33CD" w:rsidRDefault="009F33CD">
            <w:pPr>
              <w:spacing w:before="0" w:beforeAutospacing="0" w:after="0" w:afterAutospacing="0" w:line="240" w:lineRule="auto"/>
              <w:rPr>
                <w:rFonts w:eastAsia="TimesNewRomanPSMT"/>
                <w:bCs/>
              </w:rPr>
            </w:pPr>
          </w:p>
        </w:tc>
        <w:tc>
          <w:tcPr>
            <w:tcW w:w="780" w:type="dxa"/>
          </w:tcPr>
          <w:p w14:paraId="23D0F0C1" w14:textId="77777777" w:rsidR="009F33CD" w:rsidRDefault="009F33CD">
            <w:pPr>
              <w:spacing w:before="0" w:beforeAutospacing="0" w:after="0" w:afterAutospacing="0" w:line="240" w:lineRule="auto"/>
              <w:rPr>
                <w:rFonts w:eastAsia="TimesNewRomanPSMT"/>
                <w:bCs/>
              </w:rPr>
            </w:pPr>
          </w:p>
        </w:tc>
      </w:tr>
    </w:tbl>
    <w:p w14:paraId="1C5FA8BF" w14:textId="77777777" w:rsidR="009F33CD" w:rsidRDefault="00E40740">
      <w:pPr>
        <w:spacing w:before="0" w:beforeAutospacing="0"/>
        <w:rPr>
          <w:rFonts w:eastAsia="TimesNewRomanPSMT"/>
          <w:bCs/>
        </w:rPr>
      </w:pPr>
      <w:r>
        <w:rPr>
          <w:rFonts w:eastAsia="TimesNewRomanPSMT"/>
        </w:rPr>
        <w:t>8. Suggest possible ways in which green employee resourcing practice can be improved in devolved healthcare services.</w:t>
      </w:r>
    </w:p>
    <w:p w14:paraId="1CD96E0C" w14:textId="77777777" w:rsidR="009F33CD" w:rsidRDefault="00E40740">
      <w:pPr>
        <w:spacing w:before="0" w:beforeAutospacing="0"/>
        <w:rPr>
          <w:rFonts w:eastAsia="Calibri"/>
          <w:b/>
        </w:rPr>
      </w:pPr>
      <w:r>
        <w:rPr>
          <w:rFonts w:eastAsia="TimesNewRomanPSMT"/>
        </w:rPr>
        <w:t>____________________________________________________________________________________________________________________________________________________________________________________________________________</w:t>
      </w:r>
    </w:p>
    <w:p w14:paraId="5C5F80D9" w14:textId="77777777" w:rsidR="009F33CD" w:rsidRDefault="00E40740">
      <w:pPr>
        <w:spacing w:before="0" w:beforeAutospacing="0"/>
        <w:rPr>
          <w:rFonts w:eastAsia="Calibri"/>
          <w:b/>
        </w:rPr>
      </w:pPr>
      <w:r>
        <w:rPr>
          <w:rFonts w:eastAsia="Calibri"/>
          <w:b/>
        </w:rPr>
        <w:t xml:space="preserve">SECTION C: GREEN TRAINING </w:t>
      </w:r>
    </w:p>
    <w:p w14:paraId="56DEF167" w14:textId="77777777" w:rsidR="009F33CD" w:rsidRDefault="00E40740">
      <w:pPr>
        <w:spacing w:before="0" w:beforeAutospacing="0"/>
        <w:rPr>
          <w:rFonts w:eastAsia="Calibri"/>
          <w:b/>
        </w:rPr>
      </w:pPr>
      <w:r>
        <w:rPr>
          <w:rFonts w:eastAsia="TimesNewRoman"/>
        </w:rPr>
        <w:t>Green</w:t>
      </w:r>
      <w:r>
        <w:rPr>
          <w:rFonts w:eastAsia="TimesNewRomanPSMT"/>
        </w:rPr>
        <w:t xml:space="preserve"> training is important to employees because it helps to impart continuous eco-friendly skills, knowledge, ability and attitude that influence service delivery and performance of the hospital. Therefore, you are 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10"/>
        <w:gridCol w:w="780"/>
        <w:gridCol w:w="692"/>
        <w:gridCol w:w="820"/>
        <w:gridCol w:w="692"/>
        <w:gridCol w:w="780"/>
      </w:tblGrid>
      <w:tr w:rsidR="009F33CD" w14:paraId="162D1226" w14:textId="77777777">
        <w:tc>
          <w:tcPr>
            <w:tcW w:w="336" w:type="dxa"/>
          </w:tcPr>
          <w:p w14:paraId="41DFDDD3" w14:textId="77777777" w:rsidR="009F33CD" w:rsidRDefault="009F33CD">
            <w:pPr>
              <w:spacing w:before="0" w:beforeAutospacing="0" w:after="0" w:afterAutospacing="0" w:line="240" w:lineRule="auto"/>
              <w:rPr>
                <w:rFonts w:eastAsia="TimesNewRomanPSMT"/>
                <w:bCs/>
              </w:rPr>
            </w:pPr>
          </w:p>
        </w:tc>
        <w:tc>
          <w:tcPr>
            <w:tcW w:w="4434" w:type="dxa"/>
          </w:tcPr>
          <w:p w14:paraId="444DC696" w14:textId="77777777" w:rsidR="009F33CD" w:rsidRDefault="00E40740">
            <w:pPr>
              <w:spacing w:before="0" w:beforeAutospacing="0" w:after="0" w:afterAutospacing="0" w:line="240" w:lineRule="auto"/>
              <w:rPr>
                <w:rFonts w:eastAsia="TimesNewRomanPSMT"/>
                <w:b/>
                <w:bCs/>
              </w:rPr>
            </w:pPr>
            <w:r>
              <w:rPr>
                <w:rFonts w:eastAsia="TimesNewRomanPSMT"/>
                <w:b/>
              </w:rPr>
              <w:t>Green Training</w:t>
            </w:r>
          </w:p>
        </w:tc>
        <w:tc>
          <w:tcPr>
            <w:tcW w:w="780" w:type="dxa"/>
          </w:tcPr>
          <w:p w14:paraId="76C847A6" w14:textId="77777777" w:rsidR="009F33CD" w:rsidRDefault="00E40740">
            <w:pPr>
              <w:spacing w:before="0" w:beforeAutospacing="0" w:after="0" w:afterAutospacing="0" w:line="240" w:lineRule="auto"/>
              <w:rPr>
                <w:rFonts w:eastAsia="TimesNewRomanPSMT"/>
                <w:b/>
                <w:bCs/>
              </w:rPr>
            </w:pPr>
            <w:r>
              <w:rPr>
                <w:rFonts w:eastAsia="TimesNewRomanPSMT"/>
                <w:b/>
              </w:rPr>
              <w:t>SD=1</w:t>
            </w:r>
          </w:p>
        </w:tc>
        <w:tc>
          <w:tcPr>
            <w:tcW w:w="697" w:type="dxa"/>
          </w:tcPr>
          <w:p w14:paraId="7C719F5E" w14:textId="77777777" w:rsidR="009F33CD" w:rsidRDefault="00E40740">
            <w:pPr>
              <w:spacing w:before="0" w:beforeAutospacing="0" w:after="0" w:afterAutospacing="0" w:line="240" w:lineRule="auto"/>
              <w:rPr>
                <w:rFonts w:eastAsia="TimesNewRomanPSMT"/>
                <w:b/>
                <w:bCs/>
              </w:rPr>
            </w:pPr>
            <w:r>
              <w:rPr>
                <w:rFonts w:eastAsia="TimesNewRomanPSMT"/>
                <w:b/>
              </w:rPr>
              <w:t>D=2</w:t>
            </w:r>
          </w:p>
        </w:tc>
        <w:tc>
          <w:tcPr>
            <w:tcW w:w="820" w:type="dxa"/>
          </w:tcPr>
          <w:p w14:paraId="2DFBC0ED" w14:textId="77777777" w:rsidR="009F33CD" w:rsidRDefault="00E40740">
            <w:pPr>
              <w:spacing w:before="0" w:beforeAutospacing="0" w:after="0" w:afterAutospacing="0" w:line="240" w:lineRule="auto"/>
              <w:rPr>
                <w:rFonts w:eastAsia="TimesNewRomanPSMT"/>
                <w:b/>
                <w:bCs/>
              </w:rPr>
            </w:pPr>
            <w:r>
              <w:rPr>
                <w:rFonts w:eastAsia="TimesNewRomanPSMT"/>
                <w:b/>
              </w:rPr>
              <w:t>UD=3</w:t>
            </w:r>
          </w:p>
        </w:tc>
        <w:tc>
          <w:tcPr>
            <w:tcW w:w="697" w:type="dxa"/>
          </w:tcPr>
          <w:p w14:paraId="2E250D9B" w14:textId="77777777" w:rsidR="009F33CD" w:rsidRDefault="00E40740">
            <w:pPr>
              <w:spacing w:before="0" w:beforeAutospacing="0" w:after="0" w:afterAutospacing="0" w:line="240" w:lineRule="auto"/>
              <w:rPr>
                <w:rFonts w:eastAsia="TimesNewRomanPSMT"/>
                <w:b/>
                <w:bCs/>
              </w:rPr>
            </w:pPr>
            <w:r>
              <w:rPr>
                <w:rFonts w:eastAsia="TimesNewRomanPSMT"/>
                <w:b/>
              </w:rPr>
              <w:t>A=4</w:t>
            </w:r>
          </w:p>
        </w:tc>
        <w:tc>
          <w:tcPr>
            <w:tcW w:w="780" w:type="dxa"/>
          </w:tcPr>
          <w:p w14:paraId="5E87AE0D" w14:textId="77777777" w:rsidR="009F33CD" w:rsidRDefault="00E40740">
            <w:pPr>
              <w:spacing w:before="0" w:beforeAutospacing="0" w:after="0" w:afterAutospacing="0" w:line="240" w:lineRule="auto"/>
              <w:rPr>
                <w:rFonts w:eastAsia="TimesNewRomanPSMT"/>
                <w:b/>
                <w:bCs/>
              </w:rPr>
            </w:pPr>
            <w:r>
              <w:rPr>
                <w:rFonts w:eastAsia="TimesNewRomanPSMT"/>
                <w:b/>
              </w:rPr>
              <w:t>SA=5</w:t>
            </w:r>
          </w:p>
        </w:tc>
      </w:tr>
      <w:tr w:rsidR="009F33CD" w14:paraId="7D59E736" w14:textId="77777777">
        <w:tc>
          <w:tcPr>
            <w:tcW w:w="336" w:type="dxa"/>
          </w:tcPr>
          <w:p w14:paraId="5A1E0515" w14:textId="77777777" w:rsidR="009F33CD" w:rsidRDefault="00E40740">
            <w:pPr>
              <w:spacing w:before="0" w:beforeAutospacing="0" w:after="0" w:afterAutospacing="0" w:line="240" w:lineRule="auto"/>
              <w:rPr>
                <w:rFonts w:eastAsia="TimesNewRomanPSMT"/>
                <w:bCs/>
              </w:rPr>
            </w:pPr>
            <w:r>
              <w:rPr>
                <w:rFonts w:eastAsia="TimesNewRomanPSMT"/>
              </w:rPr>
              <w:t>1</w:t>
            </w:r>
          </w:p>
        </w:tc>
        <w:tc>
          <w:tcPr>
            <w:tcW w:w="4434" w:type="dxa"/>
          </w:tcPr>
          <w:p w14:paraId="4CB5E932" w14:textId="77777777" w:rsidR="009F33CD" w:rsidRDefault="00E40740">
            <w:pPr>
              <w:spacing w:before="0" w:beforeAutospacing="0" w:after="0" w:afterAutospacing="0" w:line="240" w:lineRule="auto"/>
              <w:rPr>
                <w:rFonts w:eastAsia="TimesNewRomanPSMT"/>
                <w:bCs/>
              </w:rPr>
            </w:pPr>
            <w:r>
              <w:rPr>
                <w:rFonts w:eastAsia="TimesNewRomanPSMT"/>
              </w:rPr>
              <w:t>All Level Five Hospital staff training programs are based on green training needs assessment.</w:t>
            </w:r>
          </w:p>
        </w:tc>
        <w:tc>
          <w:tcPr>
            <w:tcW w:w="780" w:type="dxa"/>
          </w:tcPr>
          <w:p w14:paraId="79BFF296" w14:textId="77777777" w:rsidR="009F33CD" w:rsidRDefault="009F33CD">
            <w:pPr>
              <w:spacing w:before="0" w:beforeAutospacing="0" w:after="0" w:afterAutospacing="0" w:line="240" w:lineRule="auto"/>
              <w:rPr>
                <w:rFonts w:eastAsia="TimesNewRomanPSMT"/>
                <w:bCs/>
              </w:rPr>
            </w:pPr>
          </w:p>
        </w:tc>
        <w:tc>
          <w:tcPr>
            <w:tcW w:w="697" w:type="dxa"/>
          </w:tcPr>
          <w:p w14:paraId="53CA5303" w14:textId="77777777" w:rsidR="009F33CD" w:rsidRDefault="009F33CD">
            <w:pPr>
              <w:spacing w:before="0" w:beforeAutospacing="0" w:after="0" w:afterAutospacing="0" w:line="240" w:lineRule="auto"/>
              <w:rPr>
                <w:rFonts w:eastAsia="TimesNewRomanPSMT"/>
                <w:bCs/>
              </w:rPr>
            </w:pPr>
          </w:p>
        </w:tc>
        <w:tc>
          <w:tcPr>
            <w:tcW w:w="820" w:type="dxa"/>
          </w:tcPr>
          <w:p w14:paraId="13DF70EF" w14:textId="77777777" w:rsidR="009F33CD" w:rsidRDefault="009F33CD">
            <w:pPr>
              <w:spacing w:before="0" w:beforeAutospacing="0" w:after="0" w:afterAutospacing="0" w:line="240" w:lineRule="auto"/>
              <w:rPr>
                <w:rFonts w:eastAsia="TimesNewRomanPSMT"/>
                <w:bCs/>
              </w:rPr>
            </w:pPr>
          </w:p>
        </w:tc>
        <w:tc>
          <w:tcPr>
            <w:tcW w:w="697" w:type="dxa"/>
          </w:tcPr>
          <w:p w14:paraId="7DFC484D" w14:textId="77777777" w:rsidR="009F33CD" w:rsidRDefault="009F33CD">
            <w:pPr>
              <w:spacing w:before="0" w:beforeAutospacing="0" w:after="0" w:afterAutospacing="0" w:line="240" w:lineRule="auto"/>
              <w:rPr>
                <w:rFonts w:eastAsia="TimesNewRomanPSMT"/>
                <w:bCs/>
              </w:rPr>
            </w:pPr>
          </w:p>
        </w:tc>
        <w:tc>
          <w:tcPr>
            <w:tcW w:w="780" w:type="dxa"/>
          </w:tcPr>
          <w:p w14:paraId="526EBD1D" w14:textId="77777777" w:rsidR="009F33CD" w:rsidRDefault="009F33CD">
            <w:pPr>
              <w:spacing w:before="0" w:beforeAutospacing="0" w:after="0" w:afterAutospacing="0" w:line="240" w:lineRule="auto"/>
              <w:rPr>
                <w:rFonts w:eastAsia="TimesNewRomanPSMT"/>
                <w:bCs/>
              </w:rPr>
            </w:pPr>
          </w:p>
        </w:tc>
      </w:tr>
      <w:tr w:rsidR="009F33CD" w14:paraId="4AC2D2C3" w14:textId="77777777">
        <w:tc>
          <w:tcPr>
            <w:tcW w:w="336" w:type="dxa"/>
          </w:tcPr>
          <w:p w14:paraId="7D07EF1C" w14:textId="77777777" w:rsidR="009F33CD" w:rsidRDefault="00E40740">
            <w:pPr>
              <w:spacing w:before="0" w:beforeAutospacing="0" w:after="0" w:afterAutospacing="0" w:line="240" w:lineRule="auto"/>
              <w:rPr>
                <w:rFonts w:eastAsia="TimesNewRomanPSMT"/>
                <w:bCs/>
              </w:rPr>
            </w:pPr>
            <w:r>
              <w:rPr>
                <w:rFonts w:eastAsia="TimesNewRomanPSMT"/>
              </w:rPr>
              <w:t>2</w:t>
            </w:r>
          </w:p>
        </w:tc>
        <w:tc>
          <w:tcPr>
            <w:tcW w:w="4434" w:type="dxa"/>
          </w:tcPr>
          <w:p w14:paraId="346D05FA" w14:textId="77777777" w:rsidR="009F33CD" w:rsidRDefault="00E40740">
            <w:pPr>
              <w:spacing w:before="0" w:beforeAutospacing="0" w:after="0" w:afterAutospacing="0" w:line="240" w:lineRule="auto"/>
              <w:rPr>
                <w:rFonts w:eastAsia="TimesNewRomanPSMT"/>
                <w:bCs/>
              </w:rPr>
            </w:pPr>
            <w:r>
              <w:rPr>
                <w:rFonts w:eastAsia="TimesNewRoman"/>
              </w:rPr>
              <w:t>Green training programs includes management of healthcare waste, safety and energy saving in offices.</w:t>
            </w:r>
          </w:p>
        </w:tc>
        <w:tc>
          <w:tcPr>
            <w:tcW w:w="780" w:type="dxa"/>
          </w:tcPr>
          <w:p w14:paraId="558B0496" w14:textId="77777777" w:rsidR="009F33CD" w:rsidRDefault="009F33CD">
            <w:pPr>
              <w:spacing w:before="0" w:beforeAutospacing="0" w:after="0" w:afterAutospacing="0" w:line="240" w:lineRule="auto"/>
              <w:rPr>
                <w:rFonts w:eastAsia="TimesNewRomanPSMT"/>
                <w:bCs/>
              </w:rPr>
            </w:pPr>
          </w:p>
        </w:tc>
        <w:tc>
          <w:tcPr>
            <w:tcW w:w="697" w:type="dxa"/>
          </w:tcPr>
          <w:p w14:paraId="513BD43E" w14:textId="77777777" w:rsidR="009F33CD" w:rsidRDefault="009F33CD">
            <w:pPr>
              <w:spacing w:before="0" w:beforeAutospacing="0" w:after="0" w:afterAutospacing="0" w:line="240" w:lineRule="auto"/>
              <w:rPr>
                <w:rFonts w:eastAsia="TimesNewRomanPSMT"/>
                <w:bCs/>
              </w:rPr>
            </w:pPr>
          </w:p>
        </w:tc>
        <w:tc>
          <w:tcPr>
            <w:tcW w:w="820" w:type="dxa"/>
          </w:tcPr>
          <w:p w14:paraId="7F4A41FC" w14:textId="77777777" w:rsidR="009F33CD" w:rsidRDefault="009F33CD">
            <w:pPr>
              <w:spacing w:before="0" w:beforeAutospacing="0" w:after="0" w:afterAutospacing="0" w:line="240" w:lineRule="auto"/>
              <w:rPr>
                <w:rFonts w:eastAsia="TimesNewRomanPSMT"/>
                <w:bCs/>
              </w:rPr>
            </w:pPr>
          </w:p>
        </w:tc>
        <w:tc>
          <w:tcPr>
            <w:tcW w:w="697" w:type="dxa"/>
          </w:tcPr>
          <w:p w14:paraId="5ED25D3A" w14:textId="77777777" w:rsidR="009F33CD" w:rsidRDefault="009F33CD">
            <w:pPr>
              <w:spacing w:before="0" w:beforeAutospacing="0" w:after="0" w:afterAutospacing="0" w:line="240" w:lineRule="auto"/>
              <w:rPr>
                <w:rFonts w:eastAsia="TimesNewRomanPSMT"/>
                <w:bCs/>
              </w:rPr>
            </w:pPr>
          </w:p>
        </w:tc>
        <w:tc>
          <w:tcPr>
            <w:tcW w:w="780" w:type="dxa"/>
          </w:tcPr>
          <w:p w14:paraId="474F5D80" w14:textId="77777777" w:rsidR="009F33CD" w:rsidRDefault="009F33CD">
            <w:pPr>
              <w:spacing w:before="0" w:beforeAutospacing="0" w:after="0" w:afterAutospacing="0" w:line="240" w:lineRule="auto"/>
              <w:rPr>
                <w:rFonts w:eastAsia="TimesNewRomanPSMT"/>
                <w:bCs/>
              </w:rPr>
            </w:pPr>
          </w:p>
        </w:tc>
      </w:tr>
      <w:tr w:rsidR="009F33CD" w14:paraId="78F6B9AA" w14:textId="77777777">
        <w:tc>
          <w:tcPr>
            <w:tcW w:w="336" w:type="dxa"/>
          </w:tcPr>
          <w:p w14:paraId="2F1C65D2" w14:textId="77777777" w:rsidR="009F33CD" w:rsidRDefault="00E40740">
            <w:pPr>
              <w:spacing w:before="0" w:beforeAutospacing="0" w:after="0" w:afterAutospacing="0" w:line="240" w:lineRule="auto"/>
              <w:rPr>
                <w:rFonts w:eastAsia="TimesNewRomanPSMT"/>
                <w:bCs/>
              </w:rPr>
            </w:pPr>
            <w:r>
              <w:rPr>
                <w:rFonts w:eastAsia="TimesNewRomanPSMT"/>
              </w:rPr>
              <w:t>3</w:t>
            </w:r>
          </w:p>
        </w:tc>
        <w:tc>
          <w:tcPr>
            <w:tcW w:w="4434" w:type="dxa"/>
          </w:tcPr>
          <w:p w14:paraId="6F7B011A" w14:textId="77777777" w:rsidR="009F33CD" w:rsidRDefault="00E40740">
            <w:pPr>
              <w:spacing w:before="0" w:beforeAutospacing="0" w:after="0" w:afterAutospacing="0" w:line="240" w:lineRule="auto"/>
              <w:rPr>
                <w:rFonts w:eastAsia="Calibri"/>
                <w:bCs/>
                <w:color w:val="000000"/>
              </w:rPr>
            </w:pPr>
            <w:r>
              <w:rPr>
                <w:rFonts w:eastAsia="Calibri"/>
                <w:color w:val="000000"/>
              </w:rPr>
              <w:t>This Level Five Hospital embraces</w:t>
            </w:r>
            <w:r>
              <w:t xml:space="preserve"> use of online and web-based training modules</w:t>
            </w:r>
            <w:r>
              <w:rPr>
                <w:rFonts w:eastAsia="Calibri"/>
                <w:color w:val="000000"/>
              </w:rPr>
              <w:t xml:space="preserve"> for improved healthcare services.</w:t>
            </w:r>
          </w:p>
        </w:tc>
        <w:tc>
          <w:tcPr>
            <w:tcW w:w="780" w:type="dxa"/>
          </w:tcPr>
          <w:p w14:paraId="5CE63E27" w14:textId="77777777" w:rsidR="009F33CD" w:rsidRDefault="009F33CD">
            <w:pPr>
              <w:spacing w:before="0" w:beforeAutospacing="0" w:after="0" w:afterAutospacing="0" w:line="240" w:lineRule="auto"/>
              <w:rPr>
                <w:rFonts w:eastAsia="TimesNewRomanPSMT"/>
                <w:bCs/>
              </w:rPr>
            </w:pPr>
          </w:p>
        </w:tc>
        <w:tc>
          <w:tcPr>
            <w:tcW w:w="697" w:type="dxa"/>
          </w:tcPr>
          <w:p w14:paraId="07EB33D1" w14:textId="77777777" w:rsidR="009F33CD" w:rsidRDefault="009F33CD">
            <w:pPr>
              <w:spacing w:before="0" w:beforeAutospacing="0" w:after="0" w:afterAutospacing="0" w:line="240" w:lineRule="auto"/>
              <w:rPr>
                <w:rFonts w:eastAsia="TimesNewRomanPSMT"/>
                <w:bCs/>
              </w:rPr>
            </w:pPr>
          </w:p>
        </w:tc>
        <w:tc>
          <w:tcPr>
            <w:tcW w:w="820" w:type="dxa"/>
          </w:tcPr>
          <w:p w14:paraId="652F7DA4" w14:textId="77777777" w:rsidR="009F33CD" w:rsidRDefault="009F33CD">
            <w:pPr>
              <w:spacing w:before="0" w:beforeAutospacing="0" w:after="0" w:afterAutospacing="0" w:line="240" w:lineRule="auto"/>
              <w:rPr>
                <w:rFonts w:eastAsia="TimesNewRomanPSMT"/>
                <w:bCs/>
              </w:rPr>
            </w:pPr>
          </w:p>
        </w:tc>
        <w:tc>
          <w:tcPr>
            <w:tcW w:w="697" w:type="dxa"/>
          </w:tcPr>
          <w:p w14:paraId="69F3D691" w14:textId="77777777" w:rsidR="009F33CD" w:rsidRDefault="009F33CD">
            <w:pPr>
              <w:spacing w:before="0" w:beforeAutospacing="0" w:after="0" w:afterAutospacing="0" w:line="240" w:lineRule="auto"/>
              <w:rPr>
                <w:rFonts w:eastAsia="TimesNewRomanPSMT"/>
                <w:bCs/>
              </w:rPr>
            </w:pPr>
          </w:p>
        </w:tc>
        <w:tc>
          <w:tcPr>
            <w:tcW w:w="780" w:type="dxa"/>
          </w:tcPr>
          <w:p w14:paraId="4A7B5849" w14:textId="77777777" w:rsidR="009F33CD" w:rsidRDefault="009F33CD">
            <w:pPr>
              <w:spacing w:before="0" w:beforeAutospacing="0" w:after="0" w:afterAutospacing="0" w:line="240" w:lineRule="auto"/>
              <w:rPr>
                <w:rFonts w:eastAsia="TimesNewRomanPSMT"/>
                <w:bCs/>
              </w:rPr>
            </w:pPr>
          </w:p>
        </w:tc>
      </w:tr>
      <w:tr w:rsidR="009F33CD" w14:paraId="5A92503F" w14:textId="77777777">
        <w:tc>
          <w:tcPr>
            <w:tcW w:w="336" w:type="dxa"/>
          </w:tcPr>
          <w:p w14:paraId="2C3DA419" w14:textId="77777777" w:rsidR="009F33CD" w:rsidRDefault="00E40740">
            <w:pPr>
              <w:spacing w:before="0" w:beforeAutospacing="0" w:after="0" w:afterAutospacing="0" w:line="240" w:lineRule="auto"/>
              <w:rPr>
                <w:rFonts w:eastAsia="TimesNewRomanPSMT"/>
                <w:bCs/>
              </w:rPr>
            </w:pPr>
            <w:r>
              <w:rPr>
                <w:rFonts w:eastAsia="TimesNewRomanPSMT"/>
              </w:rPr>
              <w:t>4</w:t>
            </w:r>
          </w:p>
        </w:tc>
        <w:tc>
          <w:tcPr>
            <w:tcW w:w="4434" w:type="dxa"/>
          </w:tcPr>
          <w:p w14:paraId="53CD17F1" w14:textId="77777777" w:rsidR="009F33CD" w:rsidRDefault="00E40740">
            <w:pPr>
              <w:spacing w:before="0" w:beforeAutospacing="0" w:after="0" w:afterAutospacing="0" w:line="240" w:lineRule="auto"/>
              <w:rPr>
                <w:rFonts w:eastAsia="Calibri"/>
                <w:bCs/>
                <w:color w:val="000000"/>
              </w:rPr>
            </w:pPr>
            <w:r>
              <w:rPr>
                <w:rFonts w:eastAsia="TimesNewRomanPSMT"/>
              </w:rPr>
              <w:t>Green Innovation (e.g. use of tele-medicine) is encouraged among clinicians in the hospital</w:t>
            </w:r>
          </w:p>
        </w:tc>
        <w:tc>
          <w:tcPr>
            <w:tcW w:w="780" w:type="dxa"/>
          </w:tcPr>
          <w:p w14:paraId="7E1C4F9D" w14:textId="77777777" w:rsidR="009F33CD" w:rsidRDefault="009F33CD">
            <w:pPr>
              <w:spacing w:before="0" w:beforeAutospacing="0" w:after="0" w:afterAutospacing="0" w:line="240" w:lineRule="auto"/>
              <w:rPr>
                <w:rFonts w:eastAsia="TimesNewRomanPSMT"/>
                <w:bCs/>
              </w:rPr>
            </w:pPr>
          </w:p>
        </w:tc>
        <w:tc>
          <w:tcPr>
            <w:tcW w:w="697" w:type="dxa"/>
          </w:tcPr>
          <w:p w14:paraId="1F273CCA" w14:textId="77777777" w:rsidR="009F33CD" w:rsidRDefault="009F33CD">
            <w:pPr>
              <w:spacing w:before="0" w:beforeAutospacing="0" w:after="0" w:afterAutospacing="0" w:line="240" w:lineRule="auto"/>
              <w:rPr>
                <w:rFonts w:eastAsia="TimesNewRomanPSMT"/>
                <w:bCs/>
              </w:rPr>
            </w:pPr>
          </w:p>
        </w:tc>
        <w:tc>
          <w:tcPr>
            <w:tcW w:w="820" w:type="dxa"/>
          </w:tcPr>
          <w:p w14:paraId="3F53C383" w14:textId="77777777" w:rsidR="009F33CD" w:rsidRDefault="009F33CD">
            <w:pPr>
              <w:spacing w:before="0" w:beforeAutospacing="0" w:after="0" w:afterAutospacing="0" w:line="240" w:lineRule="auto"/>
              <w:rPr>
                <w:rFonts w:eastAsia="TimesNewRomanPSMT"/>
                <w:bCs/>
              </w:rPr>
            </w:pPr>
          </w:p>
        </w:tc>
        <w:tc>
          <w:tcPr>
            <w:tcW w:w="697" w:type="dxa"/>
          </w:tcPr>
          <w:p w14:paraId="0B803FED" w14:textId="77777777" w:rsidR="009F33CD" w:rsidRDefault="009F33CD">
            <w:pPr>
              <w:spacing w:before="0" w:beforeAutospacing="0" w:after="0" w:afterAutospacing="0" w:line="240" w:lineRule="auto"/>
              <w:rPr>
                <w:rFonts w:eastAsia="TimesNewRomanPSMT"/>
                <w:bCs/>
              </w:rPr>
            </w:pPr>
          </w:p>
        </w:tc>
        <w:tc>
          <w:tcPr>
            <w:tcW w:w="780" w:type="dxa"/>
          </w:tcPr>
          <w:p w14:paraId="52211793" w14:textId="77777777" w:rsidR="009F33CD" w:rsidRDefault="009F33CD">
            <w:pPr>
              <w:spacing w:before="0" w:beforeAutospacing="0" w:after="0" w:afterAutospacing="0" w:line="240" w:lineRule="auto"/>
              <w:rPr>
                <w:rFonts w:eastAsia="TimesNewRomanPSMT"/>
                <w:bCs/>
              </w:rPr>
            </w:pPr>
          </w:p>
        </w:tc>
      </w:tr>
      <w:tr w:rsidR="009F33CD" w14:paraId="2348A370" w14:textId="77777777">
        <w:tc>
          <w:tcPr>
            <w:tcW w:w="336" w:type="dxa"/>
          </w:tcPr>
          <w:p w14:paraId="3A1D65AA" w14:textId="77777777" w:rsidR="009F33CD" w:rsidRDefault="00E40740">
            <w:pPr>
              <w:spacing w:before="0" w:beforeAutospacing="0" w:after="0" w:afterAutospacing="0" w:line="240" w:lineRule="auto"/>
              <w:rPr>
                <w:rFonts w:eastAsia="TimesNewRomanPSMT"/>
                <w:bCs/>
              </w:rPr>
            </w:pPr>
            <w:r>
              <w:rPr>
                <w:rFonts w:eastAsia="TimesNewRomanPSMT"/>
              </w:rPr>
              <w:t>5</w:t>
            </w:r>
          </w:p>
        </w:tc>
        <w:tc>
          <w:tcPr>
            <w:tcW w:w="4434" w:type="dxa"/>
          </w:tcPr>
          <w:p w14:paraId="14D2105D" w14:textId="77777777" w:rsidR="009F33CD" w:rsidRDefault="00E40740">
            <w:pPr>
              <w:spacing w:before="0" w:beforeAutospacing="0" w:after="0" w:afterAutospacing="0" w:line="240" w:lineRule="auto"/>
              <w:rPr>
                <w:rFonts w:eastAsia="TimesNewRomanPSMT"/>
                <w:bCs/>
              </w:rPr>
            </w:pPr>
            <w:r>
              <w:rPr>
                <w:sz w:val="23"/>
                <w:szCs w:val="23"/>
              </w:rPr>
              <w:t>New employees are inducted using online-modules and given soft copies about hospital services.</w:t>
            </w:r>
          </w:p>
        </w:tc>
        <w:tc>
          <w:tcPr>
            <w:tcW w:w="780" w:type="dxa"/>
          </w:tcPr>
          <w:p w14:paraId="59CA7EF3" w14:textId="77777777" w:rsidR="009F33CD" w:rsidRDefault="009F33CD">
            <w:pPr>
              <w:spacing w:before="0" w:beforeAutospacing="0" w:after="0" w:afterAutospacing="0" w:line="240" w:lineRule="auto"/>
              <w:rPr>
                <w:rFonts w:eastAsia="TimesNewRomanPSMT"/>
                <w:bCs/>
              </w:rPr>
            </w:pPr>
          </w:p>
        </w:tc>
        <w:tc>
          <w:tcPr>
            <w:tcW w:w="697" w:type="dxa"/>
          </w:tcPr>
          <w:p w14:paraId="48750ED6" w14:textId="77777777" w:rsidR="009F33CD" w:rsidRDefault="009F33CD">
            <w:pPr>
              <w:spacing w:before="0" w:beforeAutospacing="0" w:after="0" w:afterAutospacing="0" w:line="240" w:lineRule="auto"/>
              <w:rPr>
                <w:rFonts w:eastAsia="TimesNewRomanPSMT"/>
                <w:bCs/>
              </w:rPr>
            </w:pPr>
          </w:p>
        </w:tc>
        <w:tc>
          <w:tcPr>
            <w:tcW w:w="820" w:type="dxa"/>
          </w:tcPr>
          <w:p w14:paraId="4DC70A6C" w14:textId="77777777" w:rsidR="009F33CD" w:rsidRDefault="009F33CD">
            <w:pPr>
              <w:spacing w:before="0" w:beforeAutospacing="0" w:after="0" w:afterAutospacing="0" w:line="240" w:lineRule="auto"/>
              <w:rPr>
                <w:rFonts w:eastAsia="TimesNewRomanPSMT"/>
                <w:bCs/>
              </w:rPr>
            </w:pPr>
          </w:p>
        </w:tc>
        <w:tc>
          <w:tcPr>
            <w:tcW w:w="697" w:type="dxa"/>
          </w:tcPr>
          <w:p w14:paraId="67E7B38A" w14:textId="77777777" w:rsidR="009F33CD" w:rsidRDefault="009F33CD">
            <w:pPr>
              <w:spacing w:before="0" w:beforeAutospacing="0" w:after="0" w:afterAutospacing="0" w:line="240" w:lineRule="auto"/>
              <w:rPr>
                <w:rFonts w:eastAsia="TimesNewRomanPSMT"/>
                <w:bCs/>
              </w:rPr>
            </w:pPr>
          </w:p>
        </w:tc>
        <w:tc>
          <w:tcPr>
            <w:tcW w:w="780" w:type="dxa"/>
          </w:tcPr>
          <w:p w14:paraId="3EDF9AF6" w14:textId="77777777" w:rsidR="009F33CD" w:rsidRDefault="009F33CD">
            <w:pPr>
              <w:spacing w:before="0" w:beforeAutospacing="0" w:after="0" w:afterAutospacing="0" w:line="240" w:lineRule="auto"/>
              <w:rPr>
                <w:rFonts w:eastAsia="TimesNewRomanPSMT"/>
                <w:bCs/>
              </w:rPr>
            </w:pPr>
          </w:p>
        </w:tc>
      </w:tr>
      <w:tr w:rsidR="009F33CD" w14:paraId="57FDC853" w14:textId="77777777">
        <w:tc>
          <w:tcPr>
            <w:tcW w:w="336" w:type="dxa"/>
          </w:tcPr>
          <w:p w14:paraId="34B2D1E3" w14:textId="77777777" w:rsidR="009F33CD" w:rsidRDefault="00E40740">
            <w:pPr>
              <w:spacing w:before="0" w:beforeAutospacing="0" w:after="0" w:afterAutospacing="0" w:line="240" w:lineRule="auto"/>
              <w:rPr>
                <w:rFonts w:eastAsia="TimesNewRomanPSMT"/>
                <w:bCs/>
              </w:rPr>
            </w:pPr>
            <w:r>
              <w:rPr>
                <w:rFonts w:eastAsia="TimesNewRomanPSMT"/>
              </w:rPr>
              <w:t>6</w:t>
            </w:r>
          </w:p>
        </w:tc>
        <w:tc>
          <w:tcPr>
            <w:tcW w:w="4434" w:type="dxa"/>
          </w:tcPr>
          <w:p w14:paraId="4B2AAEE8" w14:textId="77777777" w:rsidR="009F33CD" w:rsidRDefault="00E40740">
            <w:pPr>
              <w:spacing w:before="0" w:beforeAutospacing="0" w:after="0" w:afterAutospacing="0" w:line="240" w:lineRule="auto"/>
              <w:rPr>
                <w:sz w:val="23"/>
                <w:szCs w:val="23"/>
              </w:rPr>
            </w:pPr>
            <w:r>
              <w:rPr>
                <w:rFonts w:eastAsia="TimesNewRomanPSMT"/>
              </w:rPr>
              <w:t>Managers of devolved healthcare services encourage electronic information-sharing about clean and safe work environment and performance standards</w:t>
            </w:r>
          </w:p>
        </w:tc>
        <w:tc>
          <w:tcPr>
            <w:tcW w:w="780" w:type="dxa"/>
          </w:tcPr>
          <w:p w14:paraId="3F84D206" w14:textId="77777777" w:rsidR="009F33CD" w:rsidRDefault="009F33CD">
            <w:pPr>
              <w:spacing w:before="0" w:beforeAutospacing="0" w:after="0" w:afterAutospacing="0" w:line="240" w:lineRule="auto"/>
              <w:rPr>
                <w:rFonts w:eastAsia="TimesNewRomanPSMT"/>
                <w:bCs/>
              </w:rPr>
            </w:pPr>
          </w:p>
        </w:tc>
        <w:tc>
          <w:tcPr>
            <w:tcW w:w="697" w:type="dxa"/>
          </w:tcPr>
          <w:p w14:paraId="6579FE8D" w14:textId="77777777" w:rsidR="009F33CD" w:rsidRDefault="009F33CD">
            <w:pPr>
              <w:spacing w:before="0" w:beforeAutospacing="0" w:after="0" w:afterAutospacing="0" w:line="240" w:lineRule="auto"/>
              <w:rPr>
                <w:rFonts w:eastAsia="TimesNewRomanPSMT"/>
                <w:bCs/>
              </w:rPr>
            </w:pPr>
          </w:p>
        </w:tc>
        <w:tc>
          <w:tcPr>
            <w:tcW w:w="820" w:type="dxa"/>
          </w:tcPr>
          <w:p w14:paraId="14276747" w14:textId="77777777" w:rsidR="009F33CD" w:rsidRDefault="009F33CD">
            <w:pPr>
              <w:spacing w:before="0" w:beforeAutospacing="0" w:after="0" w:afterAutospacing="0" w:line="240" w:lineRule="auto"/>
              <w:rPr>
                <w:rFonts w:eastAsia="TimesNewRomanPSMT"/>
                <w:bCs/>
              </w:rPr>
            </w:pPr>
          </w:p>
        </w:tc>
        <w:tc>
          <w:tcPr>
            <w:tcW w:w="697" w:type="dxa"/>
          </w:tcPr>
          <w:p w14:paraId="46B1D287" w14:textId="77777777" w:rsidR="009F33CD" w:rsidRDefault="009F33CD">
            <w:pPr>
              <w:spacing w:before="0" w:beforeAutospacing="0" w:after="0" w:afterAutospacing="0" w:line="240" w:lineRule="auto"/>
              <w:rPr>
                <w:rFonts w:eastAsia="TimesNewRomanPSMT"/>
                <w:bCs/>
              </w:rPr>
            </w:pPr>
          </w:p>
        </w:tc>
        <w:tc>
          <w:tcPr>
            <w:tcW w:w="780" w:type="dxa"/>
          </w:tcPr>
          <w:p w14:paraId="2EE666AD" w14:textId="77777777" w:rsidR="009F33CD" w:rsidRDefault="009F33CD">
            <w:pPr>
              <w:spacing w:before="0" w:beforeAutospacing="0" w:after="0" w:afterAutospacing="0" w:line="240" w:lineRule="auto"/>
              <w:rPr>
                <w:rFonts w:eastAsia="TimesNewRomanPSMT"/>
                <w:bCs/>
              </w:rPr>
            </w:pPr>
          </w:p>
        </w:tc>
      </w:tr>
      <w:tr w:rsidR="009F33CD" w14:paraId="7D71EA8B" w14:textId="77777777">
        <w:tc>
          <w:tcPr>
            <w:tcW w:w="336" w:type="dxa"/>
          </w:tcPr>
          <w:p w14:paraId="3DFAEAF3" w14:textId="77777777" w:rsidR="009F33CD" w:rsidRDefault="00E40740">
            <w:pPr>
              <w:spacing w:before="0" w:beforeAutospacing="0" w:after="0" w:afterAutospacing="0" w:line="240" w:lineRule="auto"/>
              <w:rPr>
                <w:rFonts w:eastAsia="TimesNewRomanPSMT"/>
                <w:bCs/>
              </w:rPr>
            </w:pPr>
            <w:r>
              <w:rPr>
                <w:rFonts w:eastAsia="TimesNewRomanPSMT"/>
              </w:rPr>
              <w:t>7</w:t>
            </w:r>
          </w:p>
        </w:tc>
        <w:tc>
          <w:tcPr>
            <w:tcW w:w="4434" w:type="dxa"/>
          </w:tcPr>
          <w:p w14:paraId="5E143B1A" w14:textId="77777777" w:rsidR="009F33CD" w:rsidRDefault="00E40740">
            <w:pPr>
              <w:spacing w:before="0" w:beforeAutospacing="0" w:after="0" w:afterAutospacing="0" w:line="240" w:lineRule="auto"/>
              <w:rPr>
                <w:rFonts w:eastAsia="TimesNewRomanPSMT"/>
                <w:bCs/>
              </w:rPr>
            </w:pPr>
            <w:r>
              <w:rPr>
                <w:color w:val="000000"/>
              </w:rPr>
              <w:t>Evaluating training</w:t>
            </w:r>
            <w:r>
              <w:t xml:space="preserve"> is conducted in this hospital to determine if employees have acquired eco-friendly skills, knowledge or attitudes that enhance their performance.</w:t>
            </w:r>
          </w:p>
        </w:tc>
        <w:tc>
          <w:tcPr>
            <w:tcW w:w="780" w:type="dxa"/>
          </w:tcPr>
          <w:p w14:paraId="492C3195" w14:textId="77777777" w:rsidR="009F33CD" w:rsidRDefault="009F33CD">
            <w:pPr>
              <w:spacing w:before="0" w:beforeAutospacing="0" w:after="0" w:afterAutospacing="0" w:line="240" w:lineRule="auto"/>
              <w:rPr>
                <w:rFonts w:eastAsia="TimesNewRomanPSMT"/>
                <w:bCs/>
              </w:rPr>
            </w:pPr>
          </w:p>
        </w:tc>
        <w:tc>
          <w:tcPr>
            <w:tcW w:w="697" w:type="dxa"/>
          </w:tcPr>
          <w:p w14:paraId="3F76F280" w14:textId="77777777" w:rsidR="009F33CD" w:rsidRDefault="009F33CD">
            <w:pPr>
              <w:spacing w:before="0" w:beforeAutospacing="0" w:after="0" w:afterAutospacing="0" w:line="240" w:lineRule="auto"/>
              <w:rPr>
                <w:rFonts w:eastAsia="TimesNewRomanPSMT"/>
                <w:bCs/>
              </w:rPr>
            </w:pPr>
          </w:p>
        </w:tc>
        <w:tc>
          <w:tcPr>
            <w:tcW w:w="820" w:type="dxa"/>
          </w:tcPr>
          <w:p w14:paraId="5141FC61" w14:textId="77777777" w:rsidR="009F33CD" w:rsidRDefault="009F33CD">
            <w:pPr>
              <w:spacing w:before="0" w:beforeAutospacing="0" w:after="0" w:afterAutospacing="0" w:line="240" w:lineRule="auto"/>
              <w:rPr>
                <w:rFonts w:eastAsia="TimesNewRomanPSMT"/>
                <w:bCs/>
              </w:rPr>
            </w:pPr>
          </w:p>
        </w:tc>
        <w:tc>
          <w:tcPr>
            <w:tcW w:w="697" w:type="dxa"/>
          </w:tcPr>
          <w:p w14:paraId="6B7BF3F2" w14:textId="77777777" w:rsidR="009F33CD" w:rsidRDefault="009F33CD">
            <w:pPr>
              <w:spacing w:before="0" w:beforeAutospacing="0" w:after="0" w:afterAutospacing="0" w:line="240" w:lineRule="auto"/>
              <w:rPr>
                <w:rFonts w:eastAsia="TimesNewRomanPSMT"/>
                <w:bCs/>
              </w:rPr>
            </w:pPr>
          </w:p>
        </w:tc>
        <w:tc>
          <w:tcPr>
            <w:tcW w:w="780" w:type="dxa"/>
          </w:tcPr>
          <w:p w14:paraId="0D4A7B89" w14:textId="77777777" w:rsidR="009F33CD" w:rsidRDefault="009F33CD">
            <w:pPr>
              <w:spacing w:before="0" w:beforeAutospacing="0" w:after="0" w:afterAutospacing="0" w:line="240" w:lineRule="auto"/>
              <w:rPr>
                <w:rFonts w:eastAsia="TimesNewRomanPSMT"/>
                <w:bCs/>
              </w:rPr>
            </w:pPr>
          </w:p>
        </w:tc>
      </w:tr>
      <w:tr w:rsidR="009F33CD" w14:paraId="58D8558B" w14:textId="77777777">
        <w:tc>
          <w:tcPr>
            <w:tcW w:w="336" w:type="dxa"/>
          </w:tcPr>
          <w:p w14:paraId="163FC40B" w14:textId="77777777" w:rsidR="009F33CD" w:rsidRDefault="00E40740">
            <w:pPr>
              <w:spacing w:before="0" w:beforeAutospacing="0" w:after="0" w:afterAutospacing="0" w:line="240" w:lineRule="auto"/>
              <w:rPr>
                <w:rFonts w:eastAsia="TimesNewRomanPSMT"/>
                <w:bCs/>
              </w:rPr>
            </w:pPr>
            <w:r>
              <w:rPr>
                <w:rFonts w:eastAsia="TimesNewRomanPSMT"/>
              </w:rPr>
              <w:t>8</w:t>
            </w:r>
          </w:p>
        </w:tc>
        <w:tc>
          <w:tcPr>
            <w:tcW w:w="4434" w:type="dxa"/>
          </w:tcPr>
          <w:p w14:paraId="2750A30E" w14:textId="77777777" w:rsidR="009F33CD" w:rsidRDefault="00E40740">
            <w:pPr>
              <w:spacing w:before="0" w:beforeAutospacing="0" w:after="0" w:afterAutospacing="0" w:line="240" w:lineRule="auto"/>
              <w:rPr>
                <w:rFonts w:eastAsia="TimesNewRomanPSMT"/>
                <w:bCs/>
              </w:rPr>
            </w:pPr>
            <w:r>
              <w:rPr>
                <w:rFonts w:eastAsia="TimesNewRomanPSMT"/>
              </w:rPr>
              <w:t>Green training in devolved healthcare services has a significant influence on healthcare performance.</w:t>
            </w:r>
          </w:p>
        </w:tc>
        <w:tc>
          <w:tcPr>
            <w:tcW w:w="780" w:type="dxa"/>
          </w:tcPr>
          <w:p w14:paraId="5B8C0762" w14:textId="77777777" w:rsidR="009F33CD" w:rsidRDefault="009F33CD">
            <w:pPr>
              <w:spacing w:before="0" w:beforeAutospacing="0" w:after="0" w:afterAutospacing="0" w:line="240" w:lineRule="auto"/>
              <w:rPr>
                <w:rFonts w:eastAsia="TimesNewRomanPSMT"/>
                <w:bCs/>
              </w:rPr>
            </w:pPr>
          </w:p>
        </w:tc>
        <w:tc>
          <w:tcPr>
            <w:tcW w:w="697" w:type="dxa"/>
          </w:tcPr>
          <w:p w14:paraId="26041664" w14:textId="77777777" w:rsidR="009F33CD" w:rsidRDefault="009F33CD">
            <w:pPr>
              <w:spacing w:before="0" w:beforeAutospacing="0" w:after="0" w:afterAutospacing="0" w:line="240" w:lineRule="auto"/>
              <w:rPr>
                <w:rFonts w:eastAsia="TimesNewRomanPSMT"/>
                <w:bCs/>
              </w:rPr>
            </w:pPr>
          </w:p>
        </w:tc>
        <w:tc>
          <w:tcPr>
            <w:tcW w:w="820" w:type="dxa"/>
          </w:tcPr>
          <w:p w14:paraId="05DBC15D" w14:textId="77777777" w:rsidR="009F33CD" w:rsidRDefault="009F33CD">
            <w:pPr>
              <w:spacing w:before="0" w:beforeAutospacing="0" w:after="0" w:afterAutospacing="0" w:line="240" w:lineRule="auto"/>
              <w:rPr>
                <w:rFonts w:eastAsia="TimesNewRomanPSMT"/>
                <w:bCs/>
              </w:rPr>
            </w:pPr>
          </w:p>
        </w:tc>
        <w:tc>
          <w:tcPr>
            <w:tcW w:w="697" w:type="dxa"/>
          </w:tcPr>
          <w:p w14:paraId="5A95C7C1" w14:textId="77777777" w:rsidR="009F33CD" w:rsidRDefault="009F33CD">
            <w:pPr>
              <w:spacing w:before="0" w:beforeAutospacing="0" w:after="0" w:afterAutospacing="0" w:line="240" w:lineRule="auto"/>
              <w:rPr>
                <w:rFonts w:eastAsia="TimesNewRomanPSMT"/>
                <w:bCs/>
              </w:rPr>
            </w:pPr>
          </w:p>
        </w:tc>
        <w:tc>
          <w:tcPr>
            <w:tcW w:w="780" w:type="dxa"/>
          </w:tcPr>
          <w:p w14:paraId="3F1D0F14" w14:textId="77777777" w:rsidR="009F33CD" w:rsidRDefault="009F33CD">
            <w:pPr>
              <w:spacing w:before="0" w:beforeAutospacing="0" w:after="0" w:afterAutospacing="0" w:line="240" w:lineRule="auto"/>
              <w:rPr>
                <w:rFonts w:eastAsia="TimesNewRomanPSMT"/>
                <w:bCs/>
              </w:rPr>
            </w:pPr>
          </w:p>
        </w:tc>
      </w:tr>
    </w:tbl>
    <w:p w14:paraId="7E56A92F" w14:textId="77777777" w:rsidR="009F33CD" w:rsidRDefault="00E40740">
      <w:pPr>
        <w:spacing w:before="0" w:beforeAutospacing="0"/>
        <w:rPr>
          <w:rFonts w:eastAsia="TimesNewRomanPSMT"/>
          <w:bCs/>
        </w:rPr>
      </w:pPr>
      <w:r>
        <w:rPr>
          <w:rFonts w:eastAsia="TimesNewRomanPSMT"/>
        </w:rPr>
        <w:t>9. Suggest possible ways in which green training practice can be improved in devolved healthcare services.</w:t>
      </w:r>
    </w:p>
    <w:p w14:paraId="5DA55B4C" w14:textId="77777777" w:rsidR="009F33CD" w:rsidRDefault="00E40740">
      <w:pPr>
        <w:spacing w:before="0" w:beforeAutospacing="0"/>
        <w:rPr>
          <w:rFonts w:eastAsia="TimesNewRomanPSMT"/>
        </w:rPr>
      </w:pPr>
      <w:r>
        <w:rPr>
          <w:rFonts w:eastAsia="TimesNewRomanPSMT"/>
        </w:rPr>
        <w:t>____________________________________________________________________________________________________________________________________________________________________________________________________________</w:t>
      </w:r>
    </w:p>
    <w:p w14:paraId="2BAC49C1" w14:textId="77777777" w:rsidR="008B7355" w:rsidRDefault="008B7355">
      <w:pPr>
        <w:autoSpaceDE/>
        <w:autoSpaceDN/>
        <w:adjustRightInd/>
        <w:spacing w:before="0" w:beforeAutospacing="0" w:after="0" w:afterAutospacing="0" w:line="240" w:lineRule="auto"/>
        <w:jc w:val="left"/>
        <w:rPr>
          <w:rFonts w:eastAsia="Calibri"/>
          <w:b/>
        </w:rPr>
      </w:pPr>
      <w:r>
        <w:rPr>
          <w:rFonts w:eastAsia="Calibri"/>
          <w:b/>
        </w:rPr>
        <w:br w:type="page"/>
      </w:r>
    </w:p>
    <w:p w14:paraId="0B962E1C" w14:textId="77777777" w:rsidR="009F33CD" w:rsidRDefault="00E40740">
      <w:pPr>
        <w:spacing w:before="0" w:beforeAutospacing="0"/>
        <w:rPr>
          <w:rFonts w:eastAsia="Calibri"/>
          <w:b/>
        </w:rPr>
      </w:pPr>
      <w:r>
        <w:rPr>
          <w:rFonts w:eastAsia="Calibri"/>
          <w:b/>
        </w:rPr>
        <w:lastRenderedPageBreak/>
        <w:t xml:space="preserve">SECTION D: GREEN OCCUPATIONAL SAFETY AND HEALTH    </w:t>
      </w:r>
    </w:p>
    <w:p w14:paraId="1B73961B" w14:textId="77777777" w:rsidR="009F33CD" w:rsidRDefault="00E40740">
      <w:pPr>
        <w:spacing w:before="0" w:beforeAutospacing="0"/>
        <w:rPr>
          <w:rFonts w:eastAsia="Calibri"/>
          <w:b/>
        </w:rPr>
      </w:pPr>
      <w:r>
        <w:rPr>
          <w:rFonts w:eastAsia="TimesNewRomanPSMT"/>
        </w:rPr>
        <w:t xml:space="preserve">Green occupational safety and health in devolved healthcare services is a critical component of traditional HRM practices. This is because it affects the level at which the hospital is able to protect employee safety and health to improve performance, while being sensitive to the environment. Therefore, you are 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4134"/>
        <w:gridCol w:w="775"/>
        <w:gridCol w:w="687"/>
        <w:gridCol w:w="815"/>
        <w:gridCol w:w="687"/>
        <w:gridCol w:w="775"/>
      </w:tblGrid>
      <w:tr w:rsidR="009F33CD" w:rsidRPr="008B7355" w14:paraId="68EF4AC8" w14:textId="77777777">
        <w:tc>
          <w:tcPr>
            <w:tcW w:w="337" w:type="dxa"/>
          </w:tcPr>
          <w:p w14:paraId="3C524A8C" w14:textId="77777777" w:rsidR="009F33CD" w:rsidRPr="008B7355" w:rsidRDefault="009F33CD">
            <w:pPr>
              <w:spacing w:before="0" w:beforeAutospacing="0" w:after="0" w:afterAutospacing="0" w:line="240" w:lineRule="auto"/>
              <w:rPr>
                <w:rFonts w:eastAsia="TimesNewRomanPSMT"/>
                <w:bCs/>
                <w:sz w:val="22"/>
                <w:szCs w:val="18"/>
              </w:rPr>
            </w:pPr>
          </w:p>
        </w:tc>
        <w:tc>
          <w:tcPr>
            <w:tcW w:w="4435" w:type="dxa"/>
          </w:tcPr>
          <w:p w14:paraId="3C02B44D"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 xml:space="preserve">Green occupational safety and health    </w:t>
            </w:r>
          </w:p>
        </w:tc>
        <w:tc>
          <w:tcPr>
            <w:tcW w:w="780" w:type="dxa"/>
          </w:tcPr>
          <w:p w14:paraId="4ECBC6D6"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SD=1</w:t>
            </w:r>
          </w:p>
        </w:tc>
        <w:tc>
          <w:tcPr>
            <w:tcW w:w="696" w:type="dxa"/>
          </w:tcPr>
          <w:p w14:paraId="7A97E9EA"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D=2</w:t>
            </w:r>
          </w:p>
        </w:tc>
        <w:tc>
          <w:tcPr>
            <w:tcW w:w="820" w:type="dxa"/>
          </w:tcPr>
          <w:p w14:paraId="30F59E9C"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UD=3</w:t>
            </w:r>
          </w:p>
        </w:tc>
        <w:tc>
          <w:tcPr>
            <w:tcW w:w="696" w:type="dxa"/>
          </w:tcPr>
          <w:p w14:paraId="59D29007"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A=4</w:t>
            </w:r>
          </w:p>
        </w:tc>
        <w:tc>
          <w:tcPr>
            <w:tcW w:w="780" w:type="dxa"/>
          </w:tcPr>
          <w:p w14:paraId="7DEC2FB6" w14:textId="77777777" w:rsidR="009F33CD" w:rsidRPr="008B7355" w:rsidRDefault="00E40740">
            <w:pPr>
              <w:spacing w:before="0" w:beforeAutospacing="0" w:after="0" w:afterAutospacing="0" w:line="240" w:lineRule="auto"/>
              <w:rPr>
                <w:rFonts w:eastAsia="TimesNewRomanPSMT"/>
                <w:b/>
                <w:bCs/>
                <w:sz w:val="22"/>
                <w:szCs w:val="18"/>
              </w:rPr>
            </w:pPr>
            <w:r w:rsidRPr="008B7355">
              <w:rPr>
                <w:rFonts w:eastAsia="TimesNewRomanPSMT"/>
                <w:b/>
                <w:sz w:val="22"/>
                <w:szCs w:val="18"/>
              </w:rPr>
              <w:t>SA=5</w:t>
            </w:r>
          </w:p>
        </w:tc>
      </w:tr>
      <w:tr w:rsidR="009F33CD" w:rsidRPr="008B7355" w14:paraId="301AA924" w14:textId="77777777">
        <w:tc>
          <w:tcPr>
            <w:tcW w:w="337" w:type="dxa"/>
          </w:tcPr>
          <w:p w14:paraId="3F14C9A0"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1</w:t>
            </w:r>
          </w:p>
        </w:tc>
        <w:tc>
          <w:tcPr>
            <w:tcW w:w="4435" w:type="dxa"/>
          </w:tcPr>
          <w:p w14:paraId="1B87D957" w14:textId="77777777" w:rsidR="009F33CD" w:rsidRPr="008B7355" w:rsidRDefault="00E40740">
            <w:pPr>
              <w:spacing w:before="0" w:beforeAutospacing="0" w:after="0" w:afterAutospacing="0" w:line="240" w:lineRule="auto"/>
              <w:rPr>
                <w:rFonts w:eastAsia="TimesNewRomanPSMT"/>
                <w:bCs/>
                <w:sz w:val="22"/>
                <w:szCs w:val="18"/>
              </w:rPr>
            </w:pPr>
            <w:r w:rsidRPr="008B7355">
              <w:rPr>
                <w:rStyle w:val="A4"/>
                <w:sz w:val="22"/>
                <w:szCs w:val="18"/>
              </w:rPr>
              <w:t>Green occupational safety and health management system usually reduces accidents and injury rates, while at the same time it improves the organization performance.</w:t>
            </w:r>
          </w:p>
        </w:tc>
        <w:tc>
          <w:tcPr>
            <w:tcW w:w="780" w:type="dxa"/>
          </w:tcPr>
          <w:p w14:paraId="45A9ACC1"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19555343"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7968016F"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260C0632"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36568435"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351E2FC1" w14:textId="77777777">
        <w:tc>
          <w:tcPr>
            <w:tcW w:w="337" w:type="dxa"/>
          </w:tcPr>
          <w:p w14:paraId="09D79349"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2</w:t>
            </w:r>
          </w:p>
        </w:tc>
        <w:tc>
          <w:tcPr>
            <w:tcW w:w="4435" w:type="dxa"/>
          </w:tcPr>
          <w:p w14:paraId="2E3A1CC1" w14:textId="77777777" w:rsidR="009F33CD" w:rsidRPr="008B7355" w:rsidRDefault="00E40740">
            <w:pPr>
              <w:spacing w:before="0" w:beforeAutospacing="0" w:after="0" w:afterAutospacing="0" w:line="240" w:lineRule="auto"/>
              <w:rPr>
                <w:rFonts w:eastAsia="Calibri"/>
                <w:bCs/>
                <w:sz w:val="22"/>
                <w:szCs w:val="18"/>
              </w:rPr>
            </w:pPr>
            <w:r w:rsidRPr="008B7355">
              <w:rPr>
                <w:rFonts w:eastAsia="TimesNewRomanPSMT"/>
                <w:sz w:val="22"/>
                <w:szCs w:val="18"/>
              </w:rPr>
              <w:t>Paperless offices are encouraged in the hospital to create clean and safe work environment.</w:t>
            </w:r>
          </w:p>
        </w:tc>
        <w:tc>
          <w:tcPr>
            <w:tcW w:w="780" w:type="dxa"/>
          </w:tcPr>
          <w:p w14:paraId="066DEBAA"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41F67A2D"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27B9EAA3"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226B4456"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082957E9"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0DA9A432" w14:textId="77777777">
        <w:tc>
          <w:tcPr>
            <w:tcW w:w="337" w:type="dxa"/>
          </w:tcPr>
          <w:p w14:paraId="621ADC19"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3</w:t>
            </w:r>
          </w:p>
        </w:tc>
        <w:tc>
          <w:tcPr>
            <w:tcW w:w="4435" w:type="dxa"/>
          </w:tcPr>
          <w:p w14:paraId="3B7A94E2"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 xml:space="preserve"> </w:t>
            </w:r>
            <w:r w:rsidRPr="008B7355">
              <w:rPr>
                <w:rFonts w:eastAsia="TimesNewRoman"/>
                <w:sz w:val="22"/>
                <w:szCs w:val="18"/>
              </w:rPr>
              <w:t>Eco-friendly disposal methods such as waste minimization, generation, segregation, re-use and recycling are encouraged among healthcare employees to create healthy and safe environment.</w:t>
            </w:r>
          </w:p>
        </w:tc>
        <w:tc>
          <w:tcPr>
            <w:tcW w:w="780" w:type="dxa"/>
          </w:tcPr>
          <w:p w14:paraId="68AE67DC"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05D340E3"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146CEF67"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3228F8F8"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68E3FE8F"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4B09C604" w14:textId="77777777">
        <w:tc>
          <w:tcPr>
            <w:tcW w:w="337" w:type="dxa"/>
          </w:tcPr>
          <w:p w14:paraId="400CC963"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4</w:t>
            </w:r>
          </w:p>
        </w:tc>
        <w:tc>
          <w:tcPr>
            <w:tcW w:w="4435" w:type="dxa"/>
          </w:tcPr>
          <w:p w14:paraId="4596AFC9"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The employees are provided with eco-friendly safety gadgets (e.g. gloves) to enhance performance.</w:t>
            </w:r>
          </w:p>
        </w:tc>
        <w:tc>
          <w:tcPr>
            <w:tcW w:w="780" w:type="dxa"/>
          </w:tcPr>
          <w:p w14:paraId="40E27D2C"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4BE8E1F1"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4030B60A"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27C46F28"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35E91CFC"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1FCD2F31" w14:textId="77777777">
        <w:tc>
          <w:tcPr>
            <w:tcW w:w="337" w:type="dxa"/>
          </w:tcPr>
          <w:p w14:paraId="50FE5275"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5</w:t>
            </w:r>
          </w:p>
        </w:tc>
        <w:tc>
          <w:tcPr>
            <w:tcW w:w="4435" w:type="dxa"/>
          </w:tcPr>
          <w:p w14:paraId="47AE2586"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Green employee occupational safety and health audits are done regularly to ensure safe work environment.</w:t>
            </w:r>
          </w:p>
        </w:tc>
        <w:tc>
          <w:tcPr>
            <w:tcW w:w="780" w:type="dxa"/>
          </w:tcPr>
          <w:p w14:paraId="7EE26968"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4EF2B1EB"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4FA05704"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55371BB4"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3E2EADC5"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1BDC4C04" w14:textId="77777777">
        <w:tc>
          <w:tcPr>
            <w:tcW w:w="337" w:type="dxa"/>
          </w:tcPr>
          <w:p w14:paraId="1D982F5D"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6</w:t>
            </w:r>
          </w:p>
        </w:tc>
        <w:tc>
          <w:tcPr>
            <w:tcW w:w="4435" w:type="dxa"/>
          </w:tcPr>
          <w:p w14:paraId="725DBDFA"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Calibri"/>
                <w:sz w:val="22"/>
                <w:szCs w:val="18"/>
              </w:rPr>
              <w:t>The hospital buildings are spacious with ventilation and natural lighting to save energy and reduce infection.</w:t>
            </w:r>
          </w:p>
        </w:tc>
        <w:tc>
          <w:tcPr>
            <w:tcW w:w="780" w:type="dxa"/>
          </w:tcPr>
          <w:p w14:paraId="114E0CB2"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7A49B94A"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795647A9"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7E08214A"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18F220AD" w14:textId="77777777" w:rsidR="009F33CD" w:rsidRPr="008B7355" w:rsidRDefault="009F33CD">
            <w:pPr>
              <w:spacing w:before="0" w:beforeAutospacing="0" w:after="0" w:afterAutospacing="0" w:line="240" w:lineRule="auto"/>
              <w:rPr>
                <w:rFonts w:eastAsia="TimesNewRomanPSMT"/>
                <w:bCs/>
                <w:sz w:val="22"/>
                <w:szCs w:val="18"/>
              </w:rPr>
            </w:pPr>
          </w:p>
        </w:tc>
      </w:tr>
      <w:tr w:rsidR="009F33CD" w:rsidRPr="008B7355" w14:paraId="58250449" w14:textId="77777777">
        <w:tc>
          <w:tcPr>
            <w:tcW w:w="337" w:type="dxa"/>
          </w:tcPr>
          <w:p w14:paraId="6D5CEDA6"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TimesNewRomanPSMT"/>
                <w:sz w:val="22"/>
                <w:szCs w:val="18"/>
              </w:rPr>
              <w:t>7</w:t>
            </w:r>
          </w:p>
        </w:tc>
        <w:tc>
          <w:tcPr>
            <w:tcW w:w="4435" w:type="dxa"/>
          </w:tcPr>
          <w:p w14:paraId="2115DBFD" w14:textId="77777777" w:rsidR="009F33CD" w:rsidRPr="008B7355" w:rsidRDefault="00E40740">
            <w:pPr>
              <w:spacing w:before="0" w:beforeAutospacing="0" w:after="0" w:afterAutospacing="0" w:line="240" w:lineRule="auto"/>
              <w:rPr>
                <w:rFonts w:eastAsia="TimesNewRomanPSMT"/>
                <w:bCs/>
                <w:sz w:val="22"/>
                <w:szCs w:val="18"/>
              </w:rPr>
            </w:pPr>
            <w:r w:rsidRPr="008B7355">
              <w:rPr>
                <w:rFonts w:eastAsia="Calibri"/>
                <w:sz w:val="22"/>
                <w:szCs w:val="18"/>
              </w:rPr>
              <w:t>Green Occupational safety and health to a large extent affects the performance</w:t>
            </w:r>
            <w:r w:rsidRPr="008B7355">
              <w:rPr>
                <w:rFonts w:eastAsia="TimesNewRomanPSMT"/>
                <w:sz w:val="22"/>
                <w:szCs w:val="18"/>
              </w:rPr>
              <w:t xml:space="preserve"> of devolved healthcare services </w:t>
            </w:r>
          </w:p>
        </w:tc>
        <w:tc>
          <w:tcPr>
            <w:tcW w:w="780" w:type="dxa"/>
          </w:tcPr>
          <w:p w14:paraId="5EA534ED"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02EC54E6" w14:textId="77777777" w:rsidR="009F33CD" w:rsidRPr="008B7355" w:rsidRDefault="009F33CD">
            <w:pPr>
              <w:spacing w:before="0" w:beforeAutospacing="0" w:after="0" w:afterAutospacing="0" w:line="240" w:lineRule="auto"/>
              <w:rPr>
                <w:rFonts w:eastAsia="TimesNewRomanPSMT"/>
                <w:bCs/>
                <w:sz w:val="22"/>
                <w:szCs w:val="18"/>
              </w:rPr>
            </w:pPr>
          </w:p>
        </w:tc>
        <w:tc>
          <w:tcPr>
            <w:tcW w:w="820" w:type="dxa"/>
          </w:tcPr>
          <w:p w14:paraId="3F81A524" w14:textId="77777777" w:rsidR="009F33CD" w:rsidRPr="008B7355" w:rsidRDefault="009F33CD">
            <w:pPr>
              <w:spacing w:before="0" w:beforeAutospacing="0" w:after="0" w:afterAutospacing="0" w:line="240" w:lineRule="auto"/>
              <w:rPr>
                <w:rFonts w:eastAsia="TimesNewRomanPSMT"/>
                <w:bCs/>
                <w:sz w:val="22"/>
                <w:szCs w:val="18"/>
              </w:rPr>
            </w:pPr>
          </w:p>
        </w:tc>
        <w:tc>
          <w:tcPr>
            <w:tcW w:w="696" w:type="dxa"/>
          </w:tcPr>
          <w:p w14:paraId="6BA928A6" w14:textId="77777777" w:rsidR="009F33CD" w:rsidRPr="008B7355" w:rsidRDefault="009F33CD">
            <w:pPr>
              <w:spacing w:before="0" w:beforeAutospacing="0" w:after="0" w:afterAutospacing="0" w:line="240" w:lineRule="auto"/>
              <w:rPr>
                <w:rFonts w:eastAsia="TimesNewRomanPSMT"/>
                <w:bCs/>
                <w:sz w:val="22"/>
                <w:szCs w:val="18"/>
              </w:rPr>
            </w:pPr>
          </w:p>
        </w:tc>
        <w:tc>
          <w:tcPr>
            <w:tcW w:w="780" w:type="dxa"/>
          </w:tcPr>
          <w:p w14:paraId="53895F97" w14:textId="77777777" w:rsidR="009F33CD" w:rsidRPr="008B7355" w:rsidRDefault="009F33CD">
            <w:pPr>
              <w:spacing w:before="0" w:beforeAutospacing="0" w:after="0" w:afterAutospacing="0" w:line="240" w:lineRule="auto"/>
              <w:rPr>
                <w:rFonts w:eastAsia="TimesNewRomanPSMT"/>
                <w:bCs/>
                <w:sz w:val="22"/>
                <w:szCs w:val="18"/>
              </w:rPr>
            </w:pPr>
          </w:p>
        </w:tc>
      </w:tr>
    </w:tbl>
    <w:p w14:paraId="1F225BF5" w14:textId="77777777" w:rsidR="009F33CD" w:rsidRDefault="00E40740">
      <w:pPr>
        <w:spacing w:before="0" w:beforeAutospacing="0"/>
        <w:rPr>
          <w:rFonts w:eastAsia="TimesNewRomanPSMT"/>
          <w:bCs/>
        </w:rPr>
      </w:pPr>
      <w:r>
        <w:rPr>
          <w:rFonts w:eastAsia="TimesNewRomanPSMT"/>
        </w:rPr>
        <w:t>8. In what ways can green employee occupational safety and health practice be improved to enhance performance of devolved healthcare services?</w:t>
      </w:r>
    </w:p>
    <w:p w14:paraId="042E8E04" w14:textId="77777777" w:rsidR="009F33CD" w:rsidRDefault="00E40740">
      <w:pPr>
        <w:spacing w:before="0" w:beforeAutospacing="0"/>
        <w:rPr>
          <w:rFonts w:eastAsia="TimesNewRomanPSMT"/>
          <w:bCs/>
        </w:rPr>
      </w:pPr>
      <w:r>
        <w:rPr>
          <w:rFonts w:eastAsia="TimesNewRomanPSMT"/>
        </w:rPr>
        <w:t>____________________________________________________________________________________________________________________________________________________________________________________________________________</w:t>
      </w:r>
    </w:p>
    <w:p w14:paraId="090AD1EC" w14:textId="77777777" w:rsidR="009F33CD" w:rsidRDefault="008B7355" w:rsidP="008B7355">
      <w:pPr>
        <w:autoSpaceDE/>
        <w:autoSpaceDN/>
        <w:adjustRightInd/>
        <w:spacing w:before="0" w:beforeAutospacing="0" w:after="0" w:afterAutospacing="0" w:line="240" w:lineRule="auto"/>
        <w:jc w:val="left"/>
        <w:rPr>
          <w:rFonts w:eastAsia="Calibri"/>
          <w:b/>
        </w:rPr>
      </w:pPr>
      <w:r>
        <w:rPr>
          <w:rFonts w:eastAsia="Calibri"/>
          <w:b/>
        </w:rPr>
        <w:br w:type="page"/>
      </w:r>
      <w:r w:rsidR="00E40740">
        <w:rPr>
          <w:rFonts w:eastAsia="Calibri"/>
          <w:b/>
        </w:rPr>
        <w:lastRenderedPageBreak/>
        <w:t>SECTION E: GREEN PERFORMANCE EVALUATION</w:t>
      </w:r>
    </w:p>
    <w:p w14:paraId="7F24137C" w14:textId="77777777" w:rsidR="009F33CD" w:rsidRDefault="00E40740">
      <w:pPr>
        <w:spacing w:before="0" w:beforeAutospacing="0"/>
        <w:rPr>
          <w:rFonts w:eastAsia="Calibri"/>
          <w:b/>
        </w:rPr>
      </w:pPr>
      <w:r>
        <w:rPr>
          <w:rFonts w:eastAsia="TimesNewRomanPSMT"/>
        </w:rPr>
        <w:t xml:space="preserve">Green performance evaluation in devolved healthcare services is a critical component of GHRM practices. </w:t>
      </w:r>
      <w:r>
        <w:t>Green performance evaluation requires putting in place standards for the entire hospital regarding environmental management activities that influence hospital performance.</w:t>
      </w:r>
      <w:r>
        <w:rPr>
          <w:rFonts w:eastAsia="TimesNewRomanPSMT"/>
        </w:rPr>
        <w:t xml:space="preserve"> Therefore, you are 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4111"/>
        <w:gridCol w:w="780"/>
        <w:gridCol w:w="691"/>
        <w:gridCol w:w="820"/>
        <w:gridCol w:w="691"/>
        <w:gridCol w:w="780"/>
      </w:tblGrid>
      <w:tr w:rsidR="009F33CD" w14:paraId="2A29A347" w14:textId="77777777">
        <w:tc>
          <w:tcPr>
            <w:tcW w:w="336" w:type="dxa"/>
          </w:tcPr>
          <w:p w14:paraId="260C8A90" w14:textId="77777777" w:rsidR="009F33CD" w:rsidRDefault="009F33CD">
            <w:pPr>
              <w:spacing w:before="0" w:beforeAutospacing="0" w:after="0" w:afterAutospacing="0" w:line="240" w:lineRule="auto"/>
              <w:rPr>
                <w:rFonts w:eastAsia="TimesNewRomanPSMT"/>
                <w:bCs/>
              </w:rPr>
            </w:pPr>
          </w:p>
        </w:tc>
        <w:tc>
          <w:tcPr>
            <w:tcW w:w="4434" w:type="dxa"/>
          </w:tcPr>
          <w:p w14:paraId="4A2C7C5F" w14:textId="77777777" w:rsidR="009F33CD" w:rsidRDefault="00E40740">
            <w:pPr>
              <w:spacing w:before="0" w:beforeAutospacing="0" w:after="0" w:afterAutospacing="0" w:line="240" w:lineRule="auto"/>
              <w:rPr>
                <w:rFonts w:eastAsia="TimesNewRomanPSMT"/>
                <w:b/>
                <w:bCs/>
              </w:rPr>
            </w:pPr>
            <w:r>
              <w:rPr>
                <w:rFonts w:eastAsia="TimesNewRomanPSMT"/>
                <w:b/>
              </w:rPr>
              <w:t xml:space="preserve">Green performance Evaluation </w:t>
            </w:r>
          </w:p>
        </w:tc>
        <w:tc>
          <w:tcPr>
            <w:tcW w:w="780" w:type="dxa"/>
          </w:tcPr>
          <w:p w14:paraId="27AC1BFC" w14:textId="77777777" w:rsidR="009F33CD" w:rsidRDefault="00E40740">
            <w:pPr>
              <w:spacing w:before="0" w:beforeAutospacing="0" w:after="0" w:afterAutospacing="0" w:line="240" w:lineRule="auto"/>
              <w:rPr>
                <w:rFonts w:eastAsia="TimesNewRomanPSMT"/>
                <w:b/>
                <w:bCs/>
              </w:rPr>
            </w:pPr>
            <w:r>
              <w:rPr>
                <w:rFonts w:eastAsia="TimesNewRomanPSMT"/>
                <w:b/>
              </w:rPr>
              <w:t>SD=1</w:t>
            </w:r>
          </w:p>
        </w:tc>
        <w:tc>
          <w:tcPr>
            <w:tcW w:w="697" w:type="dxa"/>
          </w:tcPr>
          <w:p w14:paraId="10BA535D" w14:textId="77777777" w:rsidR="009F33CD" w:rsidRDefault="00E40740">
            <w:pPr>
              <w:spacing w:before="0" w:beforeAutospacing="0" w:after="0" w:afterAutospacing="0" w:line="240" w:lineRule="auto"/>
              <w:rPr>
                <w:rFonts w:eastAsia="TimesNewRomanPSMT"/>
                <w:b/>
                <w:bCs/>
              </w:rPr>
            </w:pPr>
            <w:r>
              <w:rPr>
                <w:rFonts w:eastAsia="TimesNewRomanPSMT"/>
                <w:b/>
              </w:rPr>
              <w:t>D=2</w:t>
            </w:r>
          </w:p>
        </w:tc>
        <w:tc>
          <w:tcPr>
            <w:tcW w:w="820" w:type="dxa"/>
          </w:tcPr>
          <w:p w14:paraId="571CCED5" w14:textId="77777777" w:rsidR="009F33CD" w:rsidRDefault="00E40740">
            <w:pPr>
              <w:spacing w:before="0" w:beforeAutospacing="0" w:after="0" w:afterAutospacing="0" w:line="240" w:lineRule="auto"/>
              <w:rPr>
                <w:rFonts w:eastAsia="TimesNewRomanPSMT"/>
                <w:b/>
                <w:bCs/>
              </w:rPr>
            </w:pPr>
            <w:r>
              <w:rPr>
                <w:rFonts w:eastAsia="TimesNewRomanPSMT"/>
                <w:b/>
              </w:rPr>
              <w:t>UD=3</w:t>
            </w:r>
          </w:p>
        </w:tc>
        <w:tc>
          <w:tcPr>
            <w:tcW w:w="697" w:type="dxa"/>
          </w:tcPr>
          <w:p w14:paraId="07379620" w14:textId="77777777" w:rsidR="009F33CD" w:rsidRDefault="00E40740">
            <w:pPr>
              <w:spacing w:before="0" w:beforeAutospacing="0" w:after="0" w:afterAutospacing="0" w:line="240" w:lineRule="auto"/>
              <w:rPr>
                <w:rFonts w:eastAsia="TimesNewRomanPSMT"/>
                <w:b/>
                <w:bCs/>
              </w:rPr>
            </w:pPr>
            <w:r>
              <w:rPr>
                <w:rFonts w:eastAsia="TimesNewRomanPSMT"/>
                <w:b/>
              </w:rPr>
              <w:t>A=4</w:t>
            </w:r>
          </w:p>
        </w:tc>
        <w:tc>
          <w:tcPr>
            <w:tcW w:w="780" w:type="dxa"/>
          </w:tcPr>
          <w:p w14:paraId="7A870DCE" w14:textId="77777777" w:rsidR="009F33CD" w:rsidRDefault="00E40740">
            <w:pPr>
              <w:spacing w:before="0" w:beforeAutospacing="0" w:after="0" w:afterAutospacing="0" w:line="240" w:lineRule="auto"/>
              <w:rPr>
                <w:rFonts w:eastAsia="TimesNewRomanPSMT"/>
                <w:b/>
                <w:bCs/>
              </w:rPr>
            </w:pPr>
            <w:r>
              <w:rPr>
                <w:rFonts w:eastAsia="TimesNewRomanPSMT"/>
                <w:b/>
              </w:rPr>
              <w:t>SA=5</w:t>
            </w:r>
          </w:p>
        </w:tc>
      </w:tr>
      <w:tr w:rsidR="009F33CD" w14:paraId="2D742563" w14:textId="77777777">
        <w:tc>
          <w:tcPr>
            <w:tcW w:w="336" w:type="dxa"/>
          </w:tcPr>
          <w:p w14:paraId="1A69B5FC" w14:textId="77777777" w:rsidR="009F33CD" w:rsidRDefault="00E40740">
            <w:pPr>
              <w:spacing w:before="0" w:beforeAutospacing="0" w:after="0" w:afterAutospacing="0" w:line="240" w:lineRule="auto"/>
              <w:rPr>
                <w:rFonts w:eastAsia="TimesNewRomanPSMT"/>
                <w:bCs/>
              </w:rPr>
            </w:pPr>
            <w:r>
              <w:rPr>
                <w:rFonts w:eastAsia="TimesNewRomanPSMT"/>
              </w:rPr>
              <w:t>1</w:t>
            </w:r>
          </w:p>
        </w:tc>
        <w:tc>
          <w:tcPr>
            <w:tcW w:w="4434" w:type="dxa"/>
          </w:tcPr>
          <w:p w14:paraId="64773A32" w14:textId="77777777" w:rsidR="009F33CD" w:rsidRDefault="00E40740">
            <w:pPr>
              <w:spacing w:before="0" w:beforeAutospacing="0" w:after="0" w:afterAutospacing="0" w:line="240" w:lineRule="auto"/>
              <w:rPr>
                <w:rFonts w:eastAsia="TimesNewRomanPSMT"/>
                <w:bCs/>
              </w:rPr>
            </w:pPr>
            <w:r>
              <w:t>The hospital has put in place green objectives for each employee about environmental issues in the hospital</w:t>
            </w:r>
          </w:p>
        </w:tc>
        <w:tc>
          <w:tcPr>
            <w:tcW w:w="780" w:type="dxa"/>
          </w:tcPr>
          <w:p w14:paraId="4D006C1A" w14:textId="77777777" w:rsidR="009F33CD" w:rsidRDefault="009F33CD">
            <w:pPr>
              <w:spacing w:before="0" w:beforeAutospacing="0" w:after="0" w:afterAutospacing="0" w:line="240" w:lineRule="auto"/>
              <w:rPr>
                <w:rFonts w:eastAsia="TimesNewRomanPSMT"/>
                <w:bCs/>
              </w:rPr>
            </w:pPr>
          </w:p>
        </w:tc>
        <w:tc>
          <w:tcPr>
            <w:tcW w:w="697" w:type="dxa"/>
          </w:tcPr>
          <w:p w14:paraId="243FF66B" w14:textId="77777777" w:rsidR="009F33CD" w:rsidRDefault="009F33CD">
            <w:pPr>
              <w:spacing w:before="0" w:beforeAutospacing="0" w:after="0" w:afterAutospacing="0" w:line="240" w:lineRule="auto"/>
              <w:rPr>
                <w:rFonts w:eastAsia="TimesNewRomanPSMT"/>
                <w:bCs/>
              </w:rPr>
            </w:pPr>
          </w:p>
        </w:tc>
        <w:tc>
          <w:tcPr>
            <w:tcW w:w="820" w:type="dxa"/>
          </w:tcPr>
          <w:p w14:paraId="44DD1999" w14:textId="77777777" w:rsidR="009F33CD" w:rsidRDefault="009F33CD">
            <w:pPr>
              <w:spacing w:before="0" w:beforeAutospacing="0" w:after="0" w:afterAutospacing="0" w:line="240" w:lineRule="auto"/>
              <w:rPr>
                <w:rFonts w:eastAsia="TimesNewRomanPSMT"/>
                <w:bCs/>
              </w:rPr>
            </w:pPr>
          </w:p>
        </w:tc>
        <w:tc>
          <w:tcPr>
            <w:tcW w:w="697" w:type="dxa"/>
          </w:tcPr>
          <w:p w14:paraId="712BDB4B" w14:textId="77777777" w:rsidR="009F33CD" w:rsidRDefault="009F33CD">
            <w:pPr>
              <w:spacing w:before="0" w:beforeAutospacing="0" w:after="0" w:afterAutospacing="0" w:line="240" w:lineRule="auto"/>
              <w:rPr>
                <w:rFonts w:eastAsia="TimesNewRomanPSMT"/>
                <w:bCs/>
              </w:rPr>
            </w:pPr>
          </w:p>
        </w:tc>
        <w:tc>
          <w:tcPr>
            <w:tcW w:w="780" w:type="dxa"/>
          </w:tcPr>
          <w:p w14:paraId="3A88CED9" w14:textId="77777777" w:rsidR="009F33CD" w:rsidRDefault="009F33CD">
            <w:pPr>
              <w:spacing w:before="0" w:beforeAutospacing="0" w:after="0" w:afterAutospacing="0" w:line="240" w:lineRule="auto"/>
              <w:rPr>
                <w:rFonts w:eastAsia="TimesNewRomanPSMT"/>
                <w:bCs/>
              </w:rPr>
            </w:pPr>
          </w:p>
        </w:tc>
      </w:tr>
      <w:tr w:rsidR="009F33CD" w14:paraId="4A55E5D7" w14:textId="77777777">
        <w:tc>
          <w:tcPr>
            <w:tcW w:w="336" w:type="dxa"/>
          </w:tcPr>
          <w:p w14:paraId="5BCB168A" w14:textId="77777777" w:rsidR="009F33CD" w:rsidRDefault="00E40740">
            <w:pPr>
              <w:spacing w:before="0" w:beforeAutospacing="0" w:after="0" w:afterAutospacing="0" w:line="240" w:lineRule="auto"/>
              <w:rPr>
                <w:rFonts w:eastAsia="TimesNewRomanPSMT"/>
                <w:bCs/>
              </w:rPr>
            </w:pPr>
            <w:r>
              <w:rPr>
                <w:rFonts w:eastAsia="TimesNewRomanPSMT"/>
              </w:rPr>
              <w:t>2</w:t>
            </w:r>
          </w:p>
        </w:tc>
        <w:tc>
          <w:tcPr>
            <w:tcW w:w="4434" w:type="dxa"/>
          </w:tcPr>
          <w:p w14:paraId="192C823A" w14:textId="77777777" w:rsidR="009F33CD" w:rsidRDefault="00E40740">
            <w:pPr>
              <w:spacing w:before="0" w:beforeAutospacing="0" w:after="0" w:afterAutospacing="0" w:line="240" w:lineRule="auto"/>
              <w:rPr>
                <w:rFonts w:eastAsia="TimesNewRomanPSMT"/>
                <w:bCs/>
              </w:rPr>
            </w:pPr>
            <w:r>
              <w:rPr>
                <w:rFonts w:eastAsia="TimesNewRomanPSMT"/>
              </w:rPr>
              <w:t xml:space="preserve">Employees who participate in environmental management initiatives while providing healthcare services are recognized. </w:t>
            </w:r>
          </w:p>
        </w:tc>
        <w:tc>
          <w:tcPr>
            <w:tcW w:w="780" w:type="dxa"/>
          </w:tcPr>
          <w:p w14:paraId="5B8CB998" w14:textId="77777777" w:rsidR="009F33CD" w:rsidRDefault="009F33CD">
            <w:pPr>
              <w:spacing w:before="0" w:beforeAutospacing="0" w:after="0" w:afterAutospacing="0" w:line="240" w:lineRule="auto"/>
              <w:rPr>
                <w:rFonts w:eastAsia="TimesNewRomanPSMT"/>
                <w:bCs/>
              </w:rPr>
            </w:pPr>
          </w:p>
        </w:tc>
        <w:tc>
          <w:tcPr>
            <w:tcW w:w="697" w:type="dxa"/>
          </w:tcPr>
          <w:p w14:paraId="40B8E3D8" w14:textId="77777777" w:rsidR="009F33CD" w:rsidRDefault="009F33CD">
            <w:pPr>
              <w:spacing w:before="0" w:beforeAutospacing="0" w:after="0" w:afterAutospacing="0" w:line="240" w:lineRule="auto"/>
              <w:rPr>
                <w:rFonts w:eastAsia="TimesNewRomanPSMT"/>
                <w:bCs/>
              </w:rPr>
            </w:pPr>
          </w:p>
        </w:tc>
        <w:tc>
          <w:tcPr>
            <w:tcW w:w="820" w:type="dxa"/>
          </w:tcPr>
          <w:p w14:paraId="1009B754" w14:textId="77777777" w:rsidR="009F33CD" w:rsidRDefault="009F33CD">
            <w:pPr>
              <w:spacing w:before="0" w:beforeAutospacing="0" w:after="0" w:afterAutospacing="0" w:line="240" w:lineRule="auto"/>
              <w:rPr>
                <w:rFonts w:eastAsia="TimesNewRomanPSMT"/>
                <w:bCs/>
              </w:rPr>
            </w:pPr>
          </w:p>
        </w:tc>
        <w:tc>
          <w:tcPr>
            <w:tcW w:w="697" w:type="dxa"/>
          </w:tcPr>
          <w:p w14:paraId="5FCACD88" w14:textId="77777777" w:rsidR="009F33CD" w:rsidRDefault="009F33CD">
            <w:pPr>
              <w:spacing w:before="0" w:beforeAutospacing="0" w:after="0" w:afterAutospacing="0" w:line="240" w:lineRule="auto"/>
              <w:rPr>
                <w:rFonts w:eastAsia="TimesNewRomanPSMT"/>
                <w:bCs/>
              </w:rPr>
            </w:pPr>
          </w:p>
        </w:tc>
        <w:tc>
          <w:tcPr>
            <w:tcW w:w="780" w:type="dxa"/>
          </w:tcPr>
          <w:p w14:paraId="023BC735" w14:textId="77777777" w:rsidR="009F33CD" w:rsidRDefault="009F33CD">
            <w:pPr>
              <w:spacing w:before="0" w:beforeAutospacing="0" w:after="0" w:afterAutospacing="0" w:line="240" w:lineRule="auto"/>
              <w:rPr>
                <w:rFonts w:eastAsia="TimesNewRomanPSMT"/>
                <w:bCs/>
              </w:rPr>
            </w:pPr>
          </w:p>
        </w:tc>
      </w:tr>
      <w:tr w:rsidR="009F33CD" w14:paraId="375B4323" w14:textId="77777777">
        <w:tc>
          <w:tcPr>
            <w:tcW w:w="336" w:type="dxa"/>
          </w:tcPr>
          <w:p w14:paraId="5C5F3BAD" w14:textId="77777777" w:rsidR="009F33CD" w:rsidRDefault="00E40740">
            <w:pPr>
              <w:spacing w:before="0" w:beforeAutospacing="0" w:after="0" w:afterAutospacing="0" w:line="240" w:lineRule="auto"/>
              <w:rPr>
                <w:rFonts w:eastAsia="TimesNewRomanPSMT"/>
                <w:bCs/>
              </w:rPr>
            </w:pPr>
            <w:r>
              <w:rPr>
                <w:rFonts w:eastAsia="TimesNewRomanPSMT"/>
              </w:rPr>
              <w:t>3</w:t>
            </w:r>
          </w:p>
        </w:tc>
        <w:tc>
          <w:tcPr>
            <w:tcW w:w="4434" w:type="dxa"/>
          </w:tcPr>
          <w:p w14:paraId="4C815322" w14:textId="77777777" w:rsidR="009F33CD" w:rsidRDefault="00E40740">
            <w:pPr>
              <w:spacing w:before="0" w:beforeAutospacing="0" w:after="0" w:afterAutospacing="0" w:line="240" w:lineRule="auto"/>
              <w:rPr>
                <w:rFonts w:eastAsia="TimesNewRomanPSMT"/>
                <w:bCs/>
              </w:rPr>
            </w:pPr>
            <w:r>
              <w:rPr>
                <w:rFonts w:eastAsia="TimesNewRomanPSMT"/>
              </w:rPr>
              <w:t>Green performance appraisal targets usually encourage employees to improve performance.</w:t>
            </w:r>
          </w:p>
        </w:tc>
        <w:tc>
          <w:tcPr>
            <w:tcW w:w="780" w:type="dxa"/>
          </w:tcPr>
          <w:p w14:paraId="185F1FC9" w14:textId="77777777" w:rsidR="009F33CD" w:rsidRDefault="009F33CD">
            <w:pPr>
              <w:spacing w:before="0" w:beforeAutospacing="0" w:after="0" w:afterAutospacing="0" w:line="240" w:lineRule="auto"/>
              <w:rPr>
                <w:rFonts w:eastAsia="TimesNewRomanPSMT"/>
                <w:bCs/>
              </w:rPr>
            </w:pPr>
          </w:p>
        </w:tc>
        <w:tc>
          <w:tcPr>
            <w:tcW w:w="697" w:type="dxa"/>
          </w:tcPr>
          <w:p w14:paraId="14533318" w14:textId="77777777" w:rsidR="009F33CD" w:rsidRDefault="009F33CD">
            <w:pPr>
              <w:spacing w:before="0" w:beforeAutospacing="0" w:after="0" w:afterAutospacing="0" w:line="240" w:lineRule="auto"/>
              <w:rPr>
                <w:rFonts w:eastAsia="TimesNewRomanPSMT"/>
                <w:bCs/>
              </w:rPr>
            </w:pPr>
          </w:p>
        </w:tc>
        <w:tc>
          <w:tcPr>
            <w:tcW w:w="820" w:type="dxa"/>
          </w:tcPr>
          <w:p w14:paraId="56DBE7B9" w14:textId="77777777" w:rsidR="009F33CD" w:rsidRDefault="009F33CD">
            <w:pPr>
              <w:spacing w:before="0" w:beforeAutospacing="0" w:after="0" w:afterAutospacing="0" w:line="240" w:lineRule="auto"/>
              <w:rPr>
                <w:rFonts w:eastAsia="TimesNewRomanPSMT"/>
                <w:bCs/>
              </w:rPr>
            </w:pPr>
          </w:p>
        </w:tc>
        <w:tc>
          <w:tcPr>
            <w:tcW w:w="697" w:type="dxa"/>
          </w:tcPr>
          <w:p w14:paraId="4D559366" w14:textId="77777777" w:rsidR="009F33CD" w:rsidRDefault="009F33CD">
            <w:pPr>
              <w:spacing w:before="0" w:beforeAutospacing="0" w:after="0" w:afterAutospacing="0" w:line="240" w:lineRule="auto"/>
              <w:rPr>
                <w:rFonts w:eastAsia="TimesNewRomanPSMT"/>
                <w:bCs/>
              </w:rPr>
            </w:pPr>
          </w:p>
        </w:tc>
        <w:tc>
          <w:tcPr>
            <w:tcW w:w="780" w:type="dxa"/>
          </w:tcPr>
          <w:p w14:paraId="67049F2C" w14:textId="77777777" w:rsidR="009F33CD" w:rsidRDefault="009F33CD">
            <w:pPr>
              <w:spacing w:before="0" w:beforeAutospacing="0" w:after="0" w:afterAutospacing="0" w:line="240" w:lineRule="auto"/>
              <w:rPr>
                <w:rFonts w:eastAsia="TimesNewRomanPSMT"/>
                <w:bCs/>
              </w:rPr>
            </w:pPr>
          </w:p>
        </w:tc>
      </w:tr>
      <w:tr w:rsidR="009F33CD" w14:paraId="51444FE1" w14:textId="77777777">
        <w:tc>
          <w:tcPr>
            <w:tcW w:w="336" w:type="dxa"/>
          </w:tcPr>
          <w:p w14:paraId="432B5BA0" w14:textId="77777777" w:rsidR="009F33CD" w:rsidRDefault="00E40740">
            <w:pPr>
              <w:spacing w:before="0" w:beforeAutospacing="0" w:after="0" w:afterAutospacing="0" w:line="240" w:lineRule="auto"/>
              <w:rPr>
                <w:rFonts w:eastAsia="TimesNewRomanPSMT"/>
                <w:bCs/>
              </w:rPr>
            </w:pPr>
            <w:r>
              <w:rPr>
                <w:rFonts w:eastAsia="TimesNewRomanPSMT"/>
              </w:rPr>
              <w:t>4</w:t>
            </w:r>
          </w:p>
        </w:tc>
        <w:tc>
          <w:tcPr>
            <w:tcW w:w="4434" w:type="dxa"/>
          </w:tcPr>
          <w:p w14:paraId="7166CEA8" w14:textId="77777777" w:rsidR="009F33CD" w:rsidRDefault="00E40740">
            <w:pPr>
              <w:spacing w:before="0" w:beforeAutospacing="0" w:after="0" w:afterAutospacing="0" w:line="240" w:lineRule="auto"/>
              <w:rPr>
                <w:rFonts w:eastAsia="TimesNewRomanPSMT"/>
                <w:bCs/>
              </w:rPr>
            </w:pPr>
            <w:r>
              <w:rPr>
                <w:rFonts w:eastAsia="Calibri"/>
              </w:rPr>
              <w:t>Electronic-evaluation tool is used in appraising performance of employees in healthcare services.</w:t>
            </w:r>
          </w:p>
        </w:tc>
        <w:tc>
          <w:tcPr>
            <w:tcW w:w="780" w:type="dxa"/>
          </w:tcPr>
          <w:p w14:paraId="1012F274" w14:textId="77777777" w:rsidR="009F33CD" w:rsidRDefault="009F33CD">
            <w:pPr>
              <w:spacing w:before="0" w:beforeAutospacing="0" w:after="0" w:afterAutospacing="0" w:line="240" w:lineRule="auto"/>
              <w:rPr>
                <w:rFonts w:eastAsia="TimesNewRomanPSMT"/>
                <w:bCs/>
              </w:rPr>
            </w:pPr>
          </w:p>
        </w:tc>
        <w:tc>
          <w:tcPr>
            <w:tcW w:w="697" w:type="dxa"/>
          </w:tcPr>
          <w:p w14:paraId="41EC0383" w14:textId="77777777" w:rsidR="009F33CD" w:rsidRDefault="009F33CD">
            <w:pPr>
              <w:spacing w:before="0" w:beforeAutospacing="0" w:after="0" w:afterAutospacing="0" w:line="240" w:lineRule="auto"/>
              <w:rPr>
                <w:rFonts w:eastAsia="TimesNewRomanPSMT"/>
                <w:bCs/>
              </w:rPr>
            </w:pPr>
          </w:p>
        </w:tc>
        <w:tc>
          <w:tcPr>
            <w:tcW w:w="820" w:type="dxa"/>
          </w:tcPr>
          <w:p w14:paraId="164F9B59" w14:textId="77777777" w:rsidR="009F33CD" w:rsidRDefault="009F33CD">
            <w:pPr>
              <w:spacing w:before="0" w:beforeAutospacing="0" w:after="0" w:afterAutospacing="0" w:line="240" w:lineRule="auto"/>
              <w:rPr>
                <w:rFonts w:eastAsia="TimesNewRomanPSMT"/>
                <w:bCs/>
              </w:rPr>
            </w:pPr>
          </w:p>
        </w:tc>
        <w:tc>
          <w:tcPr>
            <w:tcW w:w="697" w:type="dxa"/>
          </w:tcPr>
          <w:p w14:paraId="0707683F" w14:textId="77777777" w:rsidR="009F33CD" w:rsidRDefault="009F33CD">
            <w:pPr>
              <w:spacing w:before="0" w:beforeAutospacing="0" w:after="0" w:afterAutospacing="0" w:line="240" w:lineRule="auto"/>
              <w:rPr>
                <w:rFonts w:eastAsia="TimesNewRomanPSMT"/>
                <w:bCs/>
              </w:rPr>
            </w:pPr>
          </w:p>
        </w:tc>
        <w:tc>
          <w:tcPr>
            <w:tcW w:w="780" w:type="dxa"/>
          </w:tcPr>
          <w:p w14:paraId="4236F43B" w14:textId="77777777" w:rsidR="009F33CD" w:rsidRDefault="009F33CD">
            <w:pPr>
              <w:spacing w:before="0" w:beforeAutospacing="0" w:after="0" w:afterAutospacing="0" w:line="240" w:lineRule="auto"/>
              <w:rPr>
                <w:rFonts w:eastAsia="TimesNewRomanPSMT"/>
                <w:bCs/>
              </w:rPr>
            </w:pPr>
          </w:p>
        </w:tc>
      </w:tr>
      <w:tr w:rsidR="009F33CD" w14:paraId="68BF8E18" w14:textId="77777777">
        <w:tc>
          <w:tcPr>
            <w:tcW w:w="336" w:type="dxa"/>
          </w:tcPr>
          <w:p w14:paraId="44B9396A" w14:textId="77777777" w:rsidR="009F33CD" w:rsidRDefault="00E40740">
            <w:pPr>
              <w:spacing w:before="0" w:beforeAutospacing="0" w:after="0" w:afterAutospacing="0" w:line="240" w:lineRule="auto"/>
              <w:rPr>
                <w:rFonts w:eastAsia="TimesNewRomanPSMT"/>
                <w:bCs/>
              </w:rPr>
            </w:pPr>
            <w:r>
              <w:rPr>
                <w:rFonts w:eastAsia="TimesNewRomanPSMT"/>
              </w:rPr>
              <w:t>5</w:t>
            </w:r>
          </w:p>
        </w:tc>
        <w:tc>
          <w:tcPr>
            <w:tcW w:w="4434" w:type="dxa"/>
          </w:tcPr>
          <w:p w14:paraId="10DC66B6" w14:textId="77777777" w:rsidR="009F33CD" w:rsidRDefault="00E40740">
            <w:pPr>
              <w:spacing w:before="0" w:beforeAutospacing="0" w:after="0" w:afterAutospacing="0" w:line="240" w:lineRule="auto"/>
              <w:rPr>
                <w:rFonts w:eastAsia="TimesNewRomanPSMT"/>
                <w:bCs/>
              </w:rPr>
            </w:pPr>
            <w:r>
              <w:rPr>
                <w:rFonts w:eastAsia="TimesNewRomanPSMT"/>
              </w:rPr>
              <w:t>Performance appraisal tool has measurable elements on performance and environmental protection.</w:t>
            </w:r>
          </w:p>
        </w:tc>
        <w:tc>
          <w:tcPr>
            <w:tcW w:w="780" w:type="dxa"/>
          </w:tcPr>
          <w:p w14:paraId="725D075E" w14:textId="77777777" w:rsidR="009F33CD" w:rsidRDefault="009F33CD">
            <w:pPr>
              <w:spacing w:before="0" w:beforeAutospacing="0" w:after="0" w:afterAutospacing="0" w:line="240" w:lineRule="auto"/>
              <w:rPr>
                <w:rFonts w:eastAsia="TimesNewRomanPSMT"/>
                <w:bCs/>
              </w:rPr>
            </w:pPr>
          </w:p>
        </w:tc>
        <w:tc>
          <w:tcPr>
            <w:tcW w:w="697" w:type="dxa"/>
          </w:tcPr>
          <w:p w14:paraId="75F08447" w14:textId="77777777" w:rsidR="009F33CD" w:rsidRDefault="009F33CD">
            <w:pPr>
              <w:spacing w:before="0" w:beforeAutospacing="0" w:after="0" w:afterAutospacing="0" w:line="240" w:lineRule="auto"/>
              <w:rPr>
                <w:rFonts w:eastAsia="TimesNewRomanPSMT"/>
                <w:bCs/>
              </w:rPr>
            </w:pPr>
          </w:p>
        </w:tc>
        <w:tc>
          <w:tcPr>
            <w:tcW w:w="820" w:type="dxa"/>
          </w:tcPr>
          <w:p w14:paraId="270F7D9F" w14:textId="77777777" w:rsidR="009F33CD" w:rsidRDefault="009F33CD">
            <w:pPr>
              <w:spacing w:before="0" w:beforeAutospacing="0" w:after="0" w:afterAutospacing="0" w:line="240" w:lineRule="auto"/>
              <w:rPr>
                <w:rFonts w:eastAsia="TimesNewRomanPSMT"/>
                <w:bCs/>
              </w:rPr>
            </w:pPr>
          </w:p>
        </w:tc>
        <w:tc>
          <w:tcPr>
            <w:tcW w:w="697" w:type="dxa"/>
          </w:tcPr>
          <w:p w14:paraId="185310E9" w14:textId="77777777" w:rsidR="009F33CD" w:rsidRDefault="009F33CD">
            <w:pPr>
              <w:spacing w:before="0" w:beforeAutospacing="0" w:after="0" w:afterAutospacing="0" w:line="240" w:lineRule="auto"/>
              <w:rPr>
                <w:rFonts w:eastAsia="TimesNewRomanPSMT"/>
                <w:bCs/>
              </w:rPr>
            </w:pPr>
          </w:p>
        </w:tc>
        <w:tc>
          <w:tcPr>
            <w:tcW w:w="780" w:type="dxa"/>
          </w:tcPr>
          <w:p w14:paraId="45BC6D72" w14:textId="77777777" w:rsidR="009F33CD" w:rsidRDefault="009F33CD">
            <w:pPr>
              <w:spacing w:before="0" w:beforeAutospacing="0" w:after="0" w:afterAutospacing="0" w:line="240" w:lineRule="auto"/>
              <w:rPr>
                <w:rFonts w:eastAsia="TimesNewRomanPSMT"/>
                <w:bCs/>
              </w:rPr>
            </w:pPr>
          </w:p>
        </w:tc>
      </w:tr>
      <w:tr w:rsidR="009F33CD" w14:paraId="7627E9AC" w14:textId="77777777">
        <w:tc>
          <w:tcPr>
            <w:tcW w:w="336" w:type="dxa"/>
          </w:tcPr>
          <w:p w14:paraId="17BB2D33" w14:textId="77777777" w:rsidR="009F33CD" w:rsidRDefault="00E40740">
            <w:pPr>
              <w:spacing w:before="0" w:beforeAutospacing="0" w:after="0" w:afterAutospacing="0" w:line="240" w:lineRule="auto"/>
              <w:rPr>
                <w:rFonts w:eastAsia="TimesNewRomanPSMT"/>
                <w:bCs/>
              </w:rPr>
            </w:pPr>
            <w:r>
              <w:rPr>
                <w:rFonts w:eastAsia="TimesNewRomanPSMT"/>
              </w:rPr>
              <w:t>6</w:t>
            </w:r>
          </w:p>
        </w:tc>
        <w:tc>
          <w:tcPr>
            <w:tcW w:w="4434" w:type="dxa"/>
          </w:tcPr>
          <w:p w14:paraId="02C1C863" w14:textId="77777777" w:rsidR="009F33CD" w:rsidRDefault="00E40740">
            <w:pPr>
              <w:spacing w:before="0" w:beforeAutospacing="0" w:after="0" w:afterAutospacing="0" w:line="240" w:lineRule="auto"/>
              <w:rPr>
                <w:rFonts w:eastAsia="Calibri"/>
                <w:bCs/>
              </w:rPr>
            </w:pPr>
            <w:r>
              <w:rPr>
                <w:rFonts w:eastAsia="Calibri"/>
              </w:rPr>
              <w:t xml:space="preserve">Green Performance evaluation uncovers green innovation that improves healthcare performance. </w:t>
            </w:r>
          </w:p>
        </w:tc>
        <w:tc>
          <w:tcPr>
            <w:tcW w:w="780" w:type="dxa"/>
          </w:tcPr>
          <w:p w14:paraId="5F311CAF" w14:textId="77777777" w:rsidR="009F33CD" w:rsidRDefault="009F33CD">
            <w:pPr>
              <w:spacing w:before="0" w:beforeAutospacing="0" w:after="0" w:afterAutospacing="0" w:line="240" w:lineRule="auto"/>
              <w:rPr>
                <w:rFonts w:eastAsia="TimesNewRomanPSMT"/>
                <w:bCs/>
              </w:rPr>
            </w:pPr>
          </w:p>
        </w:tc>
        <w:tc>
          <w:tcPr>
            <w:tcW w:w="697" w:type="dxa"/>
          </w:tcPr>
          <w:p w14:paraId="7A26518C" w14:textId="77777777" w:rsidR="009F33CD" w:rsidRDefault="009F33CD">
            <w:pPr>
              <w:spacing w:before="0" w:beforeAutospacing="0" w:after="0" w:afterAutospacing="0" w:line="240" w:lineRule="auto"/>
              <w:rPr>
                <w:rFonts w:eastAsia="TimesNewRomanPSMT"/>
                <w:bCs/>
              </w:rPr>
            </w:pPr>
          </w:p>
        </w:tc>
        <w:tc>
          <w:tcPr>
            <w:tcW w:w="820" w:type="dxa"/>
          </w:tcPr>
          <w:p w14:paraId="2B134EE3" w14:textId="77777777" w:rsidR="009F33CD" w:rsidRDefault="009F33CD">
            <w:pPr>
              <w:spacing w:before="0" w:beforeAutospacing="0" w:after="0" w:afterAutospacing="0" w:line="240" w:lineRule="auto"/>
              <w:rPr>
                <w:rFonts w:eastAsia="TimesNewRomanPSMT"/>
                <w:bCs/>
              </w:rPr>
            </w:pPr>
          </w:p>
        </w:tc>
        <w:tc>
          <w:tcPr>
            <w:tcW w:w="697" w:type="dxa"/>
          </w:tcPr>
          <w:p w14:paraId="1EC62B04" w14:textId="77777777" w:rsidR="009F33CD" w:rsidRDefault="009F33CD">
            <w:pPr>
              <w:spacing w:before="0" w:beforeAutospacing="0" w:after="0" w:afterAutospacing="0" w:line="240" w:lineRule="auto"/>
              <w:rPr>
                <w:rFonts w:eastAsia="TimesNewRomanPSMT"/>
                <w:bCs/>
              </w:rPr>
            </w:pPr>
          </w:p>
        </w:tc>
        <w:tc>
          <w:tcPr>
            <w:tcW w:w="780" w:type="dxa"/>
          </w:tcPr>
          <w:p w14:paraId="336CF60C" w14:textId="77777777" w:rsidR="009F33CD" w:rsidRDefault="009F33CD">
            <w:pPr>
              <w:spacing w:before="0" w:beforeAutospacing="0" w:after="0" w:afterAutospacing="0" w:line="240" w:lineRule="auto"/>
              <w:rPr>
                <w:rFonts w:eastAsia="TimesNewRomanPSMT"/>
                <w:bCs/>
              </w:rPr>
            </w:pPr>
          </w:p>
        </w:tc>
      </w:tr>
      <w:tr w:rsidR="009F33CD" w14:paraId="29B258DE" w14:textId="77777777">
        <w:tc>
          <w:tcPr>
            <w:tcW w:w="336" w:type="dxa"/>
          </w:tcPr>
          <w:p w14:paraId="743C57FA" w14:textId="77777777" w:rsidR="009F33CD" w:rsidRDefault="00E40740">
            <w:pPr>
              <w:spacing w:before="0" w:beforeAutospacing="0" w:after="0" w:afterAutospacing="0" w:line="240" w:lineRule="auto"/>
              <w:rPr>
                <w:rFonts w:eastAsia="TimesNewRomanPSMT"/>
                <w:bCs/>
              </w:rPr>
            </w:pPr>
            <w:r>
              <w:rPr>
                <w:rFonts w:eastAsia="TimesNewRomanPSMT"/>
              </w:rPr>
              <w:t>7</w:t>
            </w:r>
          </w:p>
        </w:tc>
        <w:tc>
          <w:tcPr>
            <w:tcW w:w="4434" w:type="dxa"/>
          </w:tcPr>
          <w:p w14:paraId="4A08129F" w14:textId="77777777" w:rsidR="009F33CD" w:rsidRDefault="00E40740">
            <w:pPr>
              <w:spacing w:before="0" w:beforeAutospacing="0" w:after="0" w:afterAutospacing="0" w:line="240" w:lineRule="auto"/>
              <w:rPr>
                <w:rFonts w:eastAsia="Calibri"/>
                <w:bCs/>
              </w:rPr>
            </w:pPr>
            <w:r>
              <w:rPr>
                <w:rFonts w:eastAsia="TimesNewRomanPSMT"/>
              </w:rPr>
              <w:t>Green performance evaluation reports directly affect performance of devolved healthcare services.</w:t>
            </w:r>
          </w:p>
        </w:tc>
        <w:tc>
          <w:tcPr>
            <w:tcW w:w="780" w:type="dxa"/>
          </w:tcPr>
          <w:p w14:paraId="32BF40E5" w14:textId="77777777" w:rsidR="009F33CD" w:rsidRDefault="009F33CD">
            <w:pPr>
              <w:spacing w:before="0" w:beforeAutospacing="0" w:after="0" w:afterAutospacing="0" w:line="240" w:lineRule="auto"/>
              <w:rPr>
                <w:rFonts w:eastAsia="TimesNewRomanPSMT"/>
                <w:bCs/>
              </w:rPr>
            </w:pPr>
          </w:p>
        </w:tc>
        <w:tc>
          <w:tcPr>
            <w:tcW w:w="697" w:type="dxa"/>
          </w:tcPr>
          <w:p w14:paraId="6E295094" w14:textId="77777777" w:rsidR="009F33CD" w:rsidRDefault="009F33CD">
            <w:pPr>
              <w:spacing w:before="0" w:beforeAutospacing="0" w:after="0" w:afterAutospacing="0" w:line="240" w:lineRule="auto"/>
              <w:rPr>
                <w:rFonts w:eastAsia="TimesNewRomanPSMT"/>
                <w:bCs/>
              </w:rPr>
            </w:pPr>
          </w:p>
        </w:tc>
        <w:tc>
          <w:tcPr>
            <w:tcW w:w="820" w:type="dxa"/>
          </w:tcPr>
          <w:p w14:paraId="4205313B" w14:textId="77777777" w:rsidR="009F33CD" w:rsidRDefault="009F33CD">
            <w:pPr>
              <w:spacing w:before="0" w:beforeAutospacing="0" w:after="0" w:afterAutospacing="0" w:line="240" w:lineRule="auto"/>
              <w:rPr>
                <w:rFonts w:eastAsia="TimesNewRomanPSMT"/>
                <w:bCs/>
              </w:rPr>
            </w:pPr>
          </w:p>
        </w:tc>
        <w:tc>
          <w:tcPr>
            <w:tcW w:w="697" w:type="dxa"/>
          </w:tcPr>
          <w:p w14:paraId="5C3E7AD3" w14:textId="77777777" w:rsidR="009F33CD" w:rsidRDefault="009F33CD">
            <w:pPr>
              <w:spacing w:before="0" w:beforeAutospacing="0" w:after="0" w:afterAutospacing="0" w:line="240" w:lineRule="auto"/>
              <w:rPr>
                <w:rFonts w:eastAsia="TimesNewRomanPSMT"/>
                <w:bCs/>
              </w:rPr>
            </w:pPr>
          </w:p>
        </w:tc>
        <w:tc>
          <w:tcPr>
            <w:tcW w:w="780" w:type="dxa"/>
          </w:tcPr>
          <w:p w14:paraId="63FADB0C" w14:textId="77777777" w:rsidR="009F33CD" w:rsidRDefault="009F33CD">
            <w:pPr>
              <w:spacing w:before="0" w:beforeAutospacing="0" w:after="0" w:afterAutospacing="0" w:line="240" w:lineRule="auto"/>
              <w:rPr>
                <w:rFonts w:eastAsia="TimesNewRomanPSMT"/>
                <w:bCs/>
              </w:rPr>
            </w:pPr>
          </w:p>
        </w:tc>
      </w:tr>
    </w:tbl>
    <w:p w14:paraId="3A07F9A4" w14:textId="77777777" w:rsidR="009F33CD" w:rsidRDefault="00E40740">
      <w:pPr>
        <w:spacing w:before="0" w:beforeAutospacing="0"/>
        <w:rPr>
          <w:rFonts w:eastAsia="TimesNewRomanPSMT"/>
          <w:bCs/>
        </w:rPr>
      </w:pPr>
      <w:r>
        <w:rPr>
          <w:rFonts w:eastAsia="TimesNewRomanPSMT"/>
        </w:rPr>
        <w:t>8. Suggest possible ways in which green performance evaluation practice can be improved in devolved healthcare services.</w:t>
      </w:r>
    </w:p>
    <w:p w14:paraId="5F00DCDF" w14:textId="77777777" w:rsidR="009F33CD" w:rsidRDefault="00E40740">
      <w:pPr>
        <w:spacing w:before="0" w:beforeAutospacing="0"/>
        <w:rPr>
          <w:rFonts w:eastAsia="Calibri"/>
          <w:b/>
        </w:rPr>
      </w:pPr>
      <w:bookmarkStart w:id="1850" w:name="_Hlk224813391"/>
      <w:r>
        <w:rPr>
          <w:rFonts w:eastAsia="TimesNewRomanPSMT"/>
        </w:rPr>
        <w:t>____________________________________________________________________________________________________________________________________________________________________________________________________________</w:t>
      </w:r>
    </w:p>
    <w:bookmarkEnd w:id="1850"/>
    <w:p w14:paraId="3F263E1D" w14:textId="77777777" w:rsidR="008B7355" w:rsidRDefault="008B7355">
      <w:pPr>
        <w:autoSpaceDE/>
        <w:autoSpaceDN/>
        <w:adjustRightInd/>
        <w:spacing w:before="0" w:beforeAutospacing="0" w:after="0" w:afterAutospacing="0" w:line="240" w:lineRule="auto"/>
        <w:jc w:val="left"/>
        <w:rPr>
          <w:rFonts w:eastAsia="Calibri"/>
          <w:b/>
        </w:rPr>
      </w:pPr>
      <w:r>
        <w:rPr>
          <w:rFonts w:eastAsia="Calibri"/>
          <w:b/>
        </w:rPr>
        <w:br w:type="page"/>
      </w:r>
    </w:p>
    <w:p w14:paraId="3929B5FA" w14:textId="77777777" w:rsidR="009F33CD" w:rsidRDefault="00E40740">
      <w:pPr>
        <w:spacing w:before="0" w:beforeAutospacing="0"/>
        <w:rPr>
          <w:rFonts w:eastAsia="Calibri"/>
          <w:b/>
        </w:rPr>
      </w:pPr>
      <w:r>
        <w:rPr>
          <w:rFonts w:eastAsia="Calibri"/>
          <w:b/>
        </w:rPr>
        <w:lastRenderedPageBreak/>
        <w:t xml:space="preserve">SECTION F: MANAGEMENT STYLE </w:t>
      </w:r>
    </w:p>
    <w:p w14:paraId="103710B0" w14:textId="77777777" w:rsidR="009F33CD" w:rsidRDefault="00E40740">
      <w:pPr>
        <w:spacing w:before="0" w:beforeAutospacing="0"/>
        <w:rPr>
          <w:rFonts w:eastAsia="Calibri"/>
          <w:b/>
        </w:rPr>
      </w:pPr>
      <w:r>
        <w:rPr>
          <w:rFonts w:eastAsia="TimesNewRomanPSMT"/>
        </w:rPr>
        <w:t xml:space="preserve">Management style in devolved healthcare services is an important component that directly or indirectly moderates the relationship between green HR practices and performance. Management style that is involved in environmental management and gives supportive supervision for green activities usually leads to improved performance.  Therefore, you are 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14"/>
        <w:gridCol w:w="780"/>
        <w:gridCol w:w="690"/>
        <w:gridCol w:w="820"/>
        <w:gridCol w:w="690"/>
        <w:gridCol w:w="780"/>
      </w:tblGrid>
      <w:tr w:rsidR="009F33CD" w14:paraId="7C356CBD" w14:textId="77777777">
        <w:tc>
          <w:tcPr>
            <w:tcW w:w="336" w:type="dxa"/>
          </w:tcPr>
          <w:p w14:paraId="2B87F3C0" w14:textId="77777777" w:rsidR="009F33CD" w:rsidRDefault="009F33CD">
            <w:pPr>
              <w:spacing w:before="0" w:beforeAutospacing="0" w:line="240" w:lineRule="auto"/>
            </w:pPr>
          </w:p>
        </w:tc>
        <w:tc>
          <w:tcPr>
            <w:tcW w:w="4436" w:type="dxa"/>
          </w:tcPr>
          <w:p w14:paraId="199ECEFD" w14:textId="77777777" w:rsidR="009F33CD" w:rsidRDefault="00E40740">
            <w:pPr>
              <w:spacing w:before="0" w:beforeAutospacing="0" w:line="240" w:lineRule="auto"/>
              <w:rPr>
                <w:b/>
              </w:rPr>
            </w:pPr>
            <w:r>
              <w:rPr>
                <w:b/>
              </w:rPr>
              <w:t>Management Style</w:t>
            </w:r>
          </w:p>
        </w:tc>
        <w:tc>
          <w:tcPr>
            <w:tcW w:w="780" w:type="dxa"/>
          </w:tcPr>
          <w:p w14:paraId="7C778943" w14:textId="77777777" w:rsidR="009F33CD" w:rsidRDefault="00E40740">
            <w:pPr>
              <w:spacing w:before="0" w:beforeAutospacing="0" w:line="240" w:lineRule="auto"/>
              <w:rPr>
                <w:b/>
              </w:rPr>
            </w:pPr>
            <w:r>
              <w:rPr>
                <w:b/>
              </w:rPr>
              <w:t>SD=1</w:t>
            </w:r>
          </w:p>
        </w:tc>
        <w:tc>
          <w:tcPr>
            <w:tcW w:w="696" w:type="dxa"/>
          </w:tcPr>
          <w:p w14:paraId="10D9C8E0" w14:textId="77777777" w:rsidR="009F33CD" w:rsidRDefault="00E40740">
            <w:pPr>
              <w:spacing w:before="0" w:beforeAutospacing="0" w:line="240" w:lineRule="auto"/>
              <w:rPr>
                <w:b/>
              </w:rPr>
            </w:pPr>
            <w:r>
              <w:rPr>
                <w:b/>
              </w:rPr>
              <w:t>D=2</w:t>
            </w:r>
          </w:p>
        </w:tc>
        <w:tc>
          <w:tcPr>
            <w:tcW w:w="820" w:type="dxa"/>
          </w:tcPr>
          <w:p w14:paraId="0DFC04D5" w14:textId="77777777" w:rsidR="009F33CD" w:rsidRDefault="00E40740">
            <w:pPr>
              <w:spacing w:before="0" w:beforeAutospacing="0" w:line="240" w:lineRule="auto"/>
              <w:rPr>
                <w:b/>
              </w:rPr>
            </w:pPr>
            <w:r>
              <w:rPr>
                <w:b/>
              </w:rPr>
              <w:t>UD=3</w:t>
            </w:r>
          </w:p>
        </w:tc>
        <w:tc>
          <w:tcPr>
            <w:tcW w:w="696" w:type="dxa"/>
          </w:tcPr>
          <w:p w14:paraId="18520F7C" w14:textId="77777777" w:rsidR="009F33CD" w:rsidRDefault="00E40740">
            <w:pPr>
              <w:spacing w:before="0" w:beforeAutospacing="0" w:line="240" w:lineRule="auto"/>
              <w:rPr>
                <w:b/>
              </w:rPr>
            </w:pPr>
            <w:r>
              <w:rPr>
                <w:b/>
              </w:rPr>
              <w:t>A=4</w:t>
            </w:r>
          </w:p>
        </w:tc>
        <w:tc>
          <w:tcPr>
            <w:tcW w:w="780" w:type="dxa"/>
          </w:tcPr>
          <w:p w14:paraId="1F28D30D" w14:textId="77777777" w:rsidR="009F33CD" w:rsidRDefault="00E40740">
            <w:pPr>
              <w:spacing w:before="0" w:beforeAutospacing="0" w:line="240" w:lineRule="auto"/>
              <w:rPr>
                <w:b/>
              </w:rPr>
            </w:pPr>
            <w:r>
              <w:rPr>
                <w:b/>
              </w:rPr>
              <w:t>SA=5</w:t>
            </w:r>
          </w:p>
        </w:tc>
      </w:tr>
      <w:tr w:rsidR="009F33CD" w14:paraId="144BE26A" w14:textId="77777777">
        <w:tc>
          <w:tcPr>
            <w:tcW w:w="336" w:type="dxa"/>
          </w:tcPr>
          <w:p w14:paraId="289998C1" w14:textId="77777777" w:rsidR="009F33CD" w:rsidRDefault="00E40740">
            <w:pPr>
              <w:spacing w:before="0" w:beforeAutospacing="0" w:line="240" w:lineRule="auto"/>
            </w:pPr>
            <w:r>
              <w:t>1</w:t>
            </w:r>
          </w:p>
        </w:tc>
        <w:tc>
          <w:tcPr>
            <w:tcW w:w="4436" w:type="dxa"/>
          </w:tcPr>
          <w:p w14:paraId="2785F4F6" w14:textId="77777777" w:rsidR="009F33CD" w:rsidRDefault="00E40740">
            <w:pPr>
              <w:spacing w:before="0" w:beforeAutospacing="0" w:line="240" w:lineRule="auto"/>
            </w:pPr>
            <w:r>
              <w:t>My workload is adequate to enhance performance.</w:t>
            </w:r>
          </w:p>
        </w:tc>
        <w:tc>
          <w:tcPr>
            <w:tcW w:w="780" w:type="dxa"/>
          </w:tcPr>
          <w:p w14:paraId="59135AD5" w14:textId="77777777" w:rsidR="009F33CD" w:rsidRDefault="009F33CD">
            <w:pPr>
              <w:spacing w:before="0" w:beforeAutospacing="0" w:line="240" w:lineRule="auto"/>
            </w:pPr>
          </w:p>
        </w:tc>
        <w:tc>
          <w:tcPr>
            <w:tcW w:w="696" w:type="dxa"/>
          </w:tcPr>
          <w:p w14:paraId="56907292" w14:textId="77777777" w:rsidR="009F33CD" w:rsidRDefault="009F33CD">
            <w:pPr>
              <w:spacing w:before="0" w:beforeAutospacing="0" w:line="240" w:lineRule="auto"/>
            </w:pPr>
          </w:p>
        </w:tc>
        <w:tc>
          <w:tcPr>
            <w:tcW w:w="820" w:type="dxa"/>
          </w:tcPr>
          <w:p w14:paraId="7E883908" w14:textId="77777777" w:rsidR="009F33CD" w:rsidRDefault="009F33CD">
            <w:pPr>
              <w:spacing w:before="0" w:beforeAutospacing="0" w:line="240" w:lineRule="auto"/>
            </w:pPr>
          </w:p>
        </w:tc>
        <w:tc>
          <w:tcPr>
            <w:tcW w:w="696" w:type="dxa"/>
          </w:tcPr>
          <w:p w14:paraId="4B00DA9F" w14:textId="77777777" w:rsidR="009F33CD" w:rsidRDefault="009F33CD">
            <w:pPr>
              <w:spacing w:before="0" w:beforeAutospacing="0" w:line="240" w:lineRule="auto"/>
            </w:pPr>
          </w:p>
        </w:tc>
        <w:tc>
          <w:tcPr>
            <w:tcW w:w="780" w:type="dxa"/>
          </w:tcPr>
          <w:p w14:paraId="7ACFE332" w14:textId="77777777" w:rsidR="009F33CD" w:rsidRDefault="009F33CD">
            <w:pPr>
              <w:spacing w:before="0" w:beforeAutospacing="0" w:line="240" w:lineRule="auto"/>
            </w:pPr>
          </w:p>
        </w:tc>
      </w:tr>
      <w:tr w:rsidR="009F33CD" w14:paraId="7AD5A389" w14:textId="77777777">
        <w:tc>
          <w:tcPr>
            <w:tcW w:w="336" w:type="dxa"/>
          </w:tcPr>
          <w:p w14:paraId="3E39A9B1" w14:textId="77777777" w:rsidR="009F33CD" w:rsidRDefault="00E40740">
            <w:pPr>
              <w:spacing w:before="0" w:beforeAutospacing="0" w:line="240" w:lineRule="auto"/>
            </w:pPr>
            <w:r>
              <w:t>2</w:t>
            </w:r>
          </w:p>
        </w:tc>
        <w:tc>
          <w:tcPr>
            <w:tcW w:w="4436" w:type="dxa"/>
          </w:tcPr>
          <w:p w14:paraId="452FB315" w14:textId="77777777" w:rsidR="009F33CD" w:rsidRDefault="00E40740">
            <w:pPr>
              <w:spacing w:before="0" w:beforeAutospacing="0" w:line="240" w:lineRule="auto"/>
            </w:pPr>
            <w:r>
              <w:rPr>
                <w:rFonts w:eastAsia="Calibri"/>
                <w:color w:val="000000"/>
              </w:rPr>
              <w:t>The hospital management relies on set rules, policies and procedures to enhance performance of devolved healthcare services.</w:t>
            </w:r>
          </w:p>
        </w:tc>
        <w:tc>
          <w:tcPr>
            <w:tcW w:w="780" w:type="dxa"/>
          </w:tcPr>
          <w:p w14:paraId="51F606EB" w14:textId="77777777" w:rsidR="009F33CD" w:rsidRDefault="009F33CD">
            <w:pPr>
              <w:spacing w:before="0" w:beforeAutospacing="0" w:line="240" w:lineRule="auto"/>
            </w:pPr>
          </w:p>
        </w:tc>
        <w:tc>
          <w:tcPr>
            <w:tcW w:w="696" w:type="dxa"/>
          </w:tcPr>
          <w:p w14:paraId="66743A7D" w14:textId="77777777" w:rsidR="009F33CD" w:rsidRDefault="009F33CD">
            <w:pPr>
              <w:spacing w:before="0" w:beforeAutospacing="0" w:line="240" w:lineRule="auto"/>
            </w:pPr>
          </w:p>
        </w:tc>
        <w:tc>
          <w:tcPr>
            <w:tcW w:w="820" w:type="dxa"/>
          </w:tcPr>
          <w:p w14:paraId="13F4B471" w14:textId="77777777" w:rsidR="009F33CD" w:rsidRDefault="009F33CD">
            <w:pPr>
              <w:spacing w:before="0" w:beforeAutospacing="0" w:line="240" w:lineRule="auto"/>
            </w:pPr>
          </w:p>
        </w:tc>
        <w:tc>
          <w:tcPr>
            <w:tcW w:w="696" w:type="dxa"/>
          </w:tcPr>
          <w:p w14:paraId="2DBAFD29" w14:textId="77777777" w:rsidR="009F33CD" w:rsidRDefault="009F33CD">
            <w:pPr>
              <w:spacing w:before="0" w:beforeAutospacing="0" w:line="240" w:lineRule="auto"/>
            </w:pPr>
          </w:p>
        </w:tc>
        <w:tc>
          <w:tcPr>
            <w:tcW w:w="780" w:type="dxa"/>
          </w:tcPr>
          <w:p w14:paraId="798EEAE1" w14:textId="77777777" w:rsidR="009F33CD" w:rsidRDefault="009F33CD">
            <w:pPr>
              <w:spacing w:before="0" w:beforeAutospacing="0" w:line="240" w:lineRule="auto"/>
            </w:pPr>
          </w:p>
        </w:tc>
      </w:tr>
      <w:tr w:rsidR="009F33CD" w14:paraId="261BAA81" w14:textId="77777777">
        <w:tc>
          <w:tcPr>
            <w:tcW w:w="336" w:type="dxa"/>
          </w:tcPr>
          <w:p w14:paraId="70EFAAE3" w14:textId="77777777" w:rsidR="009F33CD" w:rsidRDefault="00E40740">
            <w:pPr>
              <w:spacing w:before="0" w:beforeAutospacing="0" w:line="240" w:lineRule="auto"/>
            </w:pPr>
            <w:r>
              <w:t>3</w:t>
            </w:r>
          </w:p>
        </w:tc>
        <w:tc>
          <w:tcPr>
            <w:tcW w:w="4436" w:type="dxa"/>
          </w:tcPr>
          <w:p w14:paraId="357BCADD" w14:textId="77777777" w:rsidR="009F33CD" w:rsidRDefault="00E40740">
            <w:pPr>
              <w:spacing w:before="0" w:beforeAutospacing="0" w:line="240" w:lineRule="auto"/>
            </w:pPr>
            <w:r>
              <w:t>Management supports green initiatives because it enhances performance of healthcare services.</w:t>
            </w:r>
          </w:p>
        </w:tc>
        <w:tc>
          <w:tcPr>
            <w:tcW w:w="780" w:type="dxa"/>
          </w:tcPr>
          <w:p w14:paraId="692258A0" w14:textId="77777777" w:rsidR="009F33CD" w:rsidRDefault="009F33CD">
            <w:pPr>
              <w:spacing w:before="0" w:beforeAutospacing="0" w:line="240" w:lineRule="auto"/>
            </w:pPr>
          </w:p>
        </w:tc>
        <w:tc>
          <w:tcPr>
            <w:tcW w:w="696" w:type="dxa"/>
          </w:tcPr>
          <w:p w14:paraId="65AED1E2" w14:textId="77777777" w:rsidR="009F33CD" w:rsidRDefault="009F33CD">
            <w:pPr>
              <w:spacing w:before="0" w:beforeAutospacing="0" w:line="240" w:lineRule="auto"/>
            </w:pPr>
          </w:p>
        </w:tc>
        <w:tc>
          <w:tcPr>
            <w:tcW w:w="820" w:type="dxa"/>
          </w:tcPr>
          <w:p w14:paraId="7EB6AA2F" w14:textId="77777777" w:rsidR="009F33CD" w:rsidRDefault="009F33CD">
            <w:pPr>
              <w:spacing w:before="0" w:beforeAutospacing="0" w:line="240" w:lineRule="auto"/>
            </w:pPr>
          </w:p>
        </w:tc>
        <w:tc>
          <w:tcPr>
            <w:tcW w:w="696" w:type="dxa"/>
          </w:tcPr>
          <w:p w14:paraId="40ABBA2C" w14:textId="77777777" w:rsidR="009F33CD" w:rsidRDefault="009F33CD">
            <w:pPr>
              <w:spacing w:before="0" w:beforeAutospacing="0" w:line="240" w:lineRule="auto"/>
            </w:pPr>
          </w:p>
        </w:tc>
        <w:tc>
          <w:tcPr>
            <w:tcW w:w="780" w:type="dxa"/>
          </w:tcPr>
          <w:p w14:paraId="1711EF72" w14:textId="77777777" w:rsidR="009F33CD" w:rsidRDefault="009F33CD">
            <w:pPr>
              <w:spacing w:before="0" w:beforeAutospacing="0" w:line="240" w:lineRule="auto"/>
            </w:pPr>
          </w:p>
        </w:tc>
      </w:tr>
      <w:tr w:rsidR="009F33CD" w14:paraId="0DF73965" w14:textId="77777777">
        <w:tc>
          <w:tcPr>
            <w:tcW w:w="336" w:type="dxa"/>
          </w:tcPr>
          <w:p w14:paraId="0E68D249" w14:textId="77777777" w:rsidR="009F33CD" w:rsidRDefault="00E40740">
            <w:pPr>
              <w:spacing w:before="0" w:beforeAutospacing="0" w:line="240" w:lineRule="auto"/>
            </w:pPr>
            <w:r>
              <w:t>4</w:t>
            </w:r>
          </w:p>
        </w:tc>
        <w:tc>
          <w:tcPr>
            <w:tcW w:w="4436" w:type="dxa"/>
          </w:tcPr>
          <w:p w14:paraId="6657EF91" w14:textId="77777777" w:rsidR="009F33CD" w:rsidRDefault="00E40740">
            <w:pPr>
              <w:spacing w:before="0" w:beforeAutospacing="0" w:line="240" w:lineRule="auto"/>
            </w:pPr>
            <w:r>
              <w:t>Management applies participative management style that enables employees to participate in green decision making.</w:t>
            </w:r>
          </w:p>
        </w:tc>
        <w:tc>
          <w:tcPr>
            <w:tcW w:w="780" w:type="dxa"/>
          </w:tcPr>
          <w:p w14:paraId="568E7E97" w14:textId="77777777" w:rsidR="009F33CD" w:rsidRDefault="009F33CD">
            <w:pPr>
              <w:spacing w:before="0" w:beforeAutospacing="0" w:line="240" w:lineRule="auto"/>
            </w:pPr>
          </w:p>
        </w:tc>
        <w:tc>
          <w:tcPr>
            <w:tcW w:w="696" w:type="dxa"/>
          </w:tcPr>
          <w:p w14:paraId="339B5CCB" w14:textId="77777777" w:rsidR="009F33CD" w:rsidRDefault="009F33CD">
            <w:pPr>
              <w:spacing w:before="0" w:beforeAutospacing="0" w:line="240" w:lineRule="auto"/>
            </w:pPr>
          </w:p>
        </w:tc>
        <w:tc>
          <w:tcPr>
            <w:tcW w:w="820" w:type="dxa"/>
          </w:tcPr>
          <w:p w14:paraId="6A43ADD6" w14:textId="77777777" w:rsidR="009F33CD" w:rsidRDefault="009F33CD">
            <w:pPr>
              <w:spacing w:before="0" w:beforeAutospacing="0" w:line="240" w:lineRule="auto"/>
            </w:pPr>
          </w:p>
        </w:tc>
        <w:tc>
          <w:tcPr>
            <w:tcW w:w="696" w:type="dxa"/>
          </w:tcPr>
          <w:p w14:paraId="4170DFA1" w14:textId="77777777" w:rsidR="009F33CD" w:rsidRDefault="009F33CD">
            <w:pPr>
              <w:spacing w:before="0" w:beforeAutospacing="0" w:line="240" w:lineRule="auto"/>
            </w:pPr>
          </w:p>
        </w:tc>
        <w:tc>
          <w:tcPr>
            <w:tcW w:w="780" w:type="dxa"/>
          </w:tcPr>
          <w:p w14:paraId="22400B1E" w14:textId="77777777" w:rsidR="009F33CD" w:rsidRDefault="009F33CD">
            <w:pPr>
              <w:spacing w:before="0" w:beforeAutospacing="0" w:line="240" w:lineRule="auto"/>
            </w:pPr>
          </w:p>
        </w:tc>
      </w:tr>
      <w:tr w:rsidR="009F33CD" w14:paraId="415DDE3E" w14:textId="77777777">
        <w:tc>
          <w:tcPr>
            <w:tcW w:w="336" w:type="dxa"/>
          </w:tcPr>
          <w:p w14:paraId="606193B5" w14:textId="77777777" w:rsidR="009F33CD" w:rsidRDefault="00E40740">
            <w:pPr>
              <w:spacing w:before="0" w:beforeAutospacing="0" w:line="240" w:lineRule="auto"/>
            </w:pPr>
            <w:r>
              <w:t>5</w:t>
            </w:r>
          </w:p>
        </w:tc>
        <w:tc>
          <w:tcPr>
            <w:tcW w:w="4436" w:type="dxa"/>
          </w:tcPr>
          <w:p w14:paraId="1A6C738D" w14:textId="77777777" w:rsidR="009F33CD" w:rsidRDefault="00E40740">
            <w:pPr>
              <w:spacing w:before="0" w:beforeAutospacing="0" w:line="240" w:lineRule="auto"/>
            </w:pPr>
            <w:bookmarkStart w:id="1851" w:name="_Toc139987533"/>
            <w:bookmarkStart w:id="1852" w:name="_Toc187080973"/>
            <w:bookmarkStart w:id="1853" w:name="_Toc147950315"/>
            <w:bookmarkStart w:id="1854" w:name="_Toc185614201"/>
            <w:bookmarkStart w:id="1855" w:name="_Toc139981700"/>
            <w:bookmarkStart w:id="1856" w:name="_Toc178945154"/>
            <w:bookmarkStart w:id="1857" w:name="_Toc165626474"/>
            <w:bookmarkStart w:id="1858" w:name="_Toc147946976"/>
            <w:r>
              <w:t>Bureaucratic management is embraced to improve environmental protection and worker-performance.</w:t>
            </w:r>
            <w:bookmarkEnd w:id="1851"/>
            <w:bookmarkEnd w:id="1852"/>
            <w:bookmarkEnd w:id="1853"/>
            <w:bookmarkEnd w:id="1854"/>
            <w:bookmarkEnd w:id="1855"/>
            <w:bookmarkEnd w:id="1856"/>
            <w:bookmarkEnd w:id="1857"/>
            <w:bookmarkEnd w:id="1858"/>
          </w:p>
        </w:tc>
        <w:tc>
          <w:tcPr>
            <w:tcW w:w="780" w:type="dxa"/>
          </w:tcPr>
          <w:p w14:paraId="4D99B82C" w14:textId="77777777" w:rsidR="009F33CD" w:rsidRDefault="009F33CD">
            <w:pPr>
              <w:spacing w:before="0" w:beforeAutospacing="0" w:line="240" w:lineRule="auto"/>
            </w:pPr>
          </w:p>
        </w:tc>
        <w:tc>
          <w:tcPr>
            <w:tcW w:w="696" w:type="dxa"/>
          </w:tcPr>
          <w:p w14:paraId="1D3B428F" w14:textId="77777777" w:rsidR="009F33CD" w:rsidRDefault="009F33CD">
            <w:pPr>
              <w:spacing w:before="0" w:beforeAutospacing="0" w:line="240" w:lineRule="auto"/>
            </w:pPr>
          </w:p>
        </w:tc>
        <w:tc>
          <w:tcPr>
            <w:tcW w:w="820" w:type="dxa"/>
          </w:tcPr>
          <w:p w14:paraId="057521DF" w14:textId="77777777" w:rsidR="009F33CD" w:rsidRDefault="009F33CD">
            <w:pPr>
              <w:spacing w:before="0" w:beforeAutospacing="0" w:line="240" w:lineRule="auto"/>
            </w:pPr>
          </w:p>
        </w:tc>
        <w:tc>
          <w:tcPr>
            <w:tcW w:w="696" w:type="dxa"/>
          </w:tcPr>
          <w:p w14:paraId="79A12B25" w14:textId="77777777" w:rsidR="009F33CD" w:rsidRDefault="009F33CD">
            <w:pPr>
              <w:spacing w:before="0" w:beforeAutospacing="0" w:line="240" w:lineRule="auto"/>
            </w:pPr>
          </w:p>
        </w:tc>
        <w:tc>
          <w:tcPr>
            <w:tcW w:w="780" w:type="dxa"/>
          </w:tcPr>
          <w:p w14:paraId="3701210E" w14:textId="77777777" w:rsidR="009F33CD" w:rsidRDefault="009F33CD">
            <w:pPr>
              <w:spacing w:before="0" w:beforeAutospacing="0" w:line="240" w:lineRule="auto"/>
            </w:pPr>
          </w:p>
        </w:tc>
      </w:tr>
      <w:tr w:rsidR="009F33CD" w14:paraId="734FC82F" w14:textId="77777777">
        <w:tc>
          <w:tcPr>
            <w:tcW w:w="336" w:type="dxa"/>
          </w:tcPr>
          <w:p w14:paraId="4923C74A" w14:textId="77777777" w:rsidR="009F33CD" w:rsidRDefault="00E40740">
            <w:pPr>
              <w:spacing w:before="0" w:beforeAutospacing="0" w:line="240" w:lineRule="auto"/>
            </w:pPr>
            <w:r>
              <w:t>6</w:t>
            </w:r>
          </w:p>
        </w:tc>
        <w:tc>
          <w:tcPr>
            <w:tcW w:w="4436" w:type="dxa"/>
          </w:tcPr>
          <w:p w14:paraId="7CA148C2" w14:textId="77777777" w:rsidR="009F33CD" w:rsidRDefault="00E40740">
            <w:pPr>
              <w:spacing w:before="0" w:beforeAutospacing="0" w:line="240" w:lineRule="auto"/>
            </w:pPr>
            <w:r>
              <w:rPr>
                <w:rFonts w:eastAsia="Calibri"/>
              </w:rPr>
              <w:t xml:space="preserve">There is adequate mechanism for supervision for implementation of performance management cycle. </w:t>
            </w:r>
          </w:p>
        </w:tc>
        <w:tc>
          <w:tcPr>
            <w:tcW w:w="780" w:type="dxa"/>
          </w:tcPr>
          <w:p w14:paraId="52712360" w14:textId="77777777" w:rsidR="009F33CD" w:rsidRDefault="009F33CD">
            <w:pPr>
              <w:spacing w:before="0" w:beforeAutospacing="0" w:line="240" w:lineRule="auto"/>
            </w:pPr>
          </w:p>
        </w:tc>
        <w:tc>
          <w:tcPr>
            <w:tcW w:w="696" w:type="dxa"/>
          </w:tcPr>
          <w:p w14:paraId="5966FF1A" w14:textId="77777777" w:rsidR="009F33CD" w:rsidRDefault="009F33CD">
            <w:pPr>
              <w:spacing w:before="0" w:beforeAutospacing="0" w:line="240" w:lineRule="auto"/>
            </w:pPr>
          </w:p>
        </w:tc>
        <w:tc>
          <w:tcPr>
            <w:tcW w:w="820" w:type="dxa"/>
          </w:tcPr>
          <w:p w14:paraId="5F55717E" w14:textId="77777777" w:rsidR="009F33CD" w:rsidRDefault="009F33CD">
            <w:pPr>
              <w:spacing w:before="0" w:beforeAutospacing="0" w:line="240" w:lineRule="auto"/>
            </w:pPr>
          </w:p>
        </w:tc>
        <w:tc>
          <w:tcPr>
            <w:tcW w:w="696" w:type="dxa"/>
          </w:tcPr>
          <w:p w14:paraId="6BEFE1F0" w14:textId="77777777" w:rsidR="009F33CD" w:rsidRDefault="009F33CD">
            <w:pPr>
              <w:spacing w:before="0" w:beforeAutospacing="0" w:line="240" w:lineRule="auto"/>
            </w:pPr>
          </w:p>
        </w:tc>
        <w:tc>
          <w:tcPr>
            <w:tcW w:w="780" w:type="dxa"/>
          </w:tcPr>
          <w:p w14:paraId="6CBB94FE" w14:textId="77777777" w:rsidR="009F33CD" w:rsidRDefault="009F33CD">
            <w:pPr>
              <w:spacing w:before="0" w:beforeAutospacing="0" w:line="240" w:lineRule="auto"/>
            </w:pPr>
          </w:p>
        </w:tc>
      </w:tr>
      <w:tr w:rsidR="009F33CD" w14:paraId="1D918B63" w14:textId="77777777">
        <w:tc>
          <w:tcPr>
            <w:tcW w:w="336" w:type="dxa"/>
          </w:tcPr>
          <w:p w14:paraId="56BFB347" w14:textId="77777777" w:rsidR="009F33CD" w:rsidRDefault="00E40740">
            <w:pPr>
              <w:spacing w:before="0" w:beforeAutospacing="0" w:line="240" w:lineRule="auto"/>
            </w:pPr>
            <w:r>
              <w:t>7</w:t>
            </w:r>
          </w:p>
        </w:tc>
        <w:tc>
          <w:tcPr>
            <w:tcW w:w="4436" w:type="dxa"/>
          </w:tcPr>
          <w:p w14:paraId="134D7C8B" w14:textId="77777777" w:rsidR="009F33CD" w:rsidRDefault="00E40740">
            <w:pPr>
              <w:spacing w:before="0" w:beforeAutospacing="0" w:line="240" w:lineRule="auto"/>
              <w:rPr>
                <w:rFonts w:eastAsia="Calibri"/>
              </w:rPr>
            </w:pPr>
            <w:r>
              <w:rPr>
                <w:rFonts w:eastAsia="Calibri"/>
              </w:rPr>
              <w:t xml:space="preserve">Management style can negatively affect performance of devolved healthcare services. </w:t>
            </w:r>
          </w:p>
        </w:tc>
        <w:tc>
          <w:tcPr>
            <w:tcW w:w="780" w:type="dxa"/>
          </w:tcPr>
          <w:p w14:paraId="1EAF9A7E" w14:textId="77777777" w:rsidR="009F33CD" w:rsidRDefault="009F33CD">
            <w:pPr>
              <w:spacing w:before="0" w:beforeAutospacing="0" w:line="240" w:lineRule="auto"/>
            </w:pPr>
          </w:p>
        </w:tc>
        <w:tc>
          <w:tcPr>
            <w:tcW w:w="696" w:type="dxa"/>
          </w:tcPr>
          <w:p w14:paraId="51C69DE0" w14:textId="77777777" w:rsidR="009F33CD" w:rsidRDefault="009F33CD">
            <w:pPr>
              <w:spacing w:before="0" w:beforeAutospacing="0" w:line="240" w:lineRule="auto"/>
            </w:pPr>
          </w:p>
        </w:tc>
        <w:tc>
          <w:tcPr>
            <w:tcW w:w="820" w:type="dxa"/>
          </w:tcPr>
          <w:p w14:paraId="4BA38CDD" w14:textId="77777777" w:rsidR="009F33CD" w:rsidRDefault="009F33CD">
            <w:pPr>
              <w:spacing w:before="0" w:beforeAutospacing="0" w:line="240" w:lineRule="auto"/>
            </w:pPr>
          </w:p>
        </w:tc>
        <w:tc>
          <w:tcPr>
            <w:tcW w:w="696" w:type="dxa"/>
          </w:tcPr>
          <w:p w14:paraId="5C5FE91A" w14:textId="77777777" w:rsidR="009F33CD" w:rsidRDefault="009F33CD">
            <w:pPr>
              <w:spacing w:before="0" w:beforeAutospacing="0" w:line="240" w:lineRule="auto"/>
            </w:pPr>
          </w:p>
        </w:tc>
        <w:tc>
          <w:tcPr>
            <w:tcW w:w="780" w:type="dxa"/>
          </w:tcPr>
          <w:p w14:paraId="667E7D15" w14:textId="77777777" w:rsidR="009F33CD" w:rsidRDefault="009F33CD">
            <w:pPr>
              <w:spacing w:before="0" w:beforeAutospacing="0" w:line="240" w:lineRule="auto"/>
            </w:pPr>
          </w:p>
        </w:tc>
      </w:tr>
    </w:tbl>
    <w:p w14:paraId="739D18FF" w14:textId="77777777" w:rsidR="009F33CD" w:rsidRDefault="00E40740">
      <w:pPr>
        <w:pBdr>
          <w:bottom w:val="single" w:sz="12" w:space="1" w:color="auto"/>
        </w:pBdr>
        <w:spacing w:before="0" w:beforeAutospacing="0"/>
        <w:rPr>
          <w:rFonts w:eastAsia="TimesNewRomanPSMT"/>
        </w:rPr>
      </w:pPr>
      <w:r>
        <w:rPr>
          <w:rFonts w:eastAsia="TimesNewRomanPSMT"/>
        </w:rPr>
        <w:t xml:space="preserve">8. Suggest possible ways in which management style can be improved in this hospital to enhance performance </w:t>
      </w:r>
    </w:p>
    <w:p w14:paraId="6CD4EC24" w14:textId="77777777" w:rsidR="00EF5E91" w:rsidRDefault="00EF5E91" w:rsidP="00EF5E91">
      <w:pPr>
        <w:spacing w:before="0" w:beforeAutospacing="0"/>
        <w:rPr>
          <w:rFonts w:eastAsia="Calibri"/>
          <w:b/>
        </w:rPr>
      </w:pPr>
      <w:r>
        <w:rPr>
          <w:rFonts w:eastAsia="TimesNewRomanPSMT"/>
        </w:rPr>
        <w:t>________________________________________________________________________________________________________________________________________</w:t>
      </w:r>
    </w:p>
    <w:p w14:paraId="3F740482" w14:textId="77777777" w:rsidR="00EF5E91" w:rsidRDefault="00EF5E91" w:rsidP="00EF5E91">
      <w:pPr>
        <w:autoSpaceDE/>
        <w:autoSpaceDN/>
        <w:adjustRightInd/>
        <w:spacing w:before="0" w:beforeAutospacing="0" w:after="0" w:afterAutospacing="0" w:line="240" w:lineRule="auto"/>
        <w:jc w:val="left"/>
        <w:rPr>
          <w:rFonts w:eastAsia="Calibri"/>
          <w:b/>
        </w:rPr>
      </w:pPr>
      <w:r>
        <w:rPr>
          <w:rFonts w:eastAsia="Calibri"/>
          <w:b/>
        </w:rPr>
        <w:br w:type="page"/>
      </w:r>
    </w:p>
    <w:p w14:paraId="60DDCA90" w14:textId="77777777" w:rsidR="009F33CD" w:rsidRDefault="00E40740">
      <w:pPr>
        <w:spacing w:before="0" w:beforeAutospacing="0"/>
        <w:rPr>
          <w:rFonts w:eastAsia="Calibri"/>
          <w:b/>
        </w:rPr>
      </w:pPr>
      <w:r>
        <w:rPr>
          <w:rFonts w:eastAsia="Calibri"/>
          <w:b/>
        </w:rPr>
        <w:lastRenderedPageBreak/>
        <w:t>SECTION G: PERFORMANCE OF DEVOLVED HEALTHCARE SERVICES</w:t>
      </w:r>
    </w:p>
    <w:p w14:paraId="37B0E043" w14:textId="77777777" w:rsidR="009F33CD" w:rsidRDefault="00E40740">
      <w:pPr>
        <w:spacing w:before="0" w:beforeAutospacing="0"/>
        <w:rPr>
          <w:rFonts w:eastAsia="Calibri"/>
          <w:b/>
        </w:rPr>
      </w:pPr>
      <w:r>
        <w:rPr>
          <w:rFonts w:eastAsia="TimesNewRomanPSMT"/>
        </w:rPr>
        <w:t xml:space="preserve">Performance in a devolved healthcare services is critical because it enables a hospital to achieve its desired objectives and it enhances environmental performance. Therefore, you are requested to provide an honest opinion by marking X or tick on each of the following statements showing your </w:t>
      </w:r>
      <w:r>
        <w:rPr>
          <w:rFonts w:eastAsia="Calibri"/>
        </w:rPr>
        <w:t xml:space="preserve">level of agreement/ disagreement </w:t>
      </w:r>
      <w:r>
        <w:rPr>
          <w:rFonts w:eastAsia="Calibri"/>
          <w:b/>
        </w:rPr>
        <w:t>(Where SD= Strongly Disagree, D=Disagree, UD=Undecided, A=Agree, SA=Strongly 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12"/>
        <w:gridCol w:w="780"/>
        <w:gridCol w:w="691"/>
        <w:gridCol w:w="820"/>
        <w:gridCol w:w="691"/>
        <w:gridCol w:w="780"/>
      </w:tblGrid>
      <w:tr w:rsidR="009F33CD" w14:paraId="3072937C" w14:textId="77777777">
        <w:tc>
          <w:tcPr>
            <w:tcW w:w="336" w:type="dxa"/>
          </w:tcPr>
          <w:p w14:paraId="17983E0A" w14:textId="77777777" w:rsidR="009F33CD" w:rsidRDefault="009F33CD">
            <w:pPr>
              <w:spacing w:before="0" w:beforeAutospacing="0" w:after="0" w:afterAutospacing="0" w:line="240" w:lineRule="auto"/>
              <w:rPr>
                <w:rFonts w:eastAsia="TimesNewRomanPSMT"/>
                <w:bCs/>
              </w:rPr>
            </w:pPr>
          </w:p>
        </w:tc>
        <w:tc>
          <w:tcPr>
            <w:tcW w:w="5432" w:type="dxa"/>
          </w:tcPr>
          <w:p w14:paraId="4690B4FD" w14:textId="77777777" w:rsidR="009F33CD" w:rsidRDefault="00E40740">
            <w:pPr>
              <w:spacing w:before="0" w:beforeAutospacing="0" w:after="0" w:afterAutospacing="0" w:line="240" w:lineRule="auto"/>
              <w:rPr>
                <w:rFonts w:eastAsia="TimesNewRomanPSMT"/>
                <w:b/>
                <w:bCs/>
              </w:rPr>
            </w:pPr>
            <w:r>
              <w:rPr>
                <w:rFonts w:eastAsia="TimesNewRomanPSMT"/>
                <w:b/>
              </w:rPr>
              <w:t xml:space="preserve">Performance of devolved Healthcare services </w:t>
            </w:r>
          </w:p>
        </w:tc>
        <w:tc>
          <w:tcPr>
            <w:tcW w:w="780" w:type="dxa"/>
          </w:tcPr>
          <w:p w14:paraId="387C1FF5" w14:textId="77777777" w:rsidR="009F33CD" w:rsidRDefault="00E40740">
            <w:pPr>
              <w:spacing w:before="0" w:beforeAutospacing="0" w:after="0" w:afterAutospacing="0" w:line="240" w:lineRule="auto"/>
              <w:rPr>
                <w:rFonts w:eastAsia="TimesNewRomanPSMT"/>
                <w:b/>
                <w:bCs/>
              </w:rPr>
            </w:pPr>
            <w:r>
              <w:rPr>
                <w:rFonts w:eastAsia="TimesNewRomanPSMT"/>
                <w:b/>
              </w:rPr>
              <w:t>SD=1</w:t>
            </w:r>
          </w:p>
        </w:tc>
        <w:tc>
          <w:tcPr>
            <w:tcW w:w="714" w:type="dxa"/>
          </w:tcPr>
          <w:p w14:paraId="0CE2CFE0" w14:textId="77777777" w:rsidR="009F33CD" w:rsidRDefault="00E40740">
            <w:pPr>
              <w:spacing w:before="0" w:beforeAutospacing="0" w:after="0" w:afterAutospacing="0" w:line="240" w:lineRule="auto"/>
              <w:rPr>
                <w:rFonts w:eastAsia="TimesNewRomanPSMT"/>
                <w:b/>
                <w:bCs/>
              </w:rPr>
            </w:pPr>
            <w:r>
              <w:rPr>
                <w:rFonts w:eastAsia="TimesNewRomanPSMT"/>
                <w:b/>
              </w:rPr>
              <w:t>D=2</w:t>
            </w:r>
          </w:p>
        </w:tc>
        <w:tc>
          <w:tcPr>
            <w:tcW w:w="820" w:type="dxa"/>
          </w:tcPr>
          <w:p w14:paraId="744D7DFE" w14:textId="77777777" w:rsidR="009F33CD" w:rsidRDefault="00E40740">
            <w:pPr>
              <w:spacing w:before="0" w:beforeAutospacing="0" w:after="0" w:afterAutospacing="0" w:line="240" w:lineRule="auto"/>
              <w:rPr>
                <w:rFonts w:eastAsia="TimesNewRomanPSMT"/>
                <w:b/>
                <w:bCs/>
              </w:rPr>
            </w:pPr>
            <w:r>
              <w:rPr>
                <w:rFonts w:eastAsia="TimesNewRomanPSMT"/>
                <w:b/>
              </w:rPr>
              <w:t>UD=3</w:t>
            </w:r>
          </w:p>
        </w:tc>
        <w:tc>
          <w:tcPr>
            <w:tcW w:w="714" w:type="dxa"/>
          </w:tcPr>
          <w:p w14:paraId="5BE76D43" w14:textId="77777777" w:rsidR="009F33CD" w:rsidRDefault="00E40740">
            <w:pPr>
              <w:spacing w:before="0" w:beforeAutospacing="0" w:after="0" w:afterAutospacing="0" w:line="240" w:lineRule="auto"/>
              <w:rPr>
                <w:rFonts w:eastAsia="TimesNewRomanPSMT"/>
                <w:b/>
                <w:bCs/>
              </w:rPr>
            </w:pPr>
            <w:r>
              <w:rPr>
                <w:rFonts w:eastAsia="TimesNewRomanPSMT"/>
                <w:b/>
              </w:rPr>
              <w:t>A=4</w:t>
            </w:r>
          </w:p>
        </w:tc>
        <w:tc>
          <w:tcPr>
            <w:tcW w:w="780" w:type="dxa"/>
          </w:tcPr>
          <w:p w14:paraId="58578412" w14:textId="77777777" w:rsidR="009F33CD" w:rsidRDefault="00E40740">
            <w:pPr>
              <w:spacing w:before="0" w:beforeAutospacing="0" w:after="0" w:afterAutospacing="0" w:line="240" w:lineRule="auto"/>
              <w:rPr>
                <w:rFonts w:eastAsia="TimesNewRomanPSMT"/>
                <w:b/>
                <w:bCs/>
              </w:rPr>
            </w:pPr>
            <w:r>
              <w:rPr>
                <w:rFonts w:eastAsia="TimesNewRomanPSMT"/>
                <w:b/>
              </w:rPr>
              <w:t>SA=5</w:t>
            </w:r>
          </w:p>
        </w:tc>
      </w:tr>
      <w:tr w:rsidR="009F33CD" w14:paraId="2E42173F" w14:textId="77777777">
        <w:tc>
          <w:tcPr>
            <w:tcW w:w="336" w:type="dxa"/>
          </w:tcPr>
          <w:p w14:paraId="3690D9EF" w14:textId="77777777" w:rsidR="009F33CD" w:rsidRDefault="00E40740">
            <w:pPr>
              <w:spacing w:before="0" w:beforeAutospacing="0" w:after="0" w:afterAutospacing="0" w:line="240" w:lineRule="auto"/>
              <w:rPr>
                <w:rFonts w:eastAsia="TimesNewRomanPSMT"/>
                <w:bCs/>
              </w:rPr>
            </w:pPr>
            <w:r>
              <w:rPr>
                <w:rFonts w:eastAsia="TimesNewRomanPSMT"/>
              </w:rPr>
              <w:t>1</w:t>
            </w:r>
          </w:p>
        </w:tc>
        <w:tc>
          <w:tcPr>
            <w:tcW w:w="5432" w:type="dxa"/>
          </w:tcPr>
          <w:p w14:paraId="6E057027" w14:textId="77777777" w:rsidR="009F33CD" w:rsidRDefault="00E40740">
            <w:pPr>
              <w:spacing w:before="0" w:beforeAutospacing="0" w:after="0" w:afterAutospacing="0" w:line="240" w:lineRule="auto"/>
              <w:rPr>
                <w:rFonts w:eastAsia="TimesNewRomanPSMT"/>
                <w:bCs/>
              </w:rPr>
            </w:pPr>
            <w:r>
              <w:rPr>
                <w:rFonts w:eastAsia="TimesNewRomanPSMT"/>
              </w:rPr>
              <w:t>The number of patients attended to has increased for the past six years.</w:t>
            </w:r>
          </w:p>
        </w:tc>
        <w:tc>
          <w:tcPr>
            <w:tcW w:w="780" w:type="dxa"/>
          </w:tcPr>
          <w:p w14:paraId="61AC6933" w14:textId="77777777" w:rsidR="009F33CD" w:rsidRDefault="009F33CD">
            <w:pPr>
              <w:spacing w:before="0" w:beforeAutospacing="0" w:after="0" w:afterAutospacing="0" w:line="240" w:lineRule="auto"/>
              <w:rPr>
                <w:rFonts w:eastAsia="TimesNewRomanPSMT"/>
                <w:bCs/>
              </w:rPr>
            </w:pPr>
          </w:p>
        </w:tc>
        <w:tc>
          <w:tcPr>
            <w:tcW w:w="714" w:type="dxa"/>
          </w:tcPr>
          <w:p w14:paraId="2E4CAC0F" w14:textId="77777777" w:rsidR="009F33CD" w:rsidRDefault="009F33CD">
            <w:pPr>
              <w:spacing w:before="0" w:beforeAutospacing="0" w:after="0" w:afterAutospacing="0" w:line="240" w:lineRule="auto"/>
              <w:rPr>
                <w:rFonts w:eastAsia="TimesNewRomanPSMT"/>
                <w:bCs/>
              </w:rPr>
            </w:pPr>
          </w:p>
        </w:tc>
        <w:tc>
          <w:tcPr>
            <w:tcW w:w="820" w:type="dxa"/>
          </w:tcPr>
          <w:p w14:paraId="4E718FD1" w14:textId="77777777" w:rsidR="009F33CD" w:rsidRDefault="009F33CD">
            <w:pPr>
              <w:spacing w:before="0" w:beforeAutospacing="0" w:after="0" w:afterAutospacing="0" w:line="240" w:lineRule="auto"/>
              <w:rPr>
                <w:rFonts w:eastAsia="TimesNewRomanPSMT"/>
                <w:bCs/>
              </w:rPr>
            </w:pPr>
          </w:p>
        </w:tc>
        <w:tc>
          <w:tcPr>
            <w:tcW w:w="714" w:type="dxa"/>
          </w:tcPr>
          <w:p w14:paraId="75A732FE" w14:textId="77777777" w:rsidR="009F33CD" w:rsidRDefault="009F33CD">
            <w:pPr>
              <w:spacing w:before="0" w:beforeAutospacing="0" w:after="0" w:afterAutospacing="0" w:line="240" w:lineRule="auto"/>
              <w:rPr>
                <w:rFonts w:eastAsia="TimesNewRomanPSMT"/>
                <w:bCs/>
              </w:rPr>
            </w:pPr>
          </w:p>
        </w:tc>
        <w:tc>
          <w:tcPr>
            <w:tcW w:w="780" w:type="dxa"/>
          </w:tcPr>
          <w:p w14:paraId="2A5C33F5" w14:textId="77777777" w:rsidR="009F33CD" w:rsidRDefault="009F33CD">
            <w:pPr>
              <w:spacing w:before="0" w:beforeAutospacing="0" w:after="0" w:afterAutospacing="0" w:line="240" w:lineRule="auto"/>
              <w:rPr>
                <w:rFonts w:eastAsia="TimesNewRomanPSMT"/>
                <w:bCs/>
              </w:rPr>
            </w:pPr>
          </w:p>
        </w:tc>
      </w:tr>
      <w:tr w:rsidR="009F33CD" w14:paraId="61F17B4A" w14:textId="77777777">
        <w:tc>
          <w:tcPr>
            <w:tcW w:w="336" w:type="dxa"/>
          </w:tcPr>
          <w:p w14:paraId="38828C2D" w14:textId="77777777" w:rsidR="009F33CD" w:rsidRDefault="00E40740">
            <w:pPr>
              <w:spacing w:before="0" w:beforeAutospacing="0" w:after="0" w:afterAutospacing="0" w:line="240" w:lineRule="auto"/>
              <w:rPr>
                <w:rFonts w:eastAsia="TimesNewRomanPSMT"/>
                <w:bCs/>
              </w:rPr>
            </w:pPr>
            <w:r>
              <w:rPr>
                <w:rFonts w:eastAsia="TimesNewRomanPSMT"/>
              </w:rPr>
              <w:t>2</w:t>
            </w:r>
          </w:p>
        </w:tc>
        <w:tc>
          <w:tcPr>
            <w:tcW w:w="5432" w:type="dxa"/>
          </w:tcPr>
          <w:p w14:paraId="03486E59" w14:textId="77777777" w:rsidR="009F33CD" w:rsidRDefault="00E40740">
            <w:pPr>
              <w:spacing w:before="0" w:beforeAutospacing="0" w:after="0" w:afterAutospacing="0" w:line="240" w:lineRule="auto"/>
              <w:rPr>
                <w:rFonts w:eastAsia="TimesNewRomanPSMT"/>
                <w:bCs/>
              </w:rPr>
            </w:pPr>
            <w:r>
              <w:rPr>
                <w:rFonts w:eastAsia="TimesNewRomanPSMT"/>
              </w:rPr>
              <w:t>The eco-friendly processes developed by the hospital reduces consumption of energy.</w:t>
            </w:r>
          </w:p>
        </w:tc>
        <w:tc>
          <w:tcPr>
            <w:tcW w:w="780" w:type="dxa"/>
          </w:tcPr>
          <w:p w14:paraId="0CBDF133" w14:textId="77777777" w:rsidR="009F33CD" w:rsidRDefault="009F33CD">
            <w:pPr>
              <w:spacing w:before="0" w:beforeAutospacing="0" w:after="0" w:afterAutospacing="0" w:line="240" w:lineRule="auto"/>
              <w:rPr>
                <w:rFonts w:eastAsia="TimesNewRomanPSMT"/>
                <w:bCs/>
              </w:rPr>
            </w:pPr>
          </w:p>
        </w:tc>
        <w:tc>
          <w:tcPr>
            <w:tcW w:w="714" w:type="dxa"/>
          </w:tcPr>
          <w:p w14:paraId="6DDAF317" w14:textId="77777777" w:rsidR="009F33CD" w:rsidRDefault="009F33CD">
            <w:pPr>
              <w:spacing w:before="0" w:beforeAutospacing="0" w:after="0" w:afterAutospacing="0" w:line="240" w:lineRule="auto"/>
              <w:rPr>
                <w:rFonts w:eastAsia="TimesNewRomanPSMT"/>
                <w:bCs/>
              </w:rPr>
            </w:pPr>
          </w:p>
        </w:tc>
        <w:tc>
          <w:tcPr>
            <w:tcW w:w="820" w:type="dxa"/>
          </w:tcPr>
          <w:p w14:paraId="03ACA7B8" w14:textId="77777777" w:rsidR="009F33CD" w:rsidRDefault="009F33CD">
            <w:pPr>
              <w:spacing w:before="0" w:beforeAutospacing="0" w:after="0" w:afterAutospacing="0" w:line="240" w:lineRule="auto"/>
              <w:rPr>
                <w:rFonts w:eastAsia="TimesNewRomanPSMT"/>
                <w:bCs/>
              </w:rPr>
            </w:pPr>
          </w:p>
        </w:tc>
        <w:tc>
          <w:tcPr>
            <w:tcW w:w="714" w:type="dxa"/>
          </w:tcPr>
          <w:p w14:paraId="11AAF777" w14:textId="77777777" w:rsidR="009F33CD" w:rsidRDefault="009F33CD">
            <w:pPr>
              <w:spacing w:before="0" w:beforeAutospacing="0" w:after="0" w:afterAutospacing="0" w:line="240" w:lineRule="auto"/>
              <w:rPr>
                <w:rFonts w:eastAsia="TimesNewRomanPSMT"/>
                <w:bCs/>
              </w:rPr>
            </w:pPr>
          </w:p>
        </w:tc>
        <w:tc>
          <w:tcPr>
            <w:tcW w:w="780" w:type="dxa"/>
          </w:tcPr>
          <w:p w14:paraId="66E45DDB" w14:textId="77777777" w:rsidR="009F33CD" w:rsidRDefault="009F33CD">
            <w:pPr>
              <w:spacing w:before="0" w:beforeAutospacing="0" w:after="0" w:afterAutospacing="0" w:line="240" w:lineRule="auto"/>
              <w:rPr>
                <w:rFonts w:eastAsia="TimesNewRomanPSMT"/>
                <w:bCs/>
              </w:rPr>
            </w:pPr>
          </w:p>
        </w:tc>
      </w:tr>
      <w:tr w:rsidR="009F33CD" w14:paraId="308071C1" w14:textId="77777777">
        <w:tc>
          <w:tcPr>
            <w:tcW w:w="336" w:type="dxa"/>
          </w:tcPr>
          <w:p w14:paraId="0813B2D5" w14:textId="77777777" w:rsidR="009F33CD" w:rsidRDefault="00E40740">
            <w:pPr>
              <w:spacing w:before="0" w:beforeAutospacing="0" w:after="0" w:afterAutospacing="0" w:line="240" w:lineRule="auto"/>
              <w:rPr>
                <w:rFonts w:eastAsia="TimesNewRomanPSMT"/>
                <w:bCs/>
              </w:rPr>
            </w:pPr>
            <w:r>
              <w:rPr>
                <w:rFonts w:eastAsia="TimesNewRomanPSMT"/>
              </w:rPr>
              <w:t>3</w:t>
            </w:r>
          </w:p>
        </w:tc>
        <w:tc>
          <w:tcPr>
            <w:tcW w:w="5432" w:type="dxa"/>
          </w:tcPr>
          <w:p w14:paraId="76C04CE6" w14:textId="77777777" w:rsidR="009F33CD" w:rsidRDefault="00E40740">
            <w:pPr>
              <w:spacing w:before="0" w:beforeAutospacing="0" w:after="0" w:afterAutospacing="0" w:line="240" w:lineRule="auto"/>
              <w:rPr>
                <w:rFonts w:eastAsia="TimesNewRomanPSMT"/>
                <w:bCs/>
              </w:rPr>
            </w:pPr>
            <w:r>
              <w:rPr>
                <w:rFonts w:eastAsia="TimesNewRomanPSMT"/>
              </w:rPr>
              <w:t>Hospital clients are satisfied with the provision of eco-friendly healthcare services.</w:t>
            </w:r>
          </w:p>
        </w:tc>
        <w:tc>
          <w:tcPr>
            <w:tcW w:w="780" w:type="dxa"/>
          </w:tcPr>
          <w:p w14:paraId="4A53043F" w14:textId="77777777" w:rsidR="009F33CD" w:rsidRDefault="009F33CD">
            <w:pPr>
              <w:spacing w:before="0" w:beforeAutospacing="0" w:after="0" w:afterAutospacing="0" w:line="240" w:lineRule="auto"/>
              <w:rPr>
                <w:rFonts w:eastAsia="TimesNewRomanPSMT"/>
                <w:bCs/>
              </w:rPr>
            </w:pPr>
          </w:p>
        </w:tc>
        <w:tc>
          <w:tcPr>
            <w:tcW w:w="714" w:type="dxa"/>
          </w:tcPr>
          <w:p w14:paraId="6DD6C5EB" w14:textId="77777777" w:rsidR="009F33CD" w:rsidRDefault="009F33CD">
            <w:pPr>
              <w:spacing w:before="0" w:beforeAutospacing="0" w:after="0" w:afterAutospacing="0" w:line="240" w:lineRule="auto"/>
              <w:rPr>
                <w:rFonts w:eastAsia="TimesNewRomanPSMT"/>
                <w:bCs/>
              </w:rPr>
            </w:pPr>
          </w:p>
        </w:tc>
        <w:tc>
          <w:tcPr>
            <w:tcW w:w="820" w:type="dxa"/>
          </w:tcPr>
          <w:p w14:paraId="6373AAD3" w14:textId="77777777" w:rsidR="009F33CD" w:rsidRDefault="009F33CD">
            <w:pPr>
              <w:spacing w:before="0" w:beforeAutospacing="0" w:after="0" w:afterAutospacing="0" w:line="240" w:lineRule="auto"/>
              <w:rPr>
                <w:rFonts w:eastAsia="TimesNewRomanPSMT"/>
                <w:bCs/>
              </w:rPr>
            </w:pPr>
          </w:p>
        </w:tc>
        <w:tc>
          <w:tcPr>
            <w:tcW w:w="714" w:type="dxa"/>
          </w:tcPr>
          <w:p w14:paraId="676D5490" w14:textId="77777777" w:rsidR="009F33CD" w:rsidRDefault="009F33CD">
            <w:pPr>
              <w:spacing w:before="0" w:beforeAutospacing="0" w:after="0" w:afterAutospacing="0" w:line="240" w:lineRule="auto"/>
              <w:rPr>
                <w:rFonts w:eastAsia="TimesNewRomanPSMT"/>
                <w:bCs/>
              </w:rPr>
            </w:pPr>
          </w:p>
        </w:tc>
        <w:tc>
          <w:tcPr>
            <w:tcW w:w="780" w:type="dxa"/>
          </w:tcPr>
          <w:p w14:paraId="68521870" w14:textId="77777777" w:rsidR="009F33CD" w:rsidRDefault="009F33CD">
            <w:pPr>
              <w:spacing w:before="0" w:beforeAutospacing="0" w:after="0" w:afterAutospacing="0" w:line="240" w:lineRule="auto"/>
              <w:rPr>
                <w:rFonts w:eastAsia="TimesNewRomanPSMT"/>
                <w:bCs/>
              </w:rPr>
            </w:pPr>
          </w:p>
        </w:tc>
      </w:tr>
      <w:tr w:rsidR="009F33CD" w14:paraId="10DF3C53" w14:textId="77777777">
        <w:tc>
          <w:tcPr>
            <w:tcW w:w="336" w:type="dxa"/>
          </w:tcPr>
          <w:p w14:paraId="4A98D6A0" w14:textId="77777777" w:rsidR="009F33CD" w:rsidRDefault="00E40740">
            <w:pPr>
              <w:spacing w:before="0" w:beforeAutospacing="0" w:after="0" w:afterAutospacing="0" w:line="240" w:lineRule="auto"/>
              <w:rPr>
                <w:rFonts w:eastAsia="TimesNewRomanPSMT"/>
                <w:bCs/>
              </w:rPr>
            </w:pPr>
            <w:r>
              <w:rPr>
                <w:rFonts w:eastAsia="TimesNewRomanPSMT"/>
              </w:rPr>
              <w:t>4</w:t>
            </w:r>
          </w:p>
        </w:tc>
        <w:tc>
          <w:tcPr>
            <w:tcW w:w="5432" w:type="dxa"/>
          </w:tcPr>
          <w:p w14:paraId="646E85F9" w14:textId="77777777" w:rsidR="009F33CD" w:rsidRDefault="00E40740">
            <w:pPr>
              <w:spacing w:before="0" w:beforeAutospacing="0" w:after="0" w:afterAutospacing="0" w:line="240" w:lineRule="auto"/>
              <w:rPr>
                <w:rFonts w:eastAsia="TimesNewRomanPSMT"/>
                <w:bCs/>
              </w:rPr>
            </w:pPr>
            <w:r>
              <w:rPr>
                <w:rFonts w:eastAsia="TimesNewRomanPSMT"/>
              </w:rPr>
              <w:t>The hospital encourages use of electronic payment system (</w:t>
            </w:r>
            <w:r w:rsidR="00FC6D2C">
              <w:rPr>
                <w:rFonts w:eastAsia="TimesNewRomanPSMT"/>
              </w:rPr>
              <w:t>e.g.,</w:t>
            </w:r>
            <w:r>
              <w:rPr>
                <w:rFonts w:eastAsia="TimesNewRomanPSMT"/>
              </w:rPr>
              <w:t xml:space="preserve"> M-pesa) for healthcare services because it improves client satisfaction and revenue collection.</w:t>
            </w:r>
          </w:p>
        </w:tc>
        <w:tc>
          <w:tcPr>
            <w:tcW w:w="780" w:type="dxa"/>
          </w:tcPr>
          <w:p w14:paraId="7F169717" w14:textId="77777777" w:rsidR="009F33CD" w:rsidRDefault="009F33CD">
            <w:pPr>
              <w:spacing w:before="0" w:beforeAutospacing="0" w:after="0" w:afterAutospacing="0" w:line="240" w:lineRule="auto"/>
              <w:rPr>
                <w:rFonts w:eastAsia="TimesNewRomanPSMT"/>
                <w:bCs/>
              </w:rPr>
            </w:pPr>
          </w:p>
        </w:tc>
        <w:tc>
          <w:tcPr>
            <w:tcW w:w="714" w:type="dxa"/>
          </w:tcPr>
          <w:p w14:paraId="20AF544E" w14:textId="77777777" w:rsidR="009F33CD" w:rsidRDefault="009F33CD">
            <w:pPr>
              <w:spacing w:before="0" w:beforeAutospacing="0" w:after="0" w:afterAutospacing="0" w:line="240" w:lineRule="auto"/>
              <w:rPr>
                <w:rFonts w:eastAsia="TimesNewRomanPSMT"/>
                <w:bCs/>
              </w:rPr>
            </w:pPr>
          </w:p>
        </w:tc>
        <w:tc>
          <w:tcPr>
            <w:tcW w:w="820" w:type="dxa"/>
          </w:tcPr>
          <w:p w14:paraId="0141ED10" w14:textId="77777777" w:rsidR="009F33CD" w:rsidRDefault="009F33CD">
            <w:pPr>
              <w:spacing w:before="0" w:beforeAutospacing="0" w:after="0" w:afterAutospacing="0" w:line="240" w:lineRule="auto"/>
              <w:rPr>
                <w:rFonts w:eastAsia="TimesNewRomanPSMT"/>
                <w:bCs/>
              </w:rPr>
            </w:pPr>
          </w:p>
        </w:tc>
        <w:tc>
          <w:tcPr>
            <w:tcW w:w="714" w:type="dxa"/>
          </w:tcPr>
          <w:p w14:paraId="59301F2E" w14:textId="77777777" w:rsidR="009F33CD" w:rsidRDefault="009F33CD">
            <w:pPr>
              <w:spacing w:before="0" w:beforeAutospacing="0" w:after="0" w:afterAutospacing="0" w:line="240" w:lineRule="auto"/>
              <w:rPr>
                <w:rFonts w:eastAsia="TimesNewRomanPSMT"/>
                <w:bCs/>
              </w:rPr>
            </w:pPr>
          </w:p>
        </w:tc>
        <w:tc>
          <w:tcPr>
            <w:tcW w:w="780" w:type="dxa"/>
          </w:tcPr>
          <w:p w14:paraId="26291389" w14:textId="77777777" w:rsidR="009F33CD" w:rsidRDefault="009F33CD">
            <w:pPr>
              <w:spacing w:before="0" w:beforeAutospacing="0" w:after="0" w:afterAutospacing="0" w:line="240" w:lineRule="auto"/>
              <w:rPr>
                <w:rFonts w:eastAsia="TimesNewRomanPSMT"/>
                <w:bCs/>
              </w:rPr>
            </w:pPr>
          </w:p>
        </w:tc>
      </w:tr>
      <w:tr w:rsidR="009F33CD" w14:paraId="67D923C2" w14:textId="77777777">
        <w:tc>
          <w:tcPr>
            <w:tcW w:w="336" w:type="dxa"/>
          </w:tcPr>
          <w:p w14:paraId="5F19EF8D" w14:textId="77777777" w:rsidR="009F33CD" w:rsidRDefault="00E40740">
            <w:pPr>
              <w:spacing w:before="0" w:beforeAutospacing="0" w:after="0" w:afterAutospacing="0" w:line="240" w:lineRule="auto"/>
              <w:rPr>
                <w:rFonts w:eastAsia="TimesNewRomanPSMT"/>
                <w:bCs/>
              </w:rPr>
            </w:pPr>
            <w:r>
              <w:rPr>
                <w:rFonts w:eastAsia="TimesNewRomanPSMT"/>
              </w:rPr>
              <w:t>5</w:t>
            </w:r>
          </w:p>
        </w:tc>
        <w:tc>
          <w:tcPr>
            <w:tcW w:w="5432" w:type="dxa"/>
          </w:tcPr>
          <w:p w14:paraId="0107E54B" w14:textId="77777777" w:rsidR="009F33CD" w:rsidRDefault="00E40740">
            <w:pPr>
              <w:spacing w:before="0" w:beforeAutospacing="0" w:after="0" w:afterAutospacing="0" w:line="240" w:lineRule="auto"/>
              <w:rPr>
                <w:rFonts w:eastAsia="TimesNewRomanPSMT"/>
                <w:bCs/>
              </w:rPr>
            </w:pPr>
            <w:r>
              <w:rPr>
                <w:rFonts w:eastAsia="TimesNewRoman"/>
              </w:rPr>
              <w:t>Management supports use of eco-friendly Electronic-resources.</w:t>
            </w:r>
          </w:p>
        </w:tc>
        <w:tc>
          <w:tcPr>
            <w:tcW w:w="780" w:type="dxa"/>
          </w:tcPr>
          <w:p w14:paraId="26F42565" w14:textId="77777777" w:rsidR="009F33CD" w:rsidRDefault="009F33CD">
            <w:pPr>
              <w:spacing w:before="0" w:beforeAutospacing="0" w:after="0" w:afterAutospacing="0" w:line="240" w:lineRule="auto"/>
              <w:rPr>
                <w:rFonts w:eastAsia="TimesNewRomanPSMT"/>
                <w:bCs/>
              </w:rPr>
            </w:pPr>
          </w:p>
        </w:tc>
        <w:tc>
          <w:tcPr>
            <w:tcW w:w="714" w:type="dxa"/>
          </w:tcPr>
          <w:p w14:paraId="7F4B618A" w14:textId="77777777" w:rsidR="009F33CD" w:rsidRDefault="009F33CD">
            <w:pPr>
              <w:spacing w:before="0" w:beforeAutospacing="0" w:after="0" w:afterAutospacing="0" w:line="240" w:lineRule="auto"/>
              <w:rPr>
                <w:rFonts w:eastAsia="TimesNewRomanPSMT"/>
                <w:bCs/>
              </w:rPr>
            </w:pPr>
          </w:p>
        </w:tc>
        <w:tc>
          <w:tcPr>
            <w:tcW w:w="820" w:type="dxa"/>
          </w:tcPr>
          <w:p w14:paraId="09E9EC46" w14:textId="77777777" w:rsidR="009F33CD" w:rsidRDefault="009F33CD">
            <w:pPr>
              <w:spacing w:before="0" w:beforeAutospacing="0" w:after="0" w:afterAutospacing="0" w:line="240" w:lineRule="auto"/>
              <w:rPr>
                <w:rFonts w:eastAsia="TimesNewRomanPSMT"/>
                <w:bCs/>
              </w:rPr>
            </w:pPr>
          </w:p>
        </w:tc>
        <w:tc>
          <w:tcPr>
            <w:tcW w:w="714" w:type="dxa"/>
          </w:tcPr>
          <w:p w14:paraId="6E1A0255" w14:textId="77777777" w:rsidR="009F33CD" w:rsidRDefault="009F33CD">
            <w:pPr>
              <w:spacing w:before="0" w:beforeAutospacing="0" w:after="0" w:afterAutospacing="0" w:line="240" w:lineRule="auto"/>
              <w:rPr>
                <w:rFonts w:eastAsia="TimesNewRomanPSMT"/>
                <w:bCs/>
              </w:rPr>
            </w:pPr>
          </w:p>
        </w:tc>
        <w:tc>
          <w:tcPr>
            <w:tcW w:w="780" w:type="dxa"/>
          </w:tcPr>
          <w:p w14:paraId="76D86CF6" w14:textId="77777777" w:rsidR="009F33CD" w:rsidRDefault="009F33CD">
            <w:pPr>
              <w:spacing w:before="0" w:beforeAutospacing="0" w:after="0" w:afterAutospacing="0" w:line="240" w:lineRule="auto"/>
              <w:rPr>
                <w:rFonts w:eastAsia="TimesNewRomanPSMT"/>
                <w:bCs/>
              </w:rPr>
            </w:pPr>
          </w:p>
        </w:tc>
      </w:tr>
      <w:tr w:rsidR="009F33CD" w14:paraId="27993491" w14:textId="77777777">
        <w:tc>
          <w:tcPr>
            <w:tcW w:w="336" w:type="dxa"/>
          </w:tcPr>
          <w:p w14:paraId="103DB633" w14:textId="77777777" w:rsidR="009F33CD" w:rsidRDefault="00E40740">
            <w:pPr>
              <w:spacing w:before="0" w:beforeAutospacing="0" w:after="0" w:afterAutospacing="0" w:line="240" w:lineRule="auto"/>
              <w:rPr>
                <w:rFonts w:eastAsia="TimesNewRomanPSMT"/>
                <w:bCs/>
              </w:rPr>
            </w:pPr>
            <w:r>
              <w:rPr>
                <w:rFonts w:eastAsia="TimesNewRomanPSMT"/>
              </w:rPr>
              <w:t>5</w:t>
            </w:r>
          </w:p>
        </w:tc>
        <w:tc>
          <w:tcPr>
            <w:tcW w:w="5432" w:type="dxa"/>
          </w:tcPr>
          <w:p w14:paraId="2A838B82" w14:textId="77777777" w:rsidR="009F33CD" w:rsidRDefault="00E40740">
            <w:pPr>
              <w:spacing w:before="0" w:beforeAutospacing="0" w:after="0" w:afterAutospacing="0" w:line="240" w:lineRule="auto"/>
              <w:rPr>
                <w:rFonts w:eastAsia="TimesNewRomanPSMT"/>
                <w:bCs/>
              </w:rPr>
            </w:pPr>
            <w:r>
              <w:rPr>
                <w:rFonts w:eastAsia="TimesNewRomanPSMT"/>
              </w:rPr>
              <w:t xml:space="preserve">Revenue generation in this hospital has increased for the past six years </w:t>
            </w:r>
          </w:p>
        </w:tc>
        <w:tc>
          <w:tcPr>
            <w:tcW w:w="780" w:type="dxa"/>
          </w:tcPr>
          <w:p w14:paraId="138BD0EC" w14:textId="77777777" w:rsidR="009F33CD" w:rsidRDefault="009F33CD">
            <w:pPr>
              <w:spacing w:before="0" w:beforeAutospacing="0" w:after="0" w:afterAutospacing="0" w:line="240" w:lineRule="auto"/>
              <w:rPr>
                <w:rFonts w:eastAsia="TimesNewRomanPSMT"/>
                <w:bCs/>
              </w:rPr>
            </w:pPr>
          </w:p>
        </w:tc>
        <w:tc>
          <w:tcPr>
            <w:tcW w:w="714" w:type="dxa"/>
          </w:tcPr>
          <w:p w14:paraId="75DAA747" w14:textId="77777777" w:rsidR="009F33CD" w:rsidRDefault="009F33CD">
            <w:pPr>
              <w:spacing w:before="0" w:beforeAutospacing="0" w:after="0" w:afterAutospacing="0" w:line="240" w:lineRule="auto"/>
              <w:rPr>
                <w:rFonts w:eastAsia="TimesNewRomanPSMT"/>
                <w:bCs/>
              </w:rPr>
            </w:pPr>
          </w:p>
        </w:tc>
        <w:tc>
          <w:tcPr>
            <w:tcW w:w="820" w:type="dxa"/>
          </w:tcPr>
          <w:p w14:paraId="60503BD0" w14:textId="77777777" w:rsidR="009F33CD" w:rsidRDefault="009F33CD">
            <w:pPr>
              <w:spacing w:before="0" w:beforeAutospacing="0" w:after="0" w:afterAutospacing="0" w:line="240" w:lineRule="auto"/>
              <w:rPr>
                <w:rFonts w:eastAsia="TimesNewRomanPSMT"/>
                <w:bCs/>
              </w:rPr>
            </w:pPr>
          </w:p>
        </w:tc>
        <w:tc>
          <w:tcPr>
            <w:tcW w:w="714" w:type="dxa"/>
          </w:tcPr>
          <w:p w14:paraId="01137F7F" w14:textId="77777777" w:rsidR="009F33CD" w:rsidRDefault="009F33CD">
            <w:pPr>
              <w:spacing w:before="0" w:beforeAutospacing="0" w:after="0" w:afterAutospacing="0" w:line="240" w:lineRule="auto"/>
              <w:rPr>
                <w:rFonts w:eastAsia="TimesNewRomanPSMT"/>
                <w:bCs/>
              </w:rPr>
            </w:pPr>
          </w:p>
        </w:tc>
        <w:tc>
          <w:tcPr>
            <w:tcW w:w="780" w:type="dxa"/>
          </w:tcPr>
          <w:p w14:paraId="640ED1F3" w14:textId="77777777" w:rsidR="009F33CD" w:rsidRDefault="009F33CD">
            <w:pPr>
              <w:spacing w:before="0" w:beforeAutospacing="0" w:after="0" w:afterAutospacing="0" w:line="240" w:lineRule="auto"/>
              <w:rPr>
                <w:rFonts w:eastAsia="TimesNewRomanPSMT"/>
                <w:bCs/>
              </w:rPr>
            </w:pPr>
          </w:p>
        </w:tc>
      </w:tr>
      <w:tr w:rsidR="009F33CD" w14:paraId="09519C3B" w14:textId="77777777">
        <w:tc>
          <w:tcPr>
            <w:tcW w:w="336" w:type="dxa"/>
          </w:tcPr>
          <w:p w14:paraId="3B826316" w14:textId="77777777" w:rsidR="009F33CD" w:rsidRDefault="00E40740">
            <w:pPr>
              <w:spacing w:before="0" w:beforeAutospacing="0" w:after="0" w:afterAutospacing="0" w:line="240" w:lineRule="auto"/>
              <w:rPr>
                <w:rFonts w:eastAsia="TimesNewRomanPSMT"/>
                <w:bCs/>
              </w:rPr>
            </w:pPr>
            <w:r>
              <w:rPr>
                <w:rFonts w:eastAsia="TimesNewRomanPSMT"/>
              </w:rPr>
              <w:t>6</w:t>
            </w:r>
          </w:p>
        </w:tc>
        <w:tc>
          <w:tcPr>
            <w:tcW w:w="5432" w:type="dxa"/>
          </w:tcPr>
          <w:p w14:paraId="1420169D" w14:textId="77777777" w:rsidR="009F33CD" w:rsidRDefault="00E40740">
            <w:pPr>
              <w:spacing w:before="0" w:beforeAutospacing="0" w:after="0" w:afterAutospacing="0" w:line="240" w:lineRule="auto"/>
              <w:rPr>
                <w:rFonts w:eastAsia="TimesNewRomanPSMT"/>
                <w:bCs/>
              </w:rPr>
            </w:pPr>
            <w:r>
              <w:rPr>
                <w:rFonts w:eastAsia="TimesNewRomanPSMT"/>
              </w:rPr>
              <w:t>The green operations developed by the hospital effectively reduces the emission of hazardous substances.</w:t>
            </w:r>
          </w:p>
        </w:tc>
        <w:tc>
          <w:tcPr>
            <w:tcW w:w="780" w:type="dxa"/>
          </w:tcPr>
          <w:p w14:paraId="2E1053C9" w14:textId="77777777" w:rsidR="009F33CD" w:rsidRDefault="009F33CD">
            <w:pPr>
              <w:spacing w:before="0" w:beforeAutospacing="0" w:after="0" w:afterAutospacing="0" w:line="240" w:lineRule="auto"/>
              <w:rPr>
                <w:rFonts w:eastAsia="TimesNewRomanPSMT"/>
                <w:bCs/>
              </w:rPr>
            </w:pPr>
          </w:p>
        </w:tc>
        <w:tc>
          <w:tcPr>
            <w:tcW w:w="714" w:type="dxa"/>
          </w:tcPr>
          <w:p w14:paraId="436B1C30" w14:textId="77777777" w:rsidR="009F33CD" w:rsidRDefault="009F33CD">
            <w:pPr>
              <w:spacing w:before="0" w:beforeAutospacing="0" w:after="0" w:afterAutospacing="0" w:line="240" w:lineRule="auto"/>
              <w:rPr>
                <w:rFonts w:eastAsia="TimesNewRomanPSMT"/>
                <w:bCs/>
              </w:rPr>
            </w:pPr>
          </w:p>
        </w:tc>
        <w:tc>
          <w:tcPr>
            <w:tcW w:w="820" w:type="dxa"/>
          </w:tcPr>
          <w:p w14:paraId="7F2532ED" w14:textId="77777777" w:rsidR="009F33CD" w:rsidRDefault="009F33CD">
            <w:pPr>
              <w:spacing w:before="0" w:beforeAutospacing="0" w:after="0" w:afterAutospacing="0" w:line="240" w:lineRule="auto"/>
              <w:rPr>
                <w:rFonts w:eastAsia="TimesNewRomanPSMT"/>
                <w:bCs/>
              </w:rPr>
            </w:pPr>
          </w:p>
        </w:tc>
        <w:tc>
          <w:tcPr>
            <w:tcW w:w="714" w:type="dxa"/>
          </w:tcPr>
          <w:p w14:paraId="511FB7F7" w14:textId="77777777" w:rsidR="009F33CD" w:rsidRDefault="009F33CD">
            <w:pPr>
              <w:spacing w:before="0" w:beforeAutospacing="0" w:after="0" w:afterAutospacing="0" w:line="240" w:lineRule="auto"/>
              <w:rPr>
                <w:rFonts w:eastAsia="TimesNewRomanPSMT"/>
                <w:bCs/>
              </w:rPr>
            </w:pPr>
          </w:p>
        </w:tc>
        <w:tc>
          <w:tcPr>
            <w:tcW w:w="780" w:type="dxa"/>
          </w:tcPr>
          <w:p w14:paraId="48E160F6" w14:textId="77777777" w:rsidR="009F33CD" w:rsidRDefault="009F33CD">
            <w:pPr>
              <w:spacing w:before="0" w:beforeAutospacing="0" w:after="0" w:afterAutospacing="0" w:line="240" w:lineRule="auto"/>
              <w:rPr>
                <w:rFonts w:eastAsia="TimesNewRomanPSMT"/>
                <w:bCs/>
              </w:rPr>
            </w:pPr>
          </w:p>
        </w:tc>
      </w:tr>
      <w:tr w:rsidR="009F33CD" w14:paraId="7EACB935" w14:textId="77777777">
        <w:tc>
          <w:tcPr>
            <w:tcW w:w="336" w:type="dxa"/>
          </w:tcPr>
          <w:p w14:paraId="1AE33543" w14:textId="77777777" w:rsidR="009F33CD" w:rsidRDefault="00E40740">
            <w:pPr>
              <w:spacing w:before="0" w:beforeAutospacing="0" w:after="0" w:afterAutospacing="0" w:line="240" w:lineRule="auto"/>
              <w:rPr>
                <w:rFonts w:eastAsia="TimesNewRomanPSMT"/>
                <w:bCs/>
              </w:rPr>
            </w:pPr>
            <w:r>
              <w:rPr>
                <w:rFonts w:eastAsia="TimesNewRomanPSMT"/>
              </w:rPr>
              <w:t>7</w:t>
            </w:r>
          </w:p>
        </w:tc>
        <w:tc>
          <w:tcPr>
            <w:tcW w:w="5432" w:type="dxa"/>
          </w:tcPr>
          <w:p w14:paraId="197F1D2A" w14:textId="77777777" w:rsidR="009F33CD" w:rsidRDefault="00E40740">
            <w:pPr>
              <w:spacing w:before="0" w:beforeAutospacing="0" w:after="0" w:afterAutospacing="0" w:line="240" w:lineRule="auto"/>
              <w:rPr>
                <w:rFonts w:eastAsia="TimesNewRomanPSMT"/>
                <w:bCs/>
              </w:rPr>
            </w:pPr>
            <w:r>
              <w:rPr>
                <w:rFonts w:eastAsia="TimesNewRomanPSMT"/>
              </w:rPr>
              <w:t>Green human resources management practices have increased Performance of devolved healthcare services.</w:t>
            </w:r>
          </w:p>
        </w:tc>
        <w:tc>
          <w:tcPr>
            <w:tcW w:w="780" w:type="dxa"/>
          </w:tcPr>
          <w:p w14:paraId="3C8E9539" w14:textId="77777777" w:rsidR="009F33CD" w:rsidRDefault="009F33CD">
            <w:pPr>
              <w:spacing w:before="0" w:beforeAutospacing="0" w:after="0" w:afterAutospacing="0" w:line="240" w:lineRule="auto"/>
              <w:rPr>
                <w:rFonts w:eastAsia="TimesNewRomanPSMT"/>
                <w:bCs/>
              </w:rPr>
            </w:pPr>
          </w:p>
        </w:tc>
        <w:tc>
          <w:tcPr>
            <w:tcW w:w="714" w:type="dxa"/>
          </w:tcPr>
          <w:p w14:paraId="44FF71B1" w14:textId="77777777" w:rsidR="009F33CD" w:rsidRDefault="009F33CD">
            <w:pPr>
              <w:spacing w:before="0" w:beforeAutospacing="0" w:after="0" w:afterAutospacing="0" w:line="240" w:lineRule="auto"/>
              <w:rPr>
                <w:rFonts w:eastAsia="TimesNewRomanPSMT"/>
                <w:bCs/>
              </w:rPr>
            </w:pPr>
          </w:p>
        </w:tc>
        <w:tc>
          <w:tcPr>
            <w:tcW w:w="820" w:type="dxa"/>
          </w:tcPr>
          <w:p w14:paraId="16B95FCE" w14:textId="77777777" w:rsidR="009F33CD" w:rsidRDefault="009F33CD">
            <w:pPr>
              <w:spacing w:before="0" w:beforeAutospacing="0" w:after="0" w:afterAutospacing="0" w:line="240" w:lineRule="auto"/>
              <w:rPr>
                <w:rFonts w:eastAsia="TimesNewRomanPSMT"/>
                <w:bCs/>
              </w:rPr>
            </w:pPr>
          </w:p>
        </w:tc>
        <w:tc>
          <w:tcPr>
            <w:tcW w:w="714" w:type="dxa"/>
          </w:tcPr>
          <w:p w14:paraId="609D26C5" w14:textId="77777777" w:rsidR="009F33CD" w:rsidRDefault="009F33CD">
            <w:pPr>
              <w:spacing w:before="0" w:beforeAutospacing="0" w:after="0" w:afterAutospacing="0" w:line="240" w:lineRule="auto"/>
              <w:rPr>
                <w:rFonts w:eastAsia="TimesNewRomanPSMT"/>
                <w:bCs/>
              </w:rPr>
            </w:pPr>
          </w:p>
        </w:tc>
        <w:tc>
          <w:tcPr>
            <w:tcW w:w="780" w:type="dxa"/>
          </w:tcPr>
          <w:p w14:paraId="07E5319B" w14:textId="77777777" w:rsidR="009F33CD" w:rsidRDefault="009F33CD">
            <w:pPr>
              <w:spacing w:before="0" w:beforeAutospacing="0" w:after="0" w:afterAutospacing="0" w:line="240" w:lineRule="auto"/>
              <w:rPr>
                <w:rFonts w:eastAsia="TimesNewRomanPSMT"/>
                <w:bCs/>
              </w:rPr>
            </w:pPr>
          </w:p>
        </w:tc>
      </w:tr>
    </w:tbl>
    <w:p w14:paraId="434A2568" w14:textId="77777777" w:rsidR="009F33CD" w:rsidRDefault="00E40740">
      <w:pPr>
        <w:pBdr>
          <w:bottom w:val="single" w:sz="12" w:space="1" w:color="auto"/>
        </w:pBdr>
        <w:spacing w:before="0" w:beforeAutospacing="0"/>
        <w:rPr>
          <w:rFonts w:eastAsia="TimesNewRomanPSMT"/>
          <w:bCs/>
        </w:rPr>
      </w:pPr>
      <w:r>
        <w:rPr>
          <w:rFonts w:eastAsia="TimesNewRomanPSMT"/>
        </w:rPr>
        <w:t>8. Suggest possible ways in which performance can be improved in devolved healthcare services.</w:t>
      </w:r>
    </w:p>
    <w:p w14:paraId="0E89EA11" w14:textId="77777777" w:rsidR="009F33CD" w:rsidRDefault="00E40740">
      <w:pPr>
        <w:spacing w:before="0" w:beforeAutospacing="0"/>
        <w:rPr>
          <w:rFonts w:eastAsia="Calibri"/>
          <w:b/>
        </w:rPr>
      </w:pPr>
      <w:r>
        <w:rPr>
          <w:rFonts w:eastAsia="Calibri"/>
          <w:b/>
        </w:rPr>
        <w:t>Thank you for your co-operation and participation.</w:t>
      </w:r>
      <w:bookmarkStart w:id="1859" w:name="_Toc33443464"/>
      <w:bookmarkStart w:id="1860" w:name="_Toc5651619"/>
      <w:bookmarkEnd w:id="1827"/>
      <w:bookmarkEnd w:id="1835"/>
    </w:p>
    <w:p w14:paraId="5BE53523" w14:textId="77777777" w:rsidR="009F33CD" w:rsidRDefault="00E40740">
      <w:pPr>
        <w:spacing w:before="0" w:beforeAutospacing="0"/>
        <w:rPr>
          <w:rFonts w:eastAsia="Calibri"/>
          <w:b/>
        </w:rPr>
      </w:pPr>
      <w:r>
        <w:rPr>
          <w:rFonts w:eastAsia="Calibri"/>
          <w:b/>
        </w:rPr>
        <w:br w:type="page"/>
      </w:r>
    </w:p>
    <w:p w14:paraId="03346AF1" w14:textId="77777777" w:rsidR="009F33CD" w:rsidRDefault="00E40740">
      <w:pPr>
        <w:pStyle w:val="Heading7"/>
      </w:pPr>
      <w:bookmarkStart w:id="1861" w:name="_Toc147946977"/>
      <w:bookmarkStart w:id="1862" w:name="_Toc147950316"/>
      <w:bookmarkStart w:id="1863" w:name="_Toc5651620"/>
      <w:bookmarkStart w:id="1864" w:name="_Toc165626475"/>
      <w:bookmarkStart w:id="1865" w:name="_Toc33443465"/>
      <w:bookmarkStart w:id="1866" w:name="_Toc185614202"/>
      <w:bookmarkStart w:id="1867" w:name="_Toc178945155"/>
      <w:bookmarkStart w:id="1868" w:name="_Toc187080974"/>
      <w:bookmarkStart w:id="1869" w:name="_Toc188071387"/>
      <w:bookmarkEnd w:id="1859"/>
      <w:bookmarkEnd w:id="1860"/>
      <w:r>
        <w:lastRenderedPageBreak/>
        <w:t>Appendix IV: Document analysis</w:t>
      </w:r>
      <w:bookmarkEnd w:id="1861"/>
      <w:bookmarkEnd w:id="1862"/>
      <w:bookmarkEnd w:id="1863"/>
      <w:bookmarkEnd w:id="1864"/>
      <w:bookmarkEnd w:id="1865"/>
      <w:r>
        <w:t xml:space="preserve"> Guide</w:t>
      </w:r>
      <w:bookmarkEnd w:id="1866"/>
      <w:bookmarkEnd w:id="1867"/>
      <w:bookmarkEnd w:id="1868"/>
      <w:bookmarkEnd w:id="1869"/>
    </w:p>
    <w:p w14:paraId="0CF75042" w14:textId="77777777" w:rsidR="009F33CD" w:rsidRDefault="00E40740">
      <w:pPr>
        <w:rPr>
          <w:rFonts w:cs="Times New Roman"/>
          <w:bCs/>
          <w:szCs w:val="24"/>
        </w:rPr>
      </w:pPr>
      <w:r>
        <w:rPr>
          <w:rFonts w:cs="Times New Roman"/>
          <w:bCs/>
          <w:szCs w:val="24"/>
        </w:rPr>
        <w:t>This tool will be used for collection of data on</w:t>
      </w:r>
      <w:r>
        <w:rPr>
          <w:rFonts w:cs="Times New Roman"/>
          <w:b/>
          <w:bCs/>
          <w:szCs w:val="24"/>
        </w:rPr>
        <w:t xml:space="preserve"> </w:t>
      </w:r>
      <w:r>
        <w:rPr>
          <w:rFonts w:cs="Times New Roman"/>
          <w:bCs/>
          <w:szCs w:val="24"/>
        </w:rPr>
        <w:t xml:space="preserve">effect of </w:t>
      </w:r>
      <w:r>
        <w:rPr>
          <w:rFonts w:cs="Times New Roman"/>
          <w:b/>
          <w:bCs/>
          <w:szCs w:val="24"/>
        </w:rPr>
        <w:t xml:space="preserve">green human resource management practices on performance of devolved healthcare services in Kenya. </w:t>
      </w:r>
      <w:r>
        <w:rPr>
          <w:rFonts w:cs="Times New Roman"/>
          <w:bCs/>
          <w:szCs w:val="24"/>
        </w:rPr>
        <w:t>This tool will be used to collect relevant secondary from the hospital’s Health information records, HR records and Finance records by checking and recording that information concerning the following items.</w:t>
      </w:r>
      <w:r>
        <w:rPr>
          <w:rFonts w:cs="Times New Roman"/>
          <w:b/>
          <w:bCs/>
          <w:szCs w:val="24"/>
        </w:rPr>
        <w:t xml:space="preserve"> </w:t>
      </w:r>
    </w:p>
    <w:p w14:paraId="06CEAA02" w14:textId="77777777" w:rsidR="009F33CD" w:rsidRDefault="00E40740">
      <w:pPr>
        <w:rPr>
          <w:rFonts w:cs="Times New Roman"/>
          <w:bCs/>
          <w:szCs w:val="24"/>
        </w:rPr>
      </w:pPr>
      <w:r>
        <w:rPr>
          <w:rFonts w:cs="Times New Roman"/>
          <w:b/>
          <w:bCs/>
          <w:szCs w:val="24"/>
        </w:rPr>
        <w:t>Name of the Hospital</w:t>
      </w:r>
      <w:r>
        <w:rPr>
          <w:rFonts w:cs="Times New Roman"/>
          <w:bCs/>
          <w:szCs w:val="24"/>
        </w:rPr>
        <w:t xml:space="preserve"> _________________________________________________</w:t>
      </w:r>
    </w:p>
    <w:tbl>
      <w:tblPr>
        <w:tblStyle w:val="TableGrid"/>
        <w:tblW w:w="5000" w:type="pct"/>
        <w:tblLayout w:type="fixed"/>
        <w:tblLook w:val="04A0" w:firstRow="1" w:lastRow="0" w:firstColumn="1" w:lastColumn="0" w:noHBand="0" w:noVBand="1"/>
      </w:tblPr>
      <w:tblGrid>
        <w:gridCol w:w="540"/>
        <w:gridCol w:w="1081"/>
        <w:gridCol w:w="1374"/>
        <w:gridCol w:w="1090"/>
        <w:gridCol w:w="680"/>
        <w:gridCol w:w="681"/>
        <w:gridCol w:w="680"/>
        <w:gridCol w:w="681"/>
        <w:gridCol w:w="681"/>
        <w:gridCol w:w="722"/>
      </w:tblGrid>
      <w:tr w:rsidR="009F33CD" w:rsidRPr="00FC6D2C" w14:paraId="1C8C91EA" w14:textId="77777777">
        <w:tc>
          <w:tcPr>
            <w:tcW w:w="328" w:type="pct"/>
          </w:tcPr>
          <w:p w14:paraId="415CB169" w14:textId="77777777" w:rsidR="009F33CD" w:rsidRPr="00FC6D2C" w:rsidRDefault="00E40740">
            <w:pPr>
              <w:spacing w:line="240" w:lineRule="auto"/>
              <w:rPr>
                <w:b/>
                <w:bCs/>
                <w:sz w:val="22"/>
                <w:szCs w:val="22"/>
              </w:rPr>
            </w:pPr>
            <w:r w:rsidRPr="00FC6D2C">
              <w:rPr>
                <w:b/>
                <w:bCs/>
                <w:sz w:val="22"/>
                <w:szCs w:val="22"/>
              </w:rPr>
              <w:t>No.</w:t>
            </w:r>
          </w:p>
        </w:tc>
        <w:tc>
          <w:tcPr>
            <w:tcW w:w="658" w:type="pct"/>
          </w:tcPr>
          <w:p w14:paraId="1C0ED78D" w14:textId="77777777" w:rsidR="009F33CD" w:rsidRPr="00FC6D2C" w:rsidRDefault="00E40740">
            <w:pPr>
              <w:spacing w:line="240" w:lineRule="auto"/>
              <w:rPr>
                <w:b/>
                <w:bCs/>
                <w:sz w:val="22"/>
                <w:szCs w:val="22"/>
              </w:rPr>
            </w:pPr>
            <w:r w:rsidRPr="00FC6D2C">
              <w:rPr>
                <w:b/>
                <w:bCs/>
                <w:sz w:val="22"/>
                <w:szCs w:val="22"/>
              </w:rPr>
              <w:t>Variable/ Indicator</w:t>
            </w:r>
          </w:p>
        </w:tc>
        <w:tc>
          <w:tcPr>
            <w:tcW w:w="837" w:type="pct"/>
          </w:tcPr>
          <w:p w14:paraId="006FF6F8" w14:textId="77777777" w:rsidR="009F33CD" w:rsidRPr="00FC6D2C" w:rsidRDefault="00E40740">
            <w:pPr>
              <w:spacing w:line="240" w:lineRule="auto"/>
              <w:jc w:val="left"/>
              <w:rPr>
                <w:b/>
                <w:bCs/>
                <w:sz w:val="22"/>
                <w:szCs w:val="22"/>
              </w:rPr>
            </w:pPr>
            <w:r w:rsidRPr="00FC6D2C">
              <w:rPr>
                <w:b/>
                <w:bCs/>
                <w:sz w:val="22"/>
                <w:szCs w:val="22"/>
              </w:rPr>
              <w:t>Item</w:t>
            </w:r>
          </w:p>
        </w:tc>
        <w:tc>
          <w:tcPr>
            <w:tcW w:w="664" w:type="pct"/>
          </w:tcPr>
          <w:p w14:paraId="62624B27" w14:textId="77777777" w:rsidR="009F33CD" w:rsidRPr="00FC6D2C" w:rsidRDefault="00FC6D2C">
            <w:pPr>
              <w:spacing w:line="240" w:lineRule="auto"/>
              <w:jc w:val="left"/>
              <w:rPr>
                <w:b/>
                <w:bCs/>
                <w:sz w:val="22"/>
                <w:szCs w:val="22"/>
              </w:rPr>
            </w:pPr>
            <w:r w:rsidRPr="00FC6D2C">
              <w:rPr>
                <w:b/>
                <w:bCs/>
                <w:sz w:val="22"/>
                <w:szCs w:val="22"/>
              </w:rPr>
              <w:t>Source of</w:t>
            </w:r>
            <w:r w:rsidR="00E40740" w:rsidRPr="00FC6D2C">
              <w:rPr>
                <w:b/>
                <w:bCs/>
                <w:sz w:val="22"/>
                <w:szCs w:val="22"/>
              </w:rPr>
              <w:t xml:space="preserve"> Data </w:t>
            </w:r>
          </w:p>
        </w:tc>
        <w:tc>
          <w:tcPr>
            <w:tcW w:w="414" w:type="pct"/>
          </w:tcPr>
          <w:p w14:paraId="6FEA06CF" w14:textId="77777777" w:rsidR="009F33CD" w:rsidRPr="00FC6D2C" w:rsidRDefault="00E40740">
            <w:pPr>
              <w:spacing w:line="240" w:lineRule="auto"/>
              <w:rPr>
                <w:b/>
                <w:bCs/>
                <w:sz w:val="22"/>
                <w:szCs w:val="22"/>
              </w:rPr>
            </w:pPr>
            <w:r w:rsidRPr="00FC6D2C">
              <w:rPr>
                <w:b/>
                <w:bCs/>
                <w:sz w:val="22"/>
                <w:szCs w:val="22"/>
              </w:rPr>
              <w:t>2019</w:t>
            </w:r>
          </w:p>
        </w:tc>
        <w:tc>
          <w:tcPr>
            <w:tcW w:w="415" w:type="pct"/>
          </w:tcPr>
          <w:p w14:paraId="0014313C" w14:textId="77777777" w:rsidR="009F33CD" w:rsidRPr="00FC6D2C" w:rsidRDefault="00E40740">
            <w:pPr>
              <w:spacing w:line="240" w:lineRule="auto"/>
              <w:rPr>
                <w:b/>
                <w:bCs/>
                <w:sz w:val="22"/>
                <w:szCs w:val="22"/>
              </w:rPr>
            </w:pPr>
            <w:r w:rsidRPr="00FC6D2C">
              <w:rPr>
                <w:b/>
                <w:bCs/>
                <w:sz w:val="22"/>
                <w:szCs w:val="22"/>
              </w:rPr>
              <w:t>2018</w:t>
            </w:r>
          </w:p>
        </w:tc>
        <w:tc>
          <w:tcPr>
            <w:tcW w:w="414" w:type="pct"/>
          </w:tcPr>
          <w:p w14:paraId="21B16BFE" w14:textId="77777777" w:rsidR="009F33CD" w:rsidRPr="00FC6D2C" w:rsidRDefault="00E40740">
            <w:pPr>
              <w:spacing w:line="240" w:lineRule="auto"/>
              <w:rPr>
                <w:b/>
                <w:bCs/>
                <w:sz w:val="22"/>
                <w:szCs w:val="22"/>
              </w:rPr>
            </w:pPr>
            <w:r w:rsidRPr="00FC6D2C">
              <w:rPr>
                <w:b/>
                <w:bCs/>
                <w:sz w:val="22"/>
                <w:szCs w:val="22"/>
              </w:rPr>
              <w:t>2017</w:t>
            </w:r>
          </w:p>
        </w:tc>
        <w:tc>
          <w:tcPr>
            <w:tcW w:w="415" w:type="pct"/>
          </w:tcPr>
          <w:p w14:paraId="2E88B4A9" w14:textId="77777777" w:rsidR="009F33CD" w:rsidRPr="00FC6D2C" w:rsidRDefault="00E40740">
            <w:pPr>
              <w:spacing w:line="240" w:lineRule="auto"/>
              <w:rPr>
                <w:b/>
                <w:bCs/>
                <w:sz w:val="22"/>
                <w:szCs w:val="22"/>
              </w:rPr>
            </w:pPr>
            <w:r w:rsidRPr="00FC6D2C">
              <w:rPr>
                <w:b/>
                <w:bCs/>
                <w:sz w:val="22"/>
                <w:szCs w:val="22"/>
              </w:rPr>
              <w:t>2016</w:t>
            </w:r>
          </w:p>
        </w:tc>
        <w:tc>
          <w:tcPr>
            <w:tcW w:w="415" w:type="pct"/>
          </w:tcPr>
          <w:p w14:paraId="4D878026" w14:textId="77777777" w:rsidR="009F33CD" w:rsidRPr="00FC6D2C" w:rsidRDefault="00E40740">
            <w:pPr>
              <w:spacing w:line="240" w:lineRule="auto"/>
              <w:rPr>
                <w:b/>
                <w:bCs/>
                <w:sz w:val="22"/>
                <w:szCs w:val="22"/>
              </w:rPr>
            </w:pPr>
            <w:r w:rsidRPr="00FC6D2C">
              <w:rPr>
                <w:b/>
                <w:bCs/>
                <w:sz w:val="22"/>
                <w:szCs w:val="22"/>
              </w:rPr>
              <w:t>2015</w:t>
            </w:r>
          </w:p>
        </w:tc>
        <w:tc>
          <w:tcPr>
            <w:tcW w:w="440" w:type="pct"/>
          </w:tcPr>
          <w:p w14:paraId="624C19F4" w14:textId="77777777" w:rsidR="009F33CD" w:rsidRPr="00FC6D2C" w:rsidRDefault="00E40740">
            <w:pPr>
              <w:spacing w:line="240" w:lineRule="auto"/>
              <w:rPr>
                <w:b/>
                <w:bCs/>
                <w:sz w:val="22"/>
                <w:szCs w:val="22"/>
              </w:rPr>
            </w:pPr>
            <w:r w:rsidRPr="00FC6D2C">
              <w:rPr>
                <w:b/>
                <w:bCs/>
                <w:sz w:val="22"/>
                <w:szCs w:val="22"/>
              </w:rPr>
              <w:t>2014</w:t>
            </w:r>
          </w:p>
        </w:tc>
      </w:tr>
      <w:tr w:rsidR="009F33CD" w:rsidRPr="00FC6D2C" w14:paraId="47C3D6AB" w14:textId="77777777">
        <w:tc>
          <w:tcPr>
            <w:tcW w:w="328" w:type="pct"/>
          </w:tcPr>
          <w:p w14:paraId="57C6838A" w14:textId="77777777" w:rsidR="009F33CD" w:rsidRPr="00FC6D2C" w:rsidRDefault="00E40740">
            <w:pPr>
              <w:spacing w:line="240" w:lineRule="auto"/>
              <w:rPr>
                <w:bCs/>
                <w:sz w:val="22"/>
                <w:szCs w:val="22"/>
              </w:rPr>
            </w:pPr>
            <w:r w:rsidRPr="00FC6D2C">
              <w:rPr>
                <w:bCs/>
                <w:sz w:val="22"/>
                <w:szCs w:val="22"/>
              </w:rPr>
              <w:t>1</w:t>
            </w:r>
          </w:p>
        </w:tc>
        <w:tc>
          <w:tcPr>
            <w:tcW w:w="658" w:type="pct"/>
          </w:tcPr>
          <w:p w14:paraId="75B1348C" w14:textId="77777777" w:rsidR="009F33CD" w:rsidRPr="00FC6D2C" w:rsidRDefault="00E40740">
            <w:pPr>
              <w:spacing w:line="240" w:lineRule="auto"/>
              <w:rPr>
                <w:bCs/>
                <w:sz w:val="22"/>
                <w:szCs w:val="22"/>
              </w:rPr>
            </w:pPr>
            <w:r w:rsidRPr="00FC6D2C">
              <w:rPr>
                <w:bCs/>
                <w:sz w:val="22"/>
                <w:szCs w:val="22"/>
              </w:rPr>
              <w:t>Number of patients attended to</w:t>
            </w:r>
          </w:p>
        </w:tc>
        <w:tc>
          <w:tcPr>
            <w:tcW w:w="837" w:type="pct"/>
          </w:tcPr>
          <w:p w14:paraId="2A39E2E2" w14:textId="77777777" w:rsidR="009F33CD" w:rsidRPr="00FC6D2C" w:rsidRDefault="00E40740">
            <w:pPr>
              <w:spacing w:line="240" w:lineRule="auto"/>
              <w:rPr>
                <w:bCs/>
                <w:sz w:val="22"/>
                <w:szCs w:val="22"/>
              </w:rPr>
            </w:pPr>
            <w:r w:rsidRPr="00FC6D2C">
              <w:rPr>
                <w:bCs/>
                <w:sz w:val="22"/>
                <w:szCs w:val="22"/>
              </w:rPr>
              <w:t>To record the number of patients attended to for the last six years</w:t>
            </w:r>
          </w:p>
        </w:tc>
        <w:tc>
          <w:tcPr>
            <w:tcW w:w="664" w:type="pct"/>
          </w:tcPr>
          <w:p w14:paraId="09C1D40B" w14:textId="77777777" w:rsidR="009F33CD" w:rsidRPr="00FC6D2C" w:rsidRDefault="00E40740">
            <w:pPr>
              <w:spacing w:line="240" w:lineRule="auto"/>
              <w:rPr>
                <w:bCs/>
                <w:sz w:val="22"/>
                <w:szCs w:val="22"/>
              </w:rPr>
            </w:pPr>
            <w:r w:rsidRPr="00FC6D2C">
              <w:rPr>
                <w:bCs/>
                <w:sz w:val="22"/>
                <w:szCs w:val="22"/>
              </w:rPr>
              <w:t>Health information- Patient registration records</w:t>
            </w:r>
          </w:p>
        </w:tc>
        <w:tc>
          <w:tcPr>
            <w:tcW w:w="414" w:type="pct"/>
          </w:tcPr>
          <w:p w14:paraId="6BF05899" w14:textId="77777777" w:rsidR="009F33CD" w:rsidRPr="00FC6D2C" w:rsidRDefault="009F33CD">
            <w:pPr>
              <w:spacing w:line="240" w:lineRule="auto"/>
              <w:rPr>
                <w:bCs/>
                <w:sz w:val="22"/>
                <w:szCs w:val="22"/>
              </w:rPr>
            </w:pPr>
          </w:p>
        </w:tc>
        <w:tc>
          <w:tcPr>
            <w:tcW w:w="415" w:type="pct"/>
          </w:tcPr>
          <w:p w14:paraId="7E83E508" w14:textId="77777777" w:rsidR="009F33CD" w:rsidRPr="00FC6D2C" w:rsidRDefault="009F33CD">
            <w:pPr>
              <w:spacing w:line="240" w:lineRule="auto"/>
              <w:rPr>
                <w:bCs/>
                <w:sz w:val="22"/>
                <w:szCs w:val="22"/>
              </w:rPr>
            </w:pPr>
          </w:p>
        </w:tc>
        <w:tc>
          <w:tcPr>
            <w:tcW w:w="414" w:type="pct"/>
          </w:tcPr>
          <w:p w14:paraId="24F66310" w14:textId="77777777" w:rsidR="009F33CD" w:rsidRPr="00FC6D2C" w:rsidRDefault="009F33CD">
            <w:pPr>
              <w:spacing w:line="240" w:lineRule="auto"/>
              <w:rPr>
                <w:bCs/>
                <w:sz w:val="22"/>
                <w:szCs w:val="22"/>
              </w:rPr>
            </w:pPr>
          </w:p>
        </w:tc>
        <w:tc>
          <w:tcPr>
            <w:tcW w:w="415" w:type="pct"/>
          </w:tcPr>
          <w:p w14:paraId="1B4319BB" w14:textId="77777777" w:rsidR="009F33CD" w:rsidRPr="00FC6D2C" w:rsidRDefault="009F33CD">
            <w:pPr>
              <w:spacing w:line="240" w:lineRule="auto"/>
              <w:rPr>
                <w:bCs/>
                <w:sz w:val="22"/>
                <w:szCs w:val="22"/>
              </w:rPr>
            </w:pPr>
          </w:p>
        </w:tc>
        <w:tc>
          <w:tcPr>
            <w:tcW w:w="415" w:type="pct"/>
          </w:tcPr>
          <w:p w14:paraId="783EE842" w14:textId="77777777" w:rsidR="009F33CD" w:rsidRPr="00FC6D2C" w:rsidRDefault="009F33CD">
            <w:pPr>
              <w:spacing w:line="240" w:lineRule="auto"/>
              <w:rPr>
                <w:bCs/>
                <w:sz w:val="22"/>
                <w:szCs w:val="22"/>
              </w:rPr>
            </w:pPr>
          </w:p>
        </w:tc>
        <w:tc>
          <w:tcPr>
            <w:tcW w:w="440" w:type="pct"/>
          </w:tcPr>
          <w:p w14:paraId="20611734" w14:textId="77777777" w:rsidR="009F33CD" w:rsidRPr="00FC6D2C" w:rsidRDefault="009F33CD">
            <w:pPr>
              <w:spacing w:line="240" w:lineRule="auto"/>
              <w:rPr>
                <w:bCs/>
                <w:sz w:val="22"/>
                <w:szCs w:val="22"/>
              </w:rPr>
            </w:pPr>
          </w:p>
        </w:tc>
      </w:tr>
      <w:tr w:rsidR="009F33CD" w:rsidRPr="00FC6D2C" w14:paraId="3288E884" w14:textId="77777777">
        <w:trPr>
          <w:trHeight w:val="755"/>
        </w:trPr>
        <w:tc>
          <w:tcPr>
            <w:tcW w:w="328" w:type="pct"/>
          </w:tcPr>
          <w:p w14:paraId="3F0F417A" w14:textId="77777777" w:rsidR="009F33CD" w:rsidRPr="00FC6D2C" w:rsidRDefault="00E40740">
            <w:pPr>
              <w:spacing w:line="240" w:lineRule="auto"/>
              <w:rPr>
                <w:bCs/>
                <w:sz w:val="22"/>
                <w:szCs w:val="22"/>
              </w:rPr>
            </w:pPr>
            <w:r w:rsidRPr="00FC6D2C">
              <w:rPr>
                <w:bCs/>
                <w:sz w:val="22"/>
                <w:szCs w:val="22"/>
              </w:rPr>
              <w:t>2</w:t>
            </w:r>
          </w:p>
        </w:tc>
        <w:tc>
          <w:tcPr>
            <w:tcW w:w="658" w:type="pct"/>
          </w:tcPr>
          <w:p w14:paraId="474FB99D" w14:textId="77777777" w:rsidR="009F33CD" w:rsidRPr="00FC6D2C" w:rsidRDefault="00E40740">
            <w:pPr>
              <w:spacing w:line="240" w:lineRule="auto"/>
              <w:rPr>
                <w:bCs/>
                <w:sz w:val="22"/>
                <w:szCs w:val="22"/>
              </w:rPr>
            </w:pPr>
            <w:r w:rsidRPr="00FC6D2C">
              <w:rPr>
                <w:bCs/>
                <w:sz w:val="22"/>
                <w:szCs w:val="22"/>
              </w:rPr>
              <w:t xml:space="preserve">Level of client Satisfaction </w:t>
            </w:r>
          </w:p>
        </w:tc>
        <w:tc>
          <w:tcPr>
            <w:tcW w:w="837" w:type="pct"/>
          </w:tcPr>
          <w:p w14:paraId="5890A323" w14:textId="77777777" w:rsidR="009F33CD" w:rsidRPr="00FC6D2C" w:rsidRDefault="00E40740">
            <w:pPr>
              <w:spacing w:line="240" w:lineRule="auto"/>
              <w:rPr>
                <w:bCs/>
                <w:sz w:val="22"/>
                <w:szCs w:val="22"/>
              </w:rPr>
            </w:pPr>
            <w:r w:rsidRPr="00FC6D2C">
              <w:rPr>
                <w:bCs/>
                <w:sz w:val="22"/>
                <w:szCs w:val="22"/>
              </w:rPr>
              <w:t>To record client satisfaction indices for the last six years</w:t>
            </w:r>
          </w:p>
        </w:tc>
        <w:tc>
          <w:tcPr>
            <w:tcW w:w="664" w:type="pct"/>
          </w:tcPr>
          <w:p w14:paraId="3FCF4D28" w14:textId="77777777" w:rsidR="009F33CD" w:rsidRPr="00FC6D2C" w:rsidRDefault="00E40740">
            <w:pPr>
              <w:spacing w:line="240" w:lineRule="auto"/>
              <w:rPr>
                <w:bCs/>
                <w:sz w:val="22"/>
                <w:szCs w:val="22"/>
              </w:rPr>
            </w:pPr>
            <w:r w:rsidRPr="00FC6D2C">
              <w:rPr>
                <w:bCs/>
                <w:sz w:val="22"/>
                <w:szCs w:val="22"/>
              </w:rPr>
              <w:t>PR/ Communication Dept. (Compliment book, satisfaction indices file).</w:t>
            </w:r>
          </w:p>
        </w:tc>
        <w:tc>
          <w:tcPr>
            <w:tcW w:w="414" w:type="pct"/>
          </w:tcPr>
          <w:p w14:paraId="0ECFD066" w14:textId="77777777" w:rsidR="009F33CD" w:rsidRPr="00FC6D2C" w:rsidRDefault="009F33CD">
            <w:pPr>
              <w:spacing w:before="0" w:beforeAutospacing="0" w:after="0" w:afterAutospacing="0" w:line="240" w:lineRule="auto"/>
              <w:rPr>
                <w:bCs/>
                <w:sz w:val="22"/>
                <w:szCs w:val="22"/>
              </w:rPr>
            </w:pPr>
          </w:p>
        </w:tc>
        <w:tc>
          <w:tcPr>
            <w:tcW w:w="415" w:type="pct"/>
          </w:tcPr>
          <w:p w14:paraId="557A9CDD" w14:textId="77777777" w:rsidR="009F33CD" w:rsidRPr="00FC6D2C" w:rsidRDefault="009F33CD">
            <w:pPr>
              <w:spacing w:line="240" w:lineRule="auto"/>
              <w:rPr>
                <w:bCs/>
                <w:sz w:val="22"/>
                <w:szCs w:val="22"/>
              </w:rPr>
            </w:pPr>
          </w:p>
        </w:tc>
        <w:tc>
          <w:tcPr>
            <w:tcW w:w="414" w:type="pct"/>
          </w:tcPr>
          <w:p w14:paraId="5BE0B2E2" w14:textId="77777777" w:rsidR="009F33CD" w:rsidRPr="00FC6D2C" w:rsidRDefault="009F33CD">
            <w:pPr>
              <w:spacing w:line="240" w:lineRule="auto"/>
              <w:rPr>
                <w:bCs/>
                <w:sz w:val="22"/>
                <w:szCs w:val="22"/>
              </w:rPr>
            </w:pPr>
          </w:p>
        </w:tc>
        <w:tc>
          <w:tcPr>
            <w:tcW w:w="415" w:type="pct"/>
          </w:tcPr>
          <w:p w14:paraId="563B77D2" w14:textId="77777777" w:rsidR="009F33CD" w:rsidRPr="00FC6D2C" w:rsidRDefault="009F33CD">
            <w:pPr>
              <w:spacing w:line="240" w:lineRule="auto"/>
              <w:rPr>
                <w:bCs/>
                <w:sz w:val="22"/>
                <w:szCs w:val="22"/>
              </w:rPr>
            </w:pPr>
          </w:p>
        </w:tc>
        <w:tc>
          <w:tcPr>
            <w:tcW w:w="415" w:type="pct"/>
          </w:tcPr>
          <w:p w14:paraId="42708676" w14:textId="77777777" w:rsidR="009F33CD" w:rsidRPr="00FC6D2C" w:rsidRDefault="009F33CD">
            <w:pPr>
              <w:spacing w:line="240" w:lineRule="auto"/>
              <w:rPr>
                <w:bCs/>
                <w:sz w:val="22"/>
                <w:szCs w:val="22"/>
              </w:rPr>
            </w:pPr>
          </w:p>
        </w:tc>
        <w:tc>
          <w:tcPr>
            <w:tcW w:w="440" w:type="pct"/>
          </w:tcPr>
          <w:p w14:paraId="71E3282B" w14:textId="77777777" w:rsidR="009F33CD" w:rsidRPr="00FC6D2C" w:rsidRDefault="009F33CD">
            <w:pPr>
              <w:spacing w:line="240" w:lineRule="auto"/>
              <w:rPr>
                <w:bCs/>
                <w:sz w:val="22"/>
                <w:szCs w:val="22"/>
              </w:rPr>
            </w:pPr>
          </w:p>
        </w:tc>
      </w:tr>
      <w:tr w:rsidR="009F33CD" w:rsidRPr="00FC6D2C" w14:paraId="2B628A8A" w14:textId="77777777">
        <w:tc>
          <w:tcPr>
            <w:tcW w:w="328" w:type="pct"/>
          </w:tcPr>
          <w:p w14:paraId="494CE333" w14:textId="77777777" w:rsidR="009F33CD" w:rsidRPr="00FC6D2C" w:rsidRDefault="00E40740">
            <w:pPr>
              <w:spacing w:line="240" w:lineRule="auto"/>
              <w:rPr>
                <w:bCs/>
                <w:sz w:val="22"/>
                <w:szCs w:val="22"/>
              </w:rPr>
            </w:pPr>
            <w:r w:rsidRPr="00FC6D2C">
              <w:rPr>
                <w:bCs/>
                <w:sz w:val="22"/>
                <w:szCs w:val="22"/>
              </w:rPr>
              <w:t>3</w:t>
            </w:r>
          </w:p>
        </w:tc>
        <w:tc>
          <w:tcPr>
            <w:tcW w:w="658" w:type="pct"/>
          </w:tcPr>
          <w:p w14:paraId="25B4EDCD" w14:textId="77777777" w:rsidR="009F33CD" w:rsidRPr="00FC6D2C" w:rsidRDefault="00E40740">
            <w:pPr>
              <w:spacing w:line="240" w:lineRule="auto"/>
              <w:rPr>
                <w:bCs/>
                <w:sz w:val="22"/>
                <w:szCs w:val="22"/>
              </w:rPr>
            </w:pPr>
            <w:r w:rsidRPr="00FC6D2C">
              <w:rPr>
                <w:bCs/>
                <w:sz w:val="22"/>
                <w:szCs w:val="22"/>
              </w:rPr>
              <w:t>Revenue generated</w:t>
            </w:r>
          </w:p>
        </w:tc>
        <w:tc>
          <w:tcPr>
            <w:tcW w:w="837" w:type="pct"/>
          </w:tcPr>
          <w:p w14:paraId="291395E2" w14:textId="77777777" w:rsidR="009F33CD" w:rsidRPr="00FC6D2C" w:rsidRDefault="00E40740">
            <w:pPr>
              <w:spacing w:line="240" w:lineRule="auto"/>
              <w:rPr>
                <w:bCs/>
                <w:sz w:val="22"/>
                <w:szCs w:val="22"/>
              </w:rPr>
            </w:pPr>
            <w:r w:rsidRPr="00FC6D2C">
              <w:rPr>
                <w:bCs/>
                <w:sz w:val="22"/>
                <w:szCs w:val="22"/>
              </w:rPr>
              <w:t>To record amount of revenue collected for the last six years</w:t>
            </w:r>
          </w:p>
        </w:tc>
        <w:tc>
          <w:tcPr>
            <w:tcW w:w="664" w:type="pct"/>
          </w:tcPr>
          <w:p w14:paraId="6F69D2B8" w14:textId="77777777" w:rsidR="009F33CD" w:rsidRPr="00FC6D2C" w:rsidRDefault="00E40740">
            <w:pPr>
              <w:spacing w:line="240" w:lineRule="auto"/>
              <w:rPr>
                <w:bCs/>
                <w:sz w:val="22"/>
                <w:szCs w:val="22"/>
              </w:rPr>
            </w:pPr>
            <w:r w:rsidRPr="00FC6D2C">
              <w:rPr>
                <w:bCs/>
                <w:sz w:val="22"/>
                <w:szCs w:val="22"/>
              </w:rPr>
              <w:t>Finance office- Annual Financial Statements</w:t>
            </w:r>
          </w:p>
        </w:tc>
        <w:tc>
          <w:tcPr>
            <w:tcW w:w="414" w:type="pct"/>
          </w:tcPr>
          <w:p w14:paraId="49C5D1F5" w14:textId="77777777" w:rsidR="009F33CD" w:rsidRPr="00FC6D2C" w:rsidRDefault="009F33CD">
            <w:pPr>
              <w:spacing w:line="240" w:lineRule="auto"/>
              <w:rPr>
                <w:bCs/>
                <w:sz w:val="22"/>
                <w:szCs w:val="22"/>
              </w:rPr>
            </w:pPr>
          </w:p>
        </w:tc>
        <w:tc>
          <w:tcPr>
            <w:tcW w:w="415" w:type="pct"/>
          </w:tcPr>
          <w:p w14:paraId="45147A3F" w14:textId="77777777" w:rsidR="009F33CD" w:rsidRPr="00FC6D2C" w:rsidRDefault="009F33CD">
            <w:pPr>
              <w:spacing w:line="240" w:lineRule="auto"/>
              <w:rPr>
                <w:bCs/>
                <w:sz w:val="22"/>
                <w:szCs w:val="22"/>
              </w:rPr>
            </w:pPr>
          </w:p>
        </w:tc>
        <w:tc>
          <w:tcPr>
            <w:tcW w:w="414" w:type="pct"/>
          </w:tcPr>
          <w:p w14:paraId="3DA29F59" w14:textId="77777777" w:rsidR="009F33CD" w:rsidRPr="00FC6D2C" w:rsidRDefault="009F33CD">
            <w:pPr>
              <w:spacing w:line="240" w:lineRule="auto"/>
              <w:rPr>
                <w:bCs/>
                <w:sz w:val="22"/>
                <w:szCs w:val="22"/>
              </w:rPr>
            </w:pPr>
          </w:p>
        </w:tc>
        <w:tc>
          <w:tcPr>
            <w:tcW w:w="415" w:type="pct"/>
          </w:tcPr>
          <w:p w14:paraId="22C7F8B8" w14:textId="77777777" w:rsidR="009F33CD" w:rsidRPr="00FC6D2C" w:rsidRDefault="009F33CD">
            <w:pPr>
              <w:spacing w:line="240" w:lineRule="auto"/>
              <w:rPr>
                <w:bCs/>
                <w:sz w:val="22"/>
                <w:szCs w:val="22"/>
              </w:rPr>
            </w:pPr>
          </w:p>
        </w:tc>
        <w:tc>
          <w:tcPr>
            <w:tcW w:w="415" w:type="pct"/>
          </w:tcPr>
          <w:p w14:paraId="6C9D6715" w14:textId="77777777" w:rsidR="009F33CD" w:rsidRPr="00FC6D2C" w:rsidRDefault="009F33CD">
            <w:pPr>
              <w:spacing w:line="240" w:lineRule="auto"/>
              <w:rPr>
                <w:bCs/>
                <w:sz w:val="22"/>
                <w:szCs w:val="22"/>
              </w:rPr>
            </w:pPr>
          </w:p>
        </w:tc>
        <w:tc>
          <w:tcPr>
            <w:tcW w:w="440" w:type="pct"/>
          </w:tcPr>
          <w:p w14:paraId="6D889254" w14:textId="77777777" w:rsidR="009F33CD" w:rsidRPr="00FC6D2C" w:rsidRDefault="009F33CD">
            <w:pPr>
              <w:spacing w:line="240" w:lineRule="auto"/>
              <w:rPr>
                <w:bCs/>
                <w:sz w:val="22"/>
                <w:szCs w:val="22"/>
              </w:rPr>
            </w:pPr>
          </w:p>
        </w:tc>
      </w:tr>
      <w:tr w:rsidR="009F33CD" w:rsidRPr="00FC6D2C" w14:paraId="6A74D517" w14:textId="77777777">
        <w:tc>
          <w:tcPr>
            <w:tcW w:w="328" w:type="pct"/>
          </w:tcPr>
          <w:p w14:paraId="7E69AADE" w14:textId="77777777" w:rsidR="009F33CD" w:rsidRPr="00FC6D2C" w:rsidRDefault="00E40740">
            <w:pPr>
              <w:spacing w:line="240" w:lineRule="auto"/>
              <w:rPr>
                <w:bCs/>
                <w:sz w:val="22"/>
                <w:szCs w:val="22"/>
              </w:rPr>
            </w:pPr>
            <w:r w:rsidRPr="00FC6D2C">
              <w:rPr>
                <w:bCs/>
                <w:sz w:val="22"/>
                <w:szCs w:val="22"/>
              </w:rPr>
              <w:t>4</w:t>
            </w:r>
          </w:p>
        </w:tc>
        <w:tc>
          <w:tcPr>
            <w:tcW w:w="658" w:type="pct"/>
          </w:tcPr>
          <w:p w14:paraId="36CD0594" w14:textId="77777777" w:rsidR="009F33CD" w:rsidRPr="00FC6D2C" w:rsidRDefault="00E40740">
            <w:pPr>
              <w:spacing w:line="240" w:lineRule="auto"/>
              <w:rPr>
                <w:bCs/>
                <w:sz w:val="22"/>
                <w:szCs w:val="22"/>
              </w:rPr>
            </w:pPr>
            <w:r w:rsidRPr="00FC6D2C">
              <w:rPr>
                <w:bCs/>
                <w:sz w:val="22"/>
                <w:szCs w:val="22"/>
              </w:rPr>
              <w:t>Recruitment methods</w:t>
            </w:r>
          </w:p>
        </w:tc>
        <w:tc>
          <w:tcPr>
            <w:tcW w:w="837" w:type="pct"/>
          </w:tcPr>
          <w:p w14:paraId="725BCD36" w14:textId="77777777" w:rsidR="009F33CD" w:rsidRPr="00FC6D2C" w:rsidRDefault="00E40740">
            <w:pPr>
              <w:spacing w:line="240" w:lineRule="auto"/>
              <w:rPr>
                <w:bCs/>
                <w:sz w:val="22"/>
                <w:szCs w:val="22"/>
              </w:rPr>
            </w:pPr>
            <w:r w:rsidRPr="00FC6D2C">
              <w:rPr>
                <w:bCs/>
                <w:sz w:val="22"/>
                <w:szCs w:val="22"/>
              </w:rPr>
              <w:t>To record number of green (online) recruitments for the past six years</w:t>
            </w:r>
          </w:p>
        </w:tc>
        <w:tc>
          <w:tcPr>
            <w:tcW w:w="664" w:type="pct"/>
          </w:tcPr>
          <w:p w14:paraId="46DC97A3" w14:textId="77777777" w:rsidR="009F33CD" w:rsidRPr="00FC6D2C" w:rsidRDefault="00E40740">
            <w:pPr>
              <w:spacing w:line="240" w:lineRule="auto"/>
              <w:rPr>
                <w:bCs/>
                <w:sz w:val="22"/>
                <w:szCs w:val="22"/>
              </w:rPr>
            </w:pPr>
            <w:r w:rsidRPr="00FC6D2C">
              <w:rPr>
                <w:bCs/>
                <w:sz w:val="22"/>
                <w:szCs w:val="22"/>
              </w:rPr>
              <w:t>HRO- records (Check recruitment file website)</w:t>
            </w:r>
          </w:p>
        </w:tc>
        <w:tc>
          <w:tcPr>
            <w:tcW w:w="414" w:type="pct"/>
          </w:tcPr>
          <w:p w14:paraId="17B22E58" w14:textId="77777777" w:rsidR="009F33CD" w:rsidRPr="00FC6D2C" w:rsidRDefault="009F33CD">
            <w:pPr>
              <w:spacing w:line="240" w:lineRule="auto"/>
              <w:rPr>
                <w:bCs/>
                <w:sz w:val="22"/>
                <w:szCs w:val="22"/>
              </w:rPr>
            </w:pPr>
          </w:p>
        </w:tc>
        <w:tc>
          <w:tcPr>
            <w:tcW w:w="415" w:type="pct"/>
          </w:tcPr>
          <w:p w14:paraId="29A8AF8D" w14:textId="77777777" w:rsidR="009F33CD" w:rsidRPr="00FC6D2C" w:rsidRDefault="009F33CD">
            <w:pPr>
              <w:spacing w:line="240" w:lineRule="auto"/>
              <w:rPr>
                <w:bCs/>
                <w:sz w:val="22"/>
                <w:szCs w:val="22"/>
              </w:rPr>
            </w:pPr>
          </w:p>
        </w:tc>
        <w:tc>
          <w:tcPr>
            <w:tcW w:w="414" w:type="pct"/>
          </w:tcPr>
          <w:p w14:paraId="476375EF" w14:textId="77777777" w:rsidR="009F33CD" w:rsidRPr="00FC6D2C" w:rsidRDefault="009F33CD">
            <w:pPr>
              <w:spacing w:line="240" w:lineRule="auto"/>
              <w:rPr>
                <w:bCs/>
                <w:sz w:val="22"/>
                <w:szCs w:val="22"/>
              </w:rPr>
            </w:pPr>
          </w:p>
        </w:tc>
        <w:tc>
          <w:tcPr>
            <w:tcW w:w="415" w:type="pct"/>
          </w:tcPr>
          <w:p w14:paraId="4DB03720" w14:textId="77777777" w:rsidR="009F33CD" w:rsidRPr="00FC6D2C" w:rsidRDefault="009F33CD">
            <w:pPr>
              <w:spacing w:line="240" w:lineRule="auto"/>
              <w:rPr>
                <w:bCs/>
                <w:sz w:val="22"/>
                <w:szCs w:val="22"/>
              </w:rPr>
            </w:pPr>
          </w:p>
        </w:tc>
        <w:tc>
          <w:tcPr>
            <w:tcW w:w="415" w:type="pct"/>
          </w:tcPr>
          <w:p w14:paraId="7C3FB6A4" w14:textId="77777777" w:rsidR="009F33CD" w:rsidRPr="00FC6D2C" w:rsidRDefault="009F33CD">
            <w:pPr>
              <w:spacing w:line="240" w:lineRule="auto"/>
              <w:rPr>
                <w:bCs/>
                <w:sz w:val="22"/>
                <w:szCs w:val="22"/>
              </w:rPr>
            </w:pPr>
          </w:p>
        </w:tc>
        <w:tc>
          <w:tcPr>
            <w:tcW w:w="440" w:type="pct"/>
          </w:tcPr>
          <w:p w14:paraId="334EA09F" w14:textId="77777777" w:rsidR="009F33CD" w:rsidRPr="00FC6D2C" w:rsidRDefault="009F33CD">
            <w:pPr>
              <w:spacing w:line="240" w:lineRule="auto"/>
              <w:rPr>
                <w:bCs/>
                <w:sz w:val="22"/>
                <w:szCs w:val="22"/>
              </w:rPr>
            </w:pPr>
          </w:p>
        </w:tc>
      </w:tr>
      <w:tr w:rsidR="009F33CD" w:rsidRPr="00FC6D2C" w14:paraId="58661C56" w14:textId="77777777">
        <w:tc>
          <w:tcPr>
            <w:tcW w:w="328" w:type="pct"/>
          </w:tcPr>
          <w:p w14:paraId="1F1FD1B0" w14:textId="77777777" w:rsidR="009F33CD" w:rsidRPr="00FC6D2C" w:rsidRDefault="00E40740">
            <w:pPr>
              <w:spacing w:line="240" w:lineRule="auto"/>
              <w:rPr>
                <w:bCs/>
                <w:sz w:val="22"/>
                <w:szCs w:val="22"/>
              </w:rPr>
            </w:pPr>
            <w:r w:rsidRPr="00FC6D2C">
              <w:rPr>
                <w:bCs/>
                <w:sz w:val="22"/>
                <w:szCs w:val="22"/>
              </w:rPr>
              <w:t>5</w:t>
            </w:r>
          </w:p>
        </w:tc>
        <w:tc>
          <w:tcPr>
            <w:tcW w:w="658" w:type="pct"/>
          </w:tcPr>
          <w:p w14:paraId="22BC09DB" w14:textId="77777777" w:rsidR="009F33CD" w:rsidRPr="00FC6D2C" w:rsidRDefault="00E40740">
            <w:pPr>
              <w:spacing w:line="240" w:lineRule="auto"/>
              <w:rPr>
                <w:bCs/>
                <w:sz w:val="22"/>
                <w:szCs w:val="22"/>
              </w:rPr>
            </w:pPr>
            <w:r w:rsidRPr="00FC6D2C">
              <w:rPr>
                <w:bCs/>
                <w:sz w:val="22"/>
                <w:szCs w:val="22"/>
              </w:rPr>
              <w:t>Green selection methods</w:t>
            </w:r>
          </w:p>
        </w:tc>
        <w:tc>
          <w:tcPr>
            <w:tcW w:w="837" w:type="pct"/>
          </w:tcPr>
          <w:p w14:paraId="22D2E3E3" w14:textId="77777777" w:rsidR="009F33CD" w:rsidRPr="00FC6D2C" w:rsidRDefault="00E40740">
            <w:pPr>
              <w:spacing w:line="240" w:lineRule="auto"/>
              <w:rPr>
                <w:bCs/>
                <w:sz w:val="22"/>
                <w:szCs w:val="22"/>
              </w:rPr>
            </w:pPr>
            <w:r w:rsidRPr="00FC6D2C">
              <w:rPr>
                <w:bCs/>
                <w:sz w:val="22"/>
                <w:szCs w:val="22"/>
              </w:rPr>
              <w:t xml:space="preserve">To record number of employees </w:t>
            </w:r>
            <w:r w:rsidRPr="00FC6D2C">
              <w:rPr>
                <w:bCs/>
                <w:sz w:val="22"/>
                <w:szCs w:val="22"/>
              </w:rPr>
              <w:lastRenderedPageBreak/>
              <w:t>selected online for the past six years</w:t>
            </w:r>
          </w:p>
        </w:tc>
        <w:tc>
          <w:tcPr>
            <w:tcW w:w="664" w:type="pct"/>
          </w:tcPr>
          <w:p w14:paraId="0F7D4054" w14:textId="77777777" w:rsidR="009F33CD" w:rsidRPr="00FC6D2C" w:rsidRDefault="00E40740">
            <w:pPr>
              <w:spacing w:line="240" w:lineRule="auto"/>
              <w:rPr>
                <w:bCs/>
                <w:sz w:val="22"/>
                <w:szCs w:val="22"/>
              </w:rPr>
            </w:pPr>
            <w:r w:rsidRPr="00FC6D2C">
              <w:rPr>
                <w:bCs/>
                <w:sz w:val="22"/>
                <w:szCs w:val="22"/>
              </w:rPr>
              <w:lastRenderedPageBreak/>
              <w:t xml:space="preserve">HRO- records (Check </w:t>
            </w:r>
            <w:r w:rsidRPr="00FC6D2C">
              <w:rPr>
                <w:bCs/>
                <w:sz w:val="22"/>
                <w:szCs w:val="22"/>
              </w:rPr>
              <w:lastRenderedPageBreak/>
              <w:t>interview and selection recorded video/hard files)</w:t>
            </w:r>
          </w:p>
        </w:tc>
        <w:tc>
          <w:tcPr>
            <w:tcW w:w="414" w:type="pct"/>
          </w:tcPr>
          <w:p w14:paraId="53198738" w14:textId="77777777" w:rsidR="009F33CD" w:rsidRPr="00FC6D2C" w:rsidRDefault="009F33CD">
            <w:pPr>
              <w:spacing w:line="240" w:lineRule="auto"/>
              <w:rPr>
                <w:bCs/>
                <w:sz w:val="22"/>
                <w:szCs w:val="22"/>
              </w:rPr>
            </w:pPr>
          </w:p>
        </w:tc>
        <w:tc>
          <w:tcPr>
            <w:tcW w:w="415" w:type="pct"/>
          </w:tcPr>
          <w:p w14:paraId="15654BBC" w14:textId="77777777" w:rsidR="009F33CD" w:rsidRPr="00FC6D2C" w:rsidRDefault="009F33CD">
            <w:pPr>
              <w:spacing w:line="240" w:lineRule="auto"/>
              <w:rPr>
                <w:bCs/>
                <w:sz w:val="22"/>
                <w:szCs w:val="22"/>
              </w:rPr>
            </w:pPr>
          </w:p>
        </w:tc>
        <w:tc>
          <w:tcPr>
            <w:tcW w:w="414" w:type="pct"/>
          </w:tcPr>
          <w:p w14:paraId="6A171D59" w14:textId="77777777" w:rsidR="009F33CD" w:rsidRPr="00FC6D2C" w:rsidRDefault="009F33CD">
            <w:pPr>
              <w:spacing w:line="240" w:lineRule="auto"/>
              <w:rPr>
                <w:bCs/>
                <w:sz w:val="22"/>
                <w:szCs w:val="22"/>
              </w:rPr>
            </w:pPr>
          </w:p>
        </w:tc>
        <w:tc>
          <w:tcPr>
            <w:tcW w:w="415" w:type="pct"/>
          </w:tcPr>
          <w:p w14:paraId="13CDC610" w14:textId="77777777" w:rsidR="009F33CD" w:rsidRPr="00FC6D2C" w:rsidRDefault="009F33CD">
            <w:pPr>
              <w:spacing w:line="240" w:lineRule="auto"/>
              <w:rPr>
                <w:bCs/>
                <w:sz w:val="22"/>
                <w:szCs w:val="22"/>
              </w:rPr>
            </w:pPr>
          </w:p>
        </w:tc>
        <w:tc>
          <w:tcPr>
            <w:tcW w:w="415" w:type="pct"/>
          </w:tcPr>
          <w:p w14:paraId="58340869" w14:textId="77777777" w:rsidR="009F33CD" w:rsidRPr="00FC6D2C" w:rsidRDefault="009F33CD">
            <w:pPr>
              <w:spacing w:line="240" w:lineRule="auto"/>
              <w:rPr>
                <w:bCs/>
                <w:sz w:val="22"/>
                <w:szCs w:val="22"/>
              </w:rPr>
            </w:pPr>
          </w:p>
        </w:tc>
        <w:tc>
          <w:tcPr>
            <w:tcW w:w="440" w:type="pct"/>
          </w:tcPr>
          <w:p w14:paraId="5F33919D" w14:textId="77777777" w:rsidR="009F33CD" w:rsidRPr="00FC6D2C" w:rsidRDefault="009F33CD">
            <w:pPr>
              <w:spacing w:line="240" w:lineRule="auto"/>
              <w:rPr>
                <w:bCs/>
                <w:sz w:val="22"/>
                <w:szCs w:val="22"/>
              </w:rPr>
            </w:pPr>
          </w:p>
        </w:tc>
      </w:tr>
      <w:tr w:rsidR="009F33CD" w:rsidRPr="00FC6D2C" w14:paraId="2FB4080D" w14:textId="77777777">
        <w:tc>
          <w:tcPr>
            <w:tcW w:w="328" w:type="pct"/>
          </w:tcPr>
          <w:p w14:paraId="6059E316" w14:textId="77777777" w:rsidR="009F33CD" w:rsidRPr="00FC6D2C" w:rsidRDefault="00E40740">
            <w:pPr>
              <w:spacing w:line="240" w:lineRule="auto"/>
              <w:rPr>
                <w:bCs/>
                <w:sz w:val="22"/>
                <w:szCs w:val="22"/>
              </w:rPr>
            </w:pPr>
            <w:r w:rsidRPr="00FC6D2C">
              <w:rPr>
                <w:bCs/>
                <w:sz w:val="22"/>
                <w:szCs w:val="22"/>
              </w:rPr>
              <w:lastRenderedPageBreak/>
              <w:t>6</w:t>
            </w:r>
          </w:p>
        </w:tc>
        <w:tc>
          <w:tcPr>
            <w:tcW w:w="658" w:type="pct"/>
          </w:tcPr>
          <w:p w14:paraId="7369A6A5" w14:textId="77777777" w:rsidR="009F33CD" w:rsidRPr="00FC6D2C" w:rsidRDefault="00E40740">
            <w:pPr>
              <w:spacing w:line="240" w:lineRule="auto"/>
              <w:rPr>
                <w:bCs/>
                <w:sz w:val="22"/>
                <w:szCs w:val="22"/>
              </w:rPr>
            </w:pPr>
            <w:r w:rsidRPr="00FC6D2C">
              <w:rPr>
                <w:bCs/>
                <w:sz w:val="22"/>
                <w:szCs w:val="22"/>
              </w:rPr>
              <w:t>Selection criteria</w:t>
            </w:r>
          </w:p>
        </w:tc>
        <w:tc>
          <w:tcPr>
            <w:tcW w:w="837" w:type="pct"/>
          </w:tcPr>
          <w:p w14:paraId="372AF81C" w14:textId="77777777" w:rsidR="009F33CD" w:rsidRPr="00FC6D2C" w:rsidRDefault="00E40740">
            <w:pPr>
              <w:spacing w:line="240" w:lineRule="auto"/>
              <w:rPr>
                <w:bCs/>
                <w:sz w:val="22"/>
                <w:szCs w:val="22"/>
              </w:rPr>
            </w:pPr>
            <w:r w:rsidRPr="00FC6D2C">
              <w:rPr>
                <w:bCs/>
                <w:sz w:val="22"/>
                <w:szCs w:val="22"/>
              </w:rPr>
              <w:t>To record number of employees selected/ promoted due to their green activities for the past six years</w:t>
            </w:r>
          </w:p>
        </w:tc>
        <w:tc>
          <w:tcPr>
            <w:tcW w:w="664" w:type="pct"/>
          </w:tcPr>
          <w:p w14:paraId="067D20DE" w14:textId="77777777" w:rsidR="009F33CD" w:rsidRPr="00FC6D2C" w:rsidRDefault="00E40740">
            <w:pPr>
              <w:spacing w:line="240" w:lineRule="auto"/>
              <w:rPr>
                <w:bCs/>
                <w:sz w:val="22"/>
                <w:szCs w:val="22"/>
              </w:rPr>
            </w:pPr>
            <w:r w:rsidRPr="00FC6D2C">
              <w:rPr>
                <w:bCs/>
                <w:sz w:val="22"/>
                <w:szCs w:val="22"/>
              </w:rPr>
              <w:t>HRO- records (Check interview/selection file)</w:t>
            </w:r>
          </w:p>
        </w:tc>
        <w:tc>
          <w:tcPr>
            <w:tcW w:w="414" w:type="pct"/>
          </w:tcPr>
          <w:p w14:paraId="09629E32" w14:textId="77777777" w:rsidR="009F33CD" w:rsidRPr="00FC6D2C" w:rsidRDefault="009F33CD">
            <w:pPr>
              <w:spacing w:line="240" w:lineRule="auto"/>
              <w:rPr>
                <w:bCs/>
                <w:sz w:val="22"/>
                <w:szCs w:val="22"/>
              </w:rPr>
            </w:pPr>
          </w:p>
        </w:tc>
        <w:tc>
          <w:tcPr>
            <w:tcW w:w="415" w:type="pct"/>
          </w:tcPr>
          <w:p w14:paraId="275BAAD3" w14:textId="77777777" w:rsidR="009F33CD" w:rsidRPr="00FC6D2C" w:rsidRDefault="009F33CD">
            <w:pPr>
              <w:spacing w:line="240" w:lineRule="auto"/>
              <w:rPr>
                <w:bCs/>
                <w:sz w:val="22"/>
                <w:szCs w:val="22"/>
              </w:rPr>
            </w:pPr>
          </w:p>
        </w:tc>
        <w:tc>
          <w:tcPr>
            <w:tcW w:w="414" w:type="pct"/>
          </w:tcPr>
          <w:p w14:paraId="02B51F26" w14:textId="77777777" w:rsidR="009F33CD" w:rsidRPr="00FC6D2C" w:rsidRDefault="009F33CD">
            <w:pPr>
              <w:spacing w:line="240" w:lineRule="auto"/>
              <w:rPr>
                <w:bCs/>
                <w:sz w:val="22"/>
                <w:szCs w:val="22"/>
              </w:rPr>
            </w:pPr>
          </w:p>
        </w:tc>
        <w:tc>
          <w:tcPr>
            <w:tcW w:w="415" w:type="pct"/>
          </w:tcPr>
          <w:p w14:paraId="797894A5" w14:textId="77777777" w:rsidR="009F33CD" w:rsidRPr="00FC6D2C" w:rsidRDefault="009F33CD">
            <w:pPr>
              <w:spacing w:line="240" w:lineRule="auto"/>
              <w:rPr>
                <w:bCs/>
                <w:sz w:val="22"/>
                <w:szCs w:val="22"/>
              </w:rPr>
            </w:pPr>
          </w:p>
        </w:tc>
        <w:tc>
          <w:tcPr>
            <w:tcW w:w="415" w:type="pct"/>
          </w:tcPr>
          <w:p w14:paraId="21EB85B7" w14:textId="77777777" w:rsidR="009F33CD" w:rsidRPr="00FC6D2C" w:rsidRDefault="009F33CD">
            <w:pPr>
              <w:spacing w:line="240" w:lineRule="auto"/>
              <w:rPr>
                <w:bCs/>
                <w:sz w:val="22"/>
                <w:szCs w:val="22"/>
              </w:rPr>
            </w:pPr>
          </w:p>
        </w:tc>
        <w:tc>
          <w:tcPr>
            <w:tcW w:w="440" w:type="pct"/>
          </w:tcPr>
          <w:p w14:paraId="63758D21" w14:textId="77777777" w:rsidR="009F33CD" w:rsidRPr="00FC6D2C" w:rsidRDefault="009F33CD">
            <w:pPr>
              <w:spacing w:line="240" w:lineRule="auto"/>
              <w:rPr>
                <w:bCs/>
                <w:sz w:val="22"/>
                <w:szCs w:val="22"/>
              </w:rPr>
            </w:pPr>
          </w:p>
        </w:tc>
      </w:tr>
      <w:tr w:rsidR="009F33CD" w:rsidRPr="00FC6D2C" w14:paraId="2B1F5DD7" w14:textId="77777777">
        <w:tc>
          <w:tcPr>
            <w:tcW w:w="328" w:type="pct"/>
          </w:tcPr>
          <w:p w14:paraId="28A5A521" w14:textId="77777777" w:rsidR="009F33CD" w:rsidRPr="00FC6D2C" w:rsidRDefault="00E40740">
            <w:pPr>
              <w:spacing w:line="240" w:lineRule="auto"/>
              <w:rPr>
                <w:bCs/>
                <w:sz w:val="22"/>
                <w:szCs w:val="22"/>
              </w:rPr>
            </w:pPr>
            <w:r w:rsidRPr="00FC6D2C">
              <w:rPr>
                <w:bCs/>
                <w:sz w:val="22"/>
                <w:szCs w:val="22"/>
              </w:rPr>
              <w:t>7</w:t>
            </w:r>
          </w:p>
        </w:tc>
        <w:tc>
          <w:tcPr>
            <w:tcW w:w="658" w:type="pct"/>
          </w:tcPr>
          <w:p w14:paraId="75BCA49F" w14:textId="77777777" w:rsidR="009F33CD" w:rsidRPr="00FC6D2C" w:rsidRDefault="00E40740">
            <w:pPr>
              <w:spacing w:line="240" w:lineRule="auto"/>
              <w:rPr>
                <w:bCs/>
                <w:sz w:val="22"/>
                <w:szCs w:val="22"/>
              </w:rPr>
            </w:pPr>
            <w:r w:rsidRPr="00FC6D2C">
              <w:rPr>
                <w:bCs/>
                <w:sz w:val="22"/>
                <w:szCs w:val="22"/>
              </w:rPr>
              <w:t>Training Needs Assessment</w:t>
            </w:r>
          </w:p>
        </w:tc>
        <w:tc>
          <w:tcPr>
            <w:tcW w:w="837" w:type="pct"/>
          </w:tcPr>
          <w:p w14:paraId="61046C75" w14:textId="77777777" w:rsidR="009F33CD" w:rsidRPr="00FC6D2C" w:rsidRDefault="00E40740">
            <w:pPr>
              <w:spacing w:line="240" w:lineRule="auto"/>
              <w:rPr>
                <w:bCs/>
                <w:sz w:val="22"/>
                <w:szCs w:val="22"/>
              </w:rPr>
            </w:pPr>
            <w:r w:rsidRPr="00FC6D2C">
              <w:rPr>
                <w:bCs/>
                <w:sz w:val="22"/>
                <w:szCs w:val="22"/>
              </w:rPr>
              <w:t>To record number of green training needs assessment undertaken for the past six years.</w:t>
            </w:r>
          </w:p>
        </w:tc>
        <w:tc>
          <w:tcPr>
            <w:tcW w:w="664" w:type="pct"/>
          </w:tcPr>
          <w:p w14:paraId="01C1B8B9" w14:textId="77777777" w:rsidR="009F33CD" w:rsidRPr="00FC6D2C" w:rsidRDefault="00E40740">
            <w:pPr>
              <w:spacing w:line="240" w:lineRule="auto"/>
              <w:rPr>
                <w:bCs/>
                <w:sz w:val="22"/>
                <w:szCs w:val="22"/>
              </w:rPr>
            </w:pPr>
            <w:r w:rsidRPr="00FC6D2C">
              <w:rPr>
                <w:bCs/>
                <w:sz w:val="22"/>
                <w:szCs w:val="22"/>
              </w:rPr>
              <w:t>HRO- records (Training minutes file)</w:t>
            </w:r>
          </w:p>
        </w:tc>
        <w:tc>
          <w:tcPr>
            <w:tcW w:w="414" w:type="pct"/>
          </w:tcPr>
          <w:p w14:paraId="7FD83A1D" w14:textId="77777777" w:rsidR="009F33CD" w:rsidRPr="00FC6D2C" w:rsidRDefault="009F33CD">
            <w:pPr>
              <w:spacing w:line="240" w:lineRule="auto"/>
              <w:rPr>
                <w:bCs/>
                <w:sz w:val="22"/>
                <w:szCs w:val="22"/>
              </w:rPr>
            </w:pPr>
          </w:p>
        </w:tc>
        <w:tc>
          <w:tcPr>
            <w:tcW w:w="415" w:type="pct"/>
          </w:tcPr>
          <w:p w14:paraId="253A717C" w14:textId="77777777" w:rsidR="009F33CD" w:rsidRPr="00FC6D2C" w:rsidRDefault="009F33CD">
            <w:pPr>
              <w:spacing w:line="240" w:lineRule="auto"/>
              <w:rPr>
                <w:bCs/>
                <w:sz w:val="22"/>
                <w:szCs w:val="22"/>
              </w:rPr>
            </w:pPr>
          </w:p>
        </w:tc>
        <w:tc>
          <w:tcPr>
            <w:tcW w:w="414" w:type="pct"/>
          </w:tcPr>
          <w:p w14:paraId="4E2071B2" w14:textId="77777777" w:rsidR="009F33CD" w:rsidRPr="00FC6D2C" w:rsidRDefault="009F33CD">
            <w:pPr>
              <w:spacing w:line="240" w:lineRule="auto"/>
              <w:rPr>
                <w:bCs/>
                <w:sz w:val="22"/>
                <w:szCs w:val="22"/>
              </w:rPr>
            </w:pPr>
          </w:p>
        </w:tc>
        <w:tc>
          <w:tcPr>
            <w:tcW w:w="415" w:type="pct"/>
          </w:tcPr>
          <w:p w14:paraId="4DB696B9" w14:textId="77777777" w:rsidR="009F33CD" w:rsidRPr="00FC6D2C" w:rsidRDefault="009F33CD">
            <w:pPr>
              <w:spacing w:line="240" w:lineRule="auto"/>
              <w:rPr>
                <w:bCs/>
                <w:sz w:val="22"/>
                <w:szCs w:val="22"/>
              </w:rPr>
            </w:pPr>
          </w:p>
        </w:tc>
        <w:tc>
          <w:tcPr>
            <w:tcW w:w="415" w:type="pct"/>
          </w:tcPr>
          <w:p w14:paraId="70C127F9" w14:textId="77777777" w:rsidR="009F33CD" w:rsidRPr="00FC6D2C" w:rsidRDefault="009F33CD">
            <w:pPr>
              <w:spacing w:line="240" w:lineRule="auto"/>
              <w:rPr>
                <w:bCs/>
                <w:sz w:val="22"/>
                <w:szCs w:val="22"/>
              </w:rPr>
            </w:pPr>
          </w:p>
        </w:tc>
        <w:tc>
          <w:tcPr>
            <w:tcW w:w="440" w:type="pct"/>
          </w:tcPr>
          <w:p w14:paraId="3D276375" w14:textId="77777777" w:rsidR="009F33CD" w:rsidRPr="00FC6D2C" w:rsidRDefault="009F33CD">
            <w:pPr>
              <w:spacing w:line="240" w:lineRule="auto"/>
              <w:rPr>
                <w:bCs/>
                <w:sz w:val="22"/>
                <w:szCs w:val="22"/>
              </w:rPr>
            </w:pPr>
          </w:p>
        </w:tc>
      </w:tr>
      <w:tr w:rsidR="009F33CD" w:rsidRPr="00FC6D2C" w14:paraId="2489B9E8" w14:textId="77777777">
        <w:tc>
          <w:tcPr>
            <w:tcW w:w="328" w:type="pct"/>
          </w:tcPr>
          <w:p w14:paraId="6D5FCEE1" w14:textId="77777777" w:rsidR="009F33CD" w:rsidRPr="00FC6D2C" w:rsidRDefault="00E40740">
            <w:pPr>
              <w:spacing w:line="240" w:lineRule="auto"/>
              <w:rPr>
                <w:bCs/>
                <w:sz w:val="22"/>
                <w:szCs w:val="22"/>
              </w:rPr>
            </w:pPr>
            <w:r w:rsidRPr="00FC6D2C">
              <w:rPr>
                <w:bCs/>
                <w:sz w:val="22"/>
                <w:szCs w:val="22"/>
              </w:rPr>
              <w:t>8</w:t>
            </w:r>
          </w:p>
        </w:tc>
        <w:tc>
          <w:tcPr>
            <w:tcW w:w="658" w:type="pct"/>
          </w:tcPr>
          <w:p w14:paraId="0F907C69" w14:textId="77777777" w:rsidR="009F33CD" w:rsidRPr="00FC6D2C" w:rsidRDefault="00E40740">
            <w:pPr>
              <w:spacing w:line="240" w:lineRule="auto"/>
              <w:rPr>
                <w:bCs/>
                <w:sz w:val="22"/>
                <w:szCs w:val="22"/>
              </w:rPr>
            </w:pPr>
            <w:r w:rsidRPr="00FC6D2C">
              <w:rPr>
                <w:bCs/>
                <w:sz w:val="22"/>
                <w:szCs w:val="22"/>
              </w:rPr>
              <w:t>Training programs</w:t>
            </w:r>
          </w:p>
        </w:tc>
        <w:tc>
          <w:tcPr>
            <w:tcW w:w="837" w:type="pct"/>
          </w:tcPr>
          <w:p w14:paraId="35018690" w14:textId="77777777" w:rsidR="009F33CD" w:rsidRPr="00FC6D2C" w:rsidRDefault="00E40740">
            <w:pPr>
              <w:spacing w:line="240" w:lineRule="auto"/>
              <w:rPr>
                <w:bCs/>
                <w:sz w:val="22"/>
                <w:szCs w:val="22"/>
              </w:rPr>
            </w:pPr>
            <w:r w:rsidRPr="00FC6D2C">
              <w:rPr>
                <w:bCs/>
                <w:sz w:val="22"/>
                <w:szCs w:val="22"/>
              </w:rPr>
              <w:t xml:space="preserve">To record the types of green training programs undertaken for the past six years. </w:t>
            </w:r>
          </w:p>
        </w:tc>
        <w:tc>
          <w:tcPr>
            <w:tcW w:w="664" w:type="pct"/>
          </w:tcPr>
          <w:p w14:paraId="1694018E" w14:textId="77777777" w:rsidR="009F33CD" w:rsidRPr="00FC6D2C" w:rsidRDefault="00E40740">
            <w:pPr>
              <w:spacing w:line="240" w:lineRule="auto"/>
              <w:rPr>
                <w:bCs/>
                <w:sz w:val="22"/>
                <w:szCs w:val="22"/>
              </w:rPr>
            </w:pPr>
            <w:r w:rsidRPr="00FC6D2C">
              <w:rPr>
                <w:bCs/>
                <w:sz w:val="22"/>
                <w:szCs w:val="22"/>
              </w:rPr>
              <w:t>HRO- records (check training minutes file)</w:t>
            </w:r>
          </w:p>
        </w:tc>
        <w:tc>
          <w:tcPr>
            <w:tcW w:w="414" w:type="pct"/>
          </w:tcPr>
          <w:p w14:paraId="470C63C0" w14:textId="77777777" w:rsidR="009F33CD" w:rsidRPr="00FC6D2C" w:rsidRDefault="009F33CD">
            <w:pPr>
              <w:spacing w:line="240" w:lineRule="auto"/>
              <w:rPr>
                <w:bCs/>
                <w:sz w:val="22"/>
                <w:szCs w:val="22"/>
              </w:rPr>
            </w:pPr>
          </w:p>
        </w:tc>
        <w:tc>
          <w:tcPr>
            <w:tcW w:w="415" w:type="pct"/>
          </w:tcPr>
          <w:p w14:paraId="415B9B4F" w14:textId="77777777" w:rsidR="009F33CD" w:rsidRPr="00FC6D2C" w:rsidRDefault="009F33CD">
            <w:pPr>
              <w:spacing w:line="240" w:lineRule="auto"/>
              <w:rPr>
                <w:bCs/>
                <w:sz w:val="22"/>
                <w:szCs w:val="22"/>
              </w:rPr>
            </w:pPr>
          </w:p>
        </w:tc>
        <w:tc>
          <w:tcPr>
            <w:tcW w:w="414" w:type="pct"/>
          </w:tcPr>
          <w:p w14:paraId="72620861" w14:textId="77777777" w:rsidR="009F33CD" w:rsidRPr="00FC6D2C" w:rsidRDefault="009F33CD">
            <w:pPr>
              <w:spacing w:line="240" w:lineRule="auto"/>
              <w:rPr>
                <w:bCs/>
                <w:sz w:val="22"/>
                <w:szCs w:val="22"/>
              </w:rPr>
            </w:pPr>
          </w:p>
        </w:tc>
        <w:tc>
          <w:tcPr>
            <w:tcW w:w="415" w:type="pct"/>
          </w:tcPr>
          <w:p w14:paraId="35E8538C" w14:textId="77777777" w:rsidR="009F33CD" w:rsidRPr="00FC6D2C" w:rsidRDefault="009F33CD">
            <w:pPr>
              <w:spacing w:line="240" w:lineRule="auto"/>
              <w:rPr>
                <w:bCs/>
                <w:sz w:val="22"/>
                <w:szCs w:val="22"/>
              </w:rPr>
            </w:pPr>
          </w:p>
        </w:tc>
        <w:tc>
          <w:tcPr>
            <w:tcW w:w="415" w:type="pct"/>
          </w:tcPr>
          <w:p w14:paraId="2CD9E153" w14:textId="77777777" w:rsidR="009F33CD" w:rsidRPr="00FC6D2C" w:rsidRDefault="009F33CD">
            <w:pPr>
              <w:spacing w:line="240" w:lineRule="auto"/>
              <w:rPr>
                <w:bCs/>
                <w:sz w:val="22"/>
                <w:szCs w:val="22"/>
              </w:rPr>
            </w:pPr>
          </w:p>
        </w:tc>
        <w:tc>
          <w:tcPr>
            <w:tcW w:w="440" w:type="pct"/>
          </w:tcPr>
          <w:p w14:paraId="3DA60139" w14:textId="77777777" w:rsidR="009F33CD" w:rsidRPr="00FC6D2C" w:rsidRDefault="009F33CD">
            <w:pPr>
              <w:spacing w:line="240" w:lineRule="auto"/>
              <w:rPr>
                <w:bCs/>
                <w:sz w:val="22"/>
                <w:szCs w:val="22"/>
              </w:rPr>
            </w:pPr>
          </w:p>
        </w:tc>
      </w:tr>
      <w:tr w:rsidR="009F33CD" w:rsidRPr="00FC6D2C" w14:paraId="2398B326" w14:textId="77777777">
        <w:tc>
          <w:tcPr>
            <w:tcW w:w="328" w:type="pct"/>
          </w:tcPr>
          <w:p w14:paraId="52ADB6B9" w14:textId="77777777" w:rsidR="009F33CD" w:rsidRPr="00FC6D2C" w:rsidRDefault="00E40740">
            <w:pPr>
              <w:spacing w:line="240" w:lineRule="auto"/>
              <w:rPr>
                <w:bCs/>
                <w:sz w:val="22"/>
                <w:szCs w:val="22"/>
              </w:rPr>
            </w:pPr>
            <w:r w:rsidRPr="00FC6D2C">
              <w:rPr>
                <w:bCs/>
                <w:sz w:val="22"/>
                <w:szCs w:val="22"/>
              </w:rPr>
              <w:t>9</w:t>
            </w:r>
          </w:p>
        </w:tc>
        <w:tc>
          <w:tcPr>
            <w:tcW w:w="658" w:type="pct"/>
          </w:tcPr>
          <w:p w14:paraId="6D47AEF2" w14:textId="77777777" w:rsidR="009F33CD" w:rsidRPr="00FC6D2C" w:rsidRDefault="00E40740">
            <w:pPr>
              <w:spacing w:line="240" w:lineRule="auto"/>
              <w:rPr>
                <w:bCs/>
                <w:sz w:val="22"/>
                <w:szCs w:val="22"/>
              </w:rPr>
            </w:pPr>
            <w:r w:rsidRPr="00FC6D2C">
              <w:rPr>
                <w:bCs/>
                <w:sz w:val="22"/>
                <w:szCs w:val="22"/>
              </w:rPr>
              <w:t>Safety measures</w:t>
            </w:r>
          </w:p>
        </w:tc>
        <w:tc>
          <w:tcPr>
            <w:tcW w:w="837" w:type="pct"/>
          </w:tcPr>
          <w:p w14:paraId="720F6EA6" w14:textId="77777777" w:rsidR="009F33CD" w:rsidRPr="00FC6D2C" w:rsidRDefault="00E40740">
            <w:pPr>
              <w:spacing w:line="240" w:lineRule="auto"/>
              <w:rPr>
                <w:bCs/>
                <w:sz w:val="22"/>
                <w:szCs w:val="22"/>
              </w:rPr>
            </w:pPr>
            <w:r w:rsidRPr="00FC6D2C">
              <w:rPr>
                <w:bCs/>
                <w:sz w:val="22"/>
                <w:szCs w:val="22"/>
              </w:rPr>
              <w:t>To record types of safety measures implemented for the past six years</w:t>
            </w:r>
          </w:p>
          <w:p w14:paraId="5514D682" w14:textId="77777777" w:rsidR="009F33CD" w:rsidRPr="00FC6D2C" w:rsidRDefault="00E40740">
            <w:pPr>
              <w:spacing w:line="240" w:lineRule="auto"/>
              <w:rPr>
                <w:sz w:val="22"/>
                <w:szCs w:val="22"/>
              </w:rPr>
            </w:pPr>
            <w:r w:rsidRPr="00FC6D2C">
              <w:rPr>
                <w:sz w:val="22"/>
                <w:szCs w:val="22"/>
              </w:rPr>
              <w:t xml:space="preserve">To record number of available Environmental audit reports for the past six years </w:t>
            </w:r>
          </w:p>
        </w:tc>
        <w:tc>
          <w:tcPr>
            <w:tcW w:w="664" w:type="pct"/>
          </w:tcPr>
          <w:p w14:paraId="1B760AFA" w14:textId="77777777" w:rsidR="009F33CD" w:rsidRPr="00FC6D2C" w:rsidRDefault="009F33CD">
            <w:pPr>
              <w:spacing w:line="240" w:lineRule="auto"/>
              <w:rPr>
                <w:bCs/>
                <w:sz w:val="22"/>
                <w:szCs w:val="22"/>
              </w:rPr>
            </w:pPr>
          </w:p>
          <w:p w14:paraId="1A8FD2D1" w14:textId="77777777" w:rsidR="009F33CD" w:rsidRPr="00FC6D2C" w:rsidRDefault="00E40740">
            <w:pPr>
              <w:spacing w:line="240" w:lineRule="auto"/>
              <w:rPr>
                <w:bCs/>
                <w:sz w:val="22"/>
                <w:szCs w:val="22"/>
              </w:rPr>
            </w:pPr>
            <w:r w:rsidRPr="00FC6D2C">
              <w:rPr>
                <w:bCs/>
                <w:sz w:val="22"/>
                <w:szCs w:val="22"/>
              </w:rPr>
              <w:t>HRO- records</w:t>
            </w:r>
          </w:p>
          <w:p w14:paraId="1A976608" w14:textId="77777777" w:rsidR="009F33CD" w:rsidRPr="00FC6D2C" w:rsidRDefault="009F33CD">
            <w:pPr>
              <w:spacing w:line="240" w:lineRule="auto"/>
              <w:rPr>
                <w:bCs/>
                <w:sz w:val="22"/>
                <w:szCs w:val="22"/>
              </w:rPr>
            </w:pPr>
          </w:p>
          <w:p w14:paraId="3D320D09" w14:textId="77777777" w:rsidR="009F33CD" w:rsidRPr="00FC6D2C" w:rsidRDefault="00E40740">
            <w:pPr>
              <w:spacing w:line="240" w:lineRule="auto"/>
              <w:rPr>
                <w:bCs/>
                <w:sz w:val="22"/>
                <w:szCs w:val="22"/>
              </w:rPr>
            </w:pPr>
            <w:r w:rsidRPr="00FC6D2C">
              <w:rPr>
                <w:bCs/>
                <w:sz w:val="22"/>
                <w:szCs w:val="22"/>
              </w:rPr>
              <w:t>Public Health (check reports)</w:t>
            </w:r>
          </w:p>
        </w:tc>
        <w:tc>
          <w:tcPr>
            <w:tcW w:w="414" w:type="pct"/>
          </w:tcPr>
          <w:p w14:paraId="442ADABA" w14:textId="77777777" w:rsidR="009F33CD" w:rsidRPr="00FC6D2C" w:rsidRDefault="009F33CD">
            <w:pPr>
              <w:spacing w:line="240" w:lineRule="auto"/>
              <w:rPr>
                <w:bCs/>
                <w:sz w:val="22"/>
                <w:szCs w:val="22"/>
              </w:rPr>
            </w:pPr>
          </w:p>
        </w:tc>
        <w:tc>
          <w:tcPr>
            <w:tcW w:w="415" w:type="pct"/>
          </w:tcPr>
          <w:p w14:paraId="3B15DDD9" w14:textId="77777777" w:rsidR="009F33CD" w:rsidRPr="00FC6D2C" w:rsidRDefault="009F33CD">
            <w:pPr>
              <w:spacing w:line="240" w:lineRule="auto"/>
              <w:rPr>
                <w:bCs/>
                <w:sz w:val="22"/>
                <w:szCs w:val="22"/>
              </w:rPr>
            </w:pPr>
          </w:p>
        </w:tc>
        <w:tc>
          <w:tcPr>
            <w:tcW w:w="414" w:type="pct"/>
          </w:tcPr>
          <w:p w14:paraId="50ECA439" w14:textId="77777777" w:rsidR="009F33CD" w:rsidRPr="00FC6D2C" w:rsidRDefault="009F33CD">
            <w:pPr>
              <w:spacing w:line="240" w:lineRule="auto"/>
              <w:rPr>
                <w:bCs/>
                <w:sz w:val="22"/>
                <w:szCs w:val="22"/>
              </w:rPr>
            </w:pPr>
          </w:p>
        </w:tc>
        <w:tc>
          <w:tcPr>
            <w:tcW w:w="415" w:type="pct"/>
          </w:tcPr>
          <w:p w14:paraId="2165091B" w14:textId="77777777" w:rsidR="009F33CD" w:rsidRPr="00FC6D2C" w:rsidRDefault="009F33CD">
            <w:pPr>
              <w:spacing w:line="240" w:lineRule="auto"/>
              <w:rPr>
                <w:bCs/>
                <w:sz w:val="22"/>
                <w:szCs w:val="22"/>
              </w:rPr>
            </w:pPr>
          </w:p>
        </w:tc>
        <w:tc>
          <w:tcPr>
            <w:tcW w:w="415" w:type="pct"/>
          </w:tcPr>
          <w:p w14:paraId="3C1B27F3" w14:textId="77777777" w:rsidR="009F33CD" w:rsidRPr="00FC6D2C" w:rsidRDefault="009F33CD">
            <w:pPr>
              <w:spacing w:line="240" w:lineRule="auto"/>
              <w:rPr>
                <w:bCs/>
                <w:sz w:val="22"/>
                <w:szCs w:val="22"/>
              </w:rPr>
            </w:pPr>
          </w:p>
        </w:tc>
        <w:tc>
          <w:tcPr>
            <w:tcW w:w="440" w:type="pct"/>
          </w:tcPr>
          <w:p w14:paraId="78D878A1" w14:textId="77777777" w:rsidR="009F33CD" w:rsidRPr="00FC6D2C" w:rsidRDefault="009F33CD">
            <w:pPr>
              <w:spacing w:line="240" w:lineRule="auto"/>
              <w:rPr>
                <w:bCs/>
                <w:sz w:val="22"/>
                <w:szCs w:val="22"/>
              </w:rPr>
            </w:pPr>
          </w:p>
        </w:tc>
      </w:tr>
      <w:tr w:rsidR="009F33CD" w:rsidRPr="00FC6D2C" w14:paraId="323D3FAA" w14:textId="77777777">
        <w:tc>
          <w:tcPr>
            <w:tcW w:w="328" w:type="pct"/>
          </w:tcPr>
          <w:p w14:paraId="341D799E" w14:textId="77777777" w:rsidR="009F33CD" w:rsidRPr="00FC6D2C" w:rsidRDefault="00E40740">
            <w:pPr>
              <w:spacing w:line="240" w:lineRule="auto"/>
              <w:rPr>
                <w:bCs/>
                <w:sz w:val="22"/>
                <w:szCs w:val="22"/>
              </w:rPr>
            </w:pPr>
            <w:r w:rsidRPr="00FC6D2C">
              <w:rPr>
                <w:bCs/>
                <w:sz w:val="22"/>
                <w:szCs w:val="22"/>
              </w:rPr>
              <w:t>10</w:t>
            </w:r>
          </w:p>
        </w:tc>
        <w:tc>
          <w:tcPr>
            <w:tcW w:w="658" w:type="pct"/>
          </w:tcPr>
          <w:p w14:paraId="69CF80CE" w14:textId="77777777" w:rsidR="009F33CD" w:rsidRPr="00FC6D2C" w:rsidRDefault="00E40740">
            <w:pPr>
              <w:spacing w:line="240" w:lineRule="auto"/>
              <w:rPr>
                <w:bCs/>
                <w:sz w:val="22"/>
                <w:szCs w:val="22"/>
              </w:rPr>
            </w:pPr>
            <w:r w:rsidRPr="00FC6D2C">
              <w:rPr>
                <w:bCs/>
                <w:sz w:val="22"/>
                <w:szCs w:val="22"/>
              </w:rPr>
              <w:t>Waste disposal methods</w:t>
            </w:r>
          </w:p>
        </w:tc>
        <w:tc>
          <w:tcPr>
            <w:tcW w:w="837" w:type="pct"/>
          </w:tcPr>
          <w:p w14:paraId="588D59F1" w14:textId="77777777" w:rsidR="009F33CD" w:rsidRPr="00FC6D2C" w:rsidRDefault="00E40740">
            <w:pPr>
              <w:spacing w:line="240" w:lineRule="auto"/>
              <w:rPr>
                <w:bCs/>
                <w:sz w:val="22"/>
                <w:szCs w:val="22"/>
              </w:rPr>
            </w:pPr>
            <w:r w:rsidRPr="00FC6D2C">
              <w:rPr>
                <w:bCs/>
                <w:sz w:val="22"/>
                <w:szCs w:val="22"/>
              </w:rPr>
              <w:t xml:space="preserve">To record types of eco-friendly </w:t>
            </w:r>
            <w:r w:rsidRPr="00FC6D2C">
              <w:rPr>
                <w:bCs/>
                <w:sz w:val="22"/>
                <w:szCs w:val="22"/>
              </w:rPr>
              <w:lastRenderedPageBreak/>
              <w:t>medical waste disposal methods for the past six years.</w:t>
            </w:r>
          </w:p>
        </w:tc>
        <w:tc>
          <w:tcPr>
            <w:tcW w:w="664" w:type="pct"/>
          </w:tcPr>
          <w:p w14:paraId="41C05D19" w14:textId="77777777" w:rsidR="009F33CD" w:rsidRPr="00FC6D2C" w:rsidRDefault="00E40740">
            <w:pPr>
              <w:spacing w:line="240" w:lineRule="auto"/>
              <w:rPr>
                <w:bCs/>
                <w:sz w:val="22"/>
                <w:szCs w:val="22"/>
              </w:rPr>
            </w:pPr>
            <w:r w:rsidRPr="00FC6D2C">
              <w:rPr>
                <w:bCs/>
                <w:sz w:val="22"/>
                <w:szCs w:val="22"/>
              </w:rPr>
              <w:lastRenderedPageBreak/>
              <w:t xml:space="preserve">Public Health (minutes </w:t>
            </w:r>
            <w:r w:rsidRPr="00FC6D2C">
              <w:rPr>
                <w:bCs/>
                <w:sz w:val="22"/>
                <w:szCs w:val="22"/>
              </w:rPr>
              <w:lastRenderedPageBreak/>
              <w:t>file or poster)</w:t>
            </w:r>
          </w:p>
        </w:tc>
        <w:tc>
          <w:tcPr>
            <w:tcW w:w="414" w:type="pct"/>
          </w:tcPr>
          <w:p w14:paraId="0BC06D2A" w14:textId="77777777" w:rsidR="009F33CD" w:rsidRPr="00FC6D2C" w:rsidRDefault="009F33CD">
            <w:pPr>
              <w:spacing w:line="240" w:lineRule="auto"/>
              <w:rPr>
                <w:bCs/>
                <w:sz w:val="22"/>
                <w:szCs w:val="22"/>
              </w:rPr>
            </w:pPr>
          </w:p>
        </w:tc>
        <w:tc>
          <w:tcPr>
            <w:tcW w:w="415" w:type="pct"/>
          </w:tcPr>
          <w:p w14:paraId="70289901" w14:textId="77777777" w:rsidR="009F33CD" w:rsidRPr="00FC6D2C" w:rsidRDefault="009F33CD">
            <w:pPr>
              <w:spacing w:line="240" w:lineRule="auto"/>
              <w:rPr>
                <w:bCs/>
                <w:sz w:val="22"/>
                <w:szCs w:val="22"/>
              </w:rPr>
            </w:pPr>
          </w:p>
        </w:tc>
        <w:tc>
          <w:tcPr>
            <w:tcW w:w="414" w:type="pct"/>
          </w:tcPr>
          <w:p w14:paraId="6082B6C5" w14:textId="77777777" w:rsidR="009F33CD" w:rsidRPr="00FC6D2C" w:rsidRDefault="009F33CD">
            <w:pPr>
              <w:spacing w:line="240" w:lineRule="auto"/>
              <w:rPr>
                <w:bCs/>
                <w:sz w:val="22"/>
                <w:szCs w:val="22"/>
              </w:rPr>
            </w:pPr>
          </w:p>
        </w:tc>
        <w:tc>
          <w:tcPr>
            <w:tcW w:w="415" w:type="pct"/>
          </w:tcPr>
          <w:p w14:paraId="11AA83B4" w14:textId="77777777" w:rsidR="009F33CD" w:rsidRPr="00FC6D2C" w:rsidRDefault="009F33CD">
            <w:pPr>
              <w:spacing w:line="240" w:lineRule="auto"/>
              <w:rPr>
                <w:bCs/>
                <w:sz w:val="22"/>
                <w:szCs w:val="22"/>
              </w:rPr>
            </w:pPr>
          </w:p>
        </w:tc>
        <w:tc>
          <w:tcPr>
            <w:tcW w:w="415" w:type="pct"/>
          </w:tcPr>
          <w:p w14:paraId="558B4597" w14:textId="77777777" w:rsidR="009F33CD" w:rsidRPr="00FC6D2C" w:rsidRDefault="009F33CD">
            <w:pPr>
              <w:spacing w:line="240" w:lineRule="auto"/>
              <w:rPr>
                <w:bCs/>
                <w:sz w:val="22"/>
                <w:szCs w:val="22"/>
              </w:rPr>
            </w:pPr>
          </w:p>
        </w:tc>
        <w:tc>
          <w:tcPr>
            <w:tcW w:w="440" w:type="pct"/>
          </w:tcPr>
          <w:p w14:paraId="5AF98A58" w14:textId="77777777" w:rsidR="009F33CD" w:rsidRPr="00FC6D2C" w:rsidRDefault="009F33CD">
            <w:pPr>
              <w:spacing w:line="240" w:lineRule="auto"/>
              <w:rPr>
                <w:bCs/>
                <w:sz w:val="22"/>
                <w:szCs w:val="22"/>
              </w:rPr>
            </w:pPr>
          </w:p>
        </w:tc>
      </w:tr>
      <w:tr w:rsidR="009F33CD" w:rsidRPr="00FC6D2C" w14:paraId="3F251E38" w14:textId="77777777">
        <w:tc>
          <w:tcPr>
            <w:tcW w:w="328" w:type="pct"/>
          </w:tcPr>
          <w:p w14:paraId="72C03399" w14:textId="77777777" w:rsidR="009F33CD" w:rsidRPr="00FC6D2C" w:rsidRDefault="00E40740">
            <w:pPr>
              <w:spacing w:line="240" w:lineRule="auto"/>
              <w:rPr>
                <w:bCs/>
                <w:sz w:val="22"/>
                <w:szCs w:val="22"/>
              </w:rPr>
            </w:pPr>
            <w:r w:rsidRPr="00FC6D2C">
              <w:rPr>
                <w:bCs/>
                <w:sz w:val="22"/>
                <w:szCs w:val="22"/>
              </w:rPr>
              <w:lastRenderedPageBreak/>
              <w:t>11</w:t>
            </w:r>
          </w:p>
        </w:tc>
        <w:tc>
          <w:tcPr>
            <w:tcW w:w="658" w:type="pct"/>
          </w:tcPr>
          <w:p w14:paraId="5288626D" w14:textId="77777777" w:rsidR="009F33CD" w:rsidRPr="00FC6D2C" w:rsidRDefault="00E40740">
            <w:pPr>
              <w:spacing w:line="240" w:lineRule="auto"/>
              <w:rPr>
                <w:bCs/>
                <w:sz w:val="22"/>
                <w:szCs w:val="22"/>
              </w:rPr>
            </w:pPr>
            <w:r w:rsidRPr="00FC6D2C">
              <w:rPr>
                <w:bCs/>
                <w:sz w:val="22"/>
                <w:szCs w:val="22"/>
              </w:rPr>
              <w:t>Green occupational safety guidelines</w:t>
            </w:r>
          </w:p>
        </w:tc>
        <w:tc>
          <w:tcPr>
            <w:tcW w:w="837" w:type="pct"/>
          </w:tcPr>
          <w:p w14:paraId="5534D486" w14:textId="77777777" w:rsidR="009F33CD" w:rsidRPr="00FC6D2C" w:rsidRDefault="00E40740">
            <w:pPr>
              <w:spacing w:line="240" w:lineRule="auto"/>
              <w:rPr>
                <w:bCs/>
                <w:sz w:val="22"/>
                <w:szCs w:val="22"/>
              </w:rPr>
            </w:pPr>
            <w:r w:rsidRPr="00FC6D2C">
              <w:rPr>
                <w:bCs/>
                <w:sz w:val="22"/>
                <w:szCs w:val="22"/>
              </w:rPr>
              <w:t>To record types of disciplinary actions imposed on employees for non-compliance to GOSH activities for the past six years</w:t>
            </w:r>
          </w:p>
        </w:tc>
        <w:tc>
          <w:tcPr>
            <w:tcW w:w="664" w:type="pct"/>
          </w:tcPr>
          <w:p w14:paraId="66CA0C38" w14:textId="77777777" w:rsidR="009F33CD" w:rsidRPr="00FC6D2C" w:rsidRDefault="00E40740">
            <w:pPr>
              <w:spacing w:line="240" w:lineRule="auto"/>
              <w:rPr>
                <w:bCs/>
                <w:sz w:val="22"/>
                <w:szCs w:val="22"/>
              </w:rPr>
            </w:pPr>
            <w:r w:rsidRPr="00FC6D2C">
              <w:rPr>
                <w:bCs/>
                <w:sz w:val="22"/>
                <w:szCs w:val="22"/>
              </w:rPr>
              <w:t>Public Health (Disciplinary records)</w:t>
            </w:r>
          </w:p>
        </w:tc>
        <w:tc>
          <w:tcPr>
            <w:tcW w:w="414" w:type="pct"/>
          </w:tcPr>
          <w:p w14:paraId="70439DA0" w14:textId="77777777" w:rsidR="009F33CD" w:rsidRPr="00FC6D2C" w:rsidRDefault="009F33CD">
            <w:pPr>
              <w:spacing w:line="240" w:lineRule="auto"/>
              <w:rPr>
                <w:bCs/>
                <w:sz w:val="22"/>
                <w:szCs w:val="22"/>
              </w:rPr>
            </w:pPr>
          </w:p>
        </w:tc>
        <w:tc>
          <w:tcPr>
            <w:tcW w:w="415" w:type="pct"/>
          </w:tcPr>
          <w:p w14:paraId="6D0308CB" w14:textId="77777777" w:rsidR="009F33CD" w:rsidRPr="00FC6D2C" w:rsidRDefault="009F33CD">
            <w:pPr>
              <w:spacing w:line="240" w:lineRule="auto"/>
              <w:rPr>
                <w:bCs/>
                <w:sz w:val="22"/>
                <w:szCs w:val="22"/>
              </w:rPr>
            </w:pPr>
          </w:p>
        </w:tc>
        <w:tc>
          <w:tcPr>
            <w:tcW w:w="414" w:type="pct"/>
          </w:tcPr>
          <w:p w14:paraId="287555C0" w14:textId="77777777" w:rsidR="009F33CD" w:rsidRPr="00FC6D2C" w:rsidRDefault="009F33CD">
            <w:pPr>
              <w:spacing w:line="240" w:lineRule="auto"/>
              <w:rPr>
                <w:bCs/>
                <w:sz w:val="22"/>
                <w:szCs w:val="22"/>
              </w:rPr>
            </w:pPr>
          </w:p>
        </w:tc>
        <w:tc>
          <w:tcPr>
            <w:tcW w:w="415" w:type="pct"/>
          </w:tcPr>
          <w:p w14:paraId="38675FEC" w14:textId="77777777" w:rsidR="009F33CD" w:rsidRPr="00FC6D2C" w:rsidRDefault="009F33CD">
            <w:pPr>
              <w:spacing w:line="240" w:lineRule="auto"/>
              <w:rPr>
                <w:bCs/>
                <w:sz w:val="22"/>
                <w:szCs w:val="22"/>
              </w:rPr>
            </w:pPr>
          </w:p>
        </w:tc>
        <w:tc>
          <w:tcPr>
            <w:tcW w:w="415" w:type="pct"/>
          </w:tcPr>
          <w:p w14:paraId="70D7AAE9" w14:textId="77777777" w:rsidR="009F33CD" w:rsidRPr="00FC6D2C" w:rsidRDefault="009F33CD">
            <w:pPr>
              <w:spacing w:line="240" w:lineRule="auto"/>
              <w:rPr>
                <w:bCs/>
                <w:sz w:val="22"/>
                <w:szCs w:val="22"/>
              </w:rPr>
            </w:pPr>
          </w:p>
        </w:tc>
        <w:tc>
          <w:tcPr>
            <w:tcW w:w="440" w:type="pct"/>
          </w:tcPr>
          <w:p w14:paraId="1CC4A61B" w14:textId="77777777" w:rsidR="009F33CD" w:rsidRPr="00FC6D2C" w:rsidRDefault="009F33CD">
            <w:pPr>
              <w:spacing w:line="240" w:lineRule="auto"/>
              <w:rPr>
                <w:bCs/>
                <w:sz w:val="22"/>
                <w:szCs w:val="22"/>
              </w:rPr>
            </w:pPr>
          </w:p>
        </w:tc>
      </w:tr>
      <w:tr w:rsidR="009F33CD" w:rsidRPr="00FC6D2C" w14:paraId="737EFD30" w14:textId="77777777">
        <w:tc>
          <w:tcPr>
            <w:tcW w:w="328" w:type="pct"/>
          </w:tcPr>
          <w:p w14:paraId="0E051DF8" w14:textId="77777777" w:rsidR="009F33CD" w:rsidRPr="00FC6D2C" w:rsidRDefault="00E40740">
            <w:pPr>
              <w:spacing w:line="240" w:lineRule="auto"/>
              <w:rPr>
                <w:bCs/>
                <w:sz w:val="22"/>
                <w:szCs w:val="22"/>
              </w:rPr>
            </w:pPr>
            <w:r w:rsidRPr="00FC6D2C">
              <w:rPr>
                <w:bCs/>
                <w:sz w:val="22"/>
                <w:szCs w:val="22"/>
              </w:rPr>
              <w:t xml:space="preserve">12 </w:t>
            </w:r>
          </w:p>
        </w:tc>
        <w:tc>
          <w:tcPr>
            <w:tcW w:w="658" w:type="pct"/>
          </w:tcPr>
          <w:p w14:paraId="755B5B7A" w14:textId="77777777" w:rsidR="009F33CD" w:rsidRPr="00FC6D2C" w:rsidRDefault="00E40740">
            <w:pPr>
              <w:spacing w:line="240" w:lineRule="auto"/>
              <w:rPr>
                <w:bCs/>
                <w:sz w:val="22"/>
                <w:szCs w:val="22"/>
              </w:rPr>
            </w:pPr>
            <w:r w:rsidRPr="00FC6D2C">
              <w:rPr>
                <w:bCs/>
                <w:sz w:val="22"/>
                <w:szCs w:val="22"/>
              </w:rPr>
              <w:t>E-evaluation instruments</w:t>
            </w:r>
          </w:p>
        </w:tc>
        <w:tc>
          <w:tcPr>
            <w:tcW w:w="837" w:type="pct"/>
          </w:tcPr>
          <w:p w14:paraId="4CD153DA" w14:textId="77777777" w:rsidR="009F33CD" w:rsidRPr="00FC6D2C" w:rsidRDefault="00E40740">
            <w:pPr>
              <w:spacing w:line="240" w:lineRule="auto"/>
              <w:rPr>
                <w:bCs/>
                <w:sz w:val="22"/>
                <w:szCs w:val="22"/>
              </w:rPr>
            </w:pPr>
            <w:r w:rsidRPr="00FC6D2C">
              <w:rPr>
                <w:bCs/>
                <w:sz w:val="22"/>
                <w:szCs w:val="22"/>
              </w:rPr>
              <w:t>To record number of E-evaluations conducted for the past six years</w:t>
            </w:r>
          </w:p>
        </w:tc>
        <w:tc>
          <w:tcPr>
            <w:tcW w:w="664" w:type="pct"/>
          </w:tcPr>
          <w:p w14:paraId="158AA7D7" w14:textId="77777777" w:rsidR="009F33CD" w:rsidRPr="00FC6D2C" w:rsidRDefault="00E40740">
            <w:pPr>
              <w:spacing w:line="240" w:lineRule="auto"/>
              <w:rPr>
                <w:bCs/>
                <w:sz w:val="22"/>
                <w:szCs w:val="22"/>
              </w:rPr>
            </w:pPr>
            <w:r w:rsidRPr="00FC6D2C">
              <w:rPr>
                <w:bCs/>
                <w:sz w:val="22"/>
                <w:szCs w:val="22"/>
              </w:rPr>
              <w:t>HRO- records (e-performance summary file)</w:t>
            </w:r>
          </w:p>
        </w:tc>
        <w:tc>
          <w:tcPr>
            <w:tcW w:w="414" w:type="pct"/>
          </w:tcPr>
          <w:p w14:paraId="0355AE30" w14:textId="77777777" w:rsidR="009F33CD" w:rsidRPr="00FC6D2C" w:rsidRDefault="009F33CD">
            <w:pPr>
              <w:spacing w:line="240" w:lineRule="auto"/>
              <w:rPr>
                <w:bCs/>
                <w:sz w:val="22"/>
                <w:szCs w:val="22"/>
              </w:rPr>
            </w:pPr>
          </w:p>
        </w:tc>
        <w:tc>
          <w:tcPr>
            <w:tcW w:w="415" w:type="pct"/>
          </w:tcPr>
          <w:p w14:paraId="09081B11" w14:textId="77777777" w:rsidR="009F33CD" w:rsidRPr="00FC6D2C" w:rsidRDefault="009F33CD">
            <w:pPr>
              <w:spacing w:line="240" w:lineRule="auto"/>
              <w:rPr>
                <w:bCs/>
                <w:sz w:val="22"/>
                <w:szCs w:val="22"/>
              </w:rPr>
            </w:pPr>
          </w:p>
        </w:tc>
        <w:tc>
          <w:tcPr>
            <w:tcW w:w="414" w:type="pct"/>
          </w:tcPr>
          <w:p w14:paraId="1703146C" w14:textId="77777777" w:rsidR="009F33CD" w:rsidRPr="00FC6D2C" w:rsidRDefault="009F33CD">
            <w:pPr>
              <w:spacing w:line="240" w:lineRule="auto"/>
              <w:rPr>
                <w:bCs/>
                <w:sz w:val="22"/>
                <w:szCs w:val="22"/>
              </w:rPr>
            </w:pPr>
          </w:p>
        </w:tc>
        <w:tc>
          <w:tcPr>
            <w:tcW w:w="415" w:type="pct"/>
          </w:tcPr>
          <w:p w14:paraId="6C334461" w14:textId="77777777" w:rsidR="009F33CD" w:rsidRPr="00FC6D2C" w:rsidRDefault="009F33CD">
            <w:pPr>
              <w:spacing w:line="240" w:lineRule="auto"/>
              <w:rPr>
                <w:bCs/>
                <w:sz w:val="22"/>
                <w:szCs w:val="22"/>
              </w:rPr>
            </w:pPr>
          </w:p>
        </w:tc>
        <w:tc>
          <w:tcPr>
            <w:tcW w:w="415" w:type="pct"/>
          </w:tcPr>
          <w:p w14:paraId="05D33294" w14:textId="77777777" w:rsidR="009F33CD" w:rsidRPr="00FC6D2C" w:rsidRDefault="009F33CD">
            <w:pPr>
              <w:spacing w:line="240" w:lineRule="auto"/>
              <w:rPr>
                <w:bCs/>
                <w:sz w:val="22"/>
                <w:szCs w:val="22"/>
              </w:rPr>
            </w:pPr>
          </w:p>
        </w:tc>
        <w:tc>
          <w:tcPr>
            <w:tcW w:w="440" w:type="pct"/>
          </w:tcPr>
          <w:p w14:paraId="12481CA1" w14:textId="77777777" w:rsidR="009F33CD" w:rsidRPr="00FC6D2C" w:rsidRDefault="009F33CD">
            <w:pPr>
              <w:spacing w:line="240" w:lineRule="auto"/>
              <w:rPr>
                <w:bCs/>
                <w:sz w:val="22"/>
                <w:szCs w:val="22"/>
              </w:rPr>
            </w:pPr>
          </w:p>
        </w:tc>
      </w:tr>
    </w:tbl>
    <w:p w14:paraId="69C41D2F" w14:textId="77777777" w:rsidR="009F33CD" w:rsidRDefault="00E40740">
      <w:pPr>
        <w:rPr>
          <w:rFonts w:cs="Times New Roman"/>
          <w:b/>
          <w:szCs w:val="24"/>
        </w:rPr>
      </w:pPr>
      <w:r>
        <w:rPr>
          <w:rFonts w:cs="Times New Roman"/>
          <w:b/>
          <w:szCs w:val="24"/>
        </w:rPr>
        <w:t>Thank you.</w:t>
      </w:r>
    </w:p>
    <w:p w14:paraId="23A092EE" w14:textId="77777777" w:rsidR="009F33CD" w:rsidRDefault="00E40740">
      <w:pPr>
        <w:pStyle w:val="Heading7"/>
      </w:pPr>
      <w:bookmarkStart w:id="1870" w:name="_Toc33443466"/>
      <w:bookmarkStart w:id="1871" w:name="_Toc5651621"/>
      <w:r>
        <w:br w:type="page"/>
      </w:r>
      <w:bookmarkStart w:id="1872" w:name="_Toc178945156"/>
      <w:bookmarkStart w:id="1873" w:name="_Toc147950317"/>
      <w:bookmarkStart w:id="1874" w:name="_Toc185614203"/>
      <w:bookmarkStart w:id="1875" w:name="_Toc188071388"/>
      <w:bookmarkStart w:id="1876" w:name="_Toc187080975"/>
      <w:bookmarkStart w:id="1877" w:name="_Toc147946978"/>
      <w:bookmarkStart w:id="1878" w:name="_Toc165626476"/>
      <w:r>
        <w:lastRenderedPageBreak/>
        <w:t>Appendix V: Interview Guide</w:t>
      </w:r>
      <w:bookmarkEnd w:id="1870"/>
      <w:bookmarkEnd w:id="1871"/>
      <w:bookmarkEnd w:id="1872"/>
      <w:bookmarkEnd w:id="1873"/>
      <w:bookmarkEnd w:id="1874"/>
      <w:bookmarkEnd w:id="1875"/>
      <w:bookmarkEnd w:id="1876"/>
      <w:bookmarkEnd w:id="1877"/>
      <w:bookmarkEnd w:id="1878"/>
    </w:p>
    <w:p w14:paraId="62317BCA" w14:textId="77777777" w:rsidR="009F33CD" w:rsidRDefault="00E40740">
      <w:pPr>
        <w:contextualSpacing/>
        <w:rPr>
          <w:rFonts w:cs="Times New Roman"/>
          <w:bCs/>
          <w:szCs w:val="24"/>
        </w:rPr>
      </w:pPr>
      <w:r>
        <w:rPr>
          <w:rFonts w:cs="Times New Roman"/>
          <w:bCs/>
          <w:szCs w:val="24"/>
        </w:rPr>
        <w:t>This tool will be used for collection of data on</w:t>
      </w:r>
      <w:r>
        <w:rPr>
          <w:rFonts w:cs="Times New Roman"/>
          <w:b/>
          <w:bCs/>
          <w:szCs w:val="24"/>
        </w:rPr>
        <w:t xml:space="preserve"> </w:t>
      </w:r>
      <w:r>
        <w:rPr>
          <w:rFonts w:cs="Times New Roman"/>
          <w:bCs/>
          <w:szCs w:val="24"/>
        </w:rPr>
        <w:t xml:space="preserve">effect of </w:t>
      </w:r>
      <w:r>
        <w:rPr>
          <w:rFonts w:cs="Times New Roman"/>
          <w:b/>
          <w:bCs/>
          <w:szCs w:val="24"/>
        </w:rPr>
        <w:t xml:space="preserve">green human resource management practices on performance of devolved healthcare services in Kenya. </w:t>
      </w:r>
      <w:r>
        <w:rPr>
          <w:rFonts w:cs="Times New Roman"/>
          <w:bCs/>
          <w:szCs w:val="24"/>
        </w:rPr>
        <w:t xml:space="preserve">This interview guide will specifically collect data on the following specific areas to complement data collected through other methods. </w:t>
      </w:r>
    </w:p>
    <w:p w14:paraId="1F66F197" w14:textId="77777777" w:rsidR="009F33CD" w:rsidRDefault="00E40740">
      <w:pPr>
        <w:contextualSpacing/>
        <w:rPr>
          <w:rFonts w:cs="Times New Roman"/>
          <w:bCs/>
          <w:szCs w:val="24"/>
        </w:rPr>
      </w:pPr>
      <w:r>
        <w:rPr>
          <w:rFonts w:cs="Times New Roman"/>
          <w:b/>
          <w:bCs/>
          <w:szCs w:val="24"/>
        </w:rPr>
        <w:t>Name of the Hospital</w:t>
      </w:r>
      <w:r>
        <w:rPr>
          <w:rFonts w:cs="Times New Roman"/>
          <w:bCs/>
          <w:szCs w:val="24"/>
        </w:rPr>
        <w:t xml:space="preserve"> _________________________________________________</w:t>
      </w:r>
    </w:p>
    <w:p w14:paraId="4B4EF556" w14:textId="77777777" w:rsidR="009F33CD" w:rsidRDefault="00E40740">
      <w:pPr>
        <w:rPr>
          <w:rFonts w:cs="Times New Roman"/>
          <w:bCs/>
          <w:szCs w:val="24"/>
        </w:rPr>
      </w:pPr>
      <w:r>
        <w:rPr>
          <w:rFonts w:cs="Times New Roman"/>
          <w:b/>
          <w:bCs/>
          <w:szCs w:val="24"/>
        </w:rPr>
        <w:t>Person Interviewed</w:t>
      </w:r>
      <w:r>
        <w:rPr>
          <w:rFonts w:cs="Times New Roman"/>
          <w:bCs/>
          <w:szCs w:val="24"/>
        </w:rPr>
        <w:t xml:space="preserve"> (e.g. Chief Nurse, Administrator) _______________________</w:t>
      </w:r>
    </w:p>
    <w:p w14:paraId="2F26C906"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bCs w:val="0"/>
          <w:sz w:val="24"/>
          <w:szCs w:val="24"/>
        </w:rPr>
        <w:t xml:space="preserve">How does green occupational employee safety and health affect performance of devolved healthcare services? Do you have an employee or committee that specifically deal with daily health issues of employees and their safety at work? </w:t>
      </w:r>
    </w:p>
    <w:p w14:paraId="7DFAAA6A"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bCs w:val="0"/>
          <w:sz w:val="24"/>
          <w:szCs w:val="24"/>
        </w:rPr>
        <w:t xml:space="preserve">How do you manage your staff to ensure that you sustain your environment? How does management affect performance of devolved healthcare services? </w:t>
      </w:r>
    </w:p>
    <w:p w14:paraId="1468B067"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bCs w:val="0"/>
          <w:sz w:val="24"/>
          <w:szCs w:val="24"/>
        </w:rPr>
        <w:t>To what extent does the hospital encourage e-training and e-learning?</w:t>
      </w:r>
    </w:p>
    <w:p w14:paraId="0F4417B1"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bCs w:val="0"/>
          <w:sz w:val="24"/>
          <w:szCs w:val="24"/>
        </w:rPr>
        <w:t xml:space="preserve"> How does e-business affect your performance level of devolved healthcare services?</w:t>
      </w:r>
    </w:p>
    <w:p w14:paraId="424DA496"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bCs w:val="0"/>
          <w:sz w:val="24"/>
          <w:szCs w:val="24"/>
        </w:rPr>
        <w:t xml:space="preserve">During recruitment, does the hospital include information about its environmental concerns; e.g. the hospital is environmentally responsible? During interview does the hospital management ask candidates questions connected with safe and healthy environment? Explain why. </w:t>
      </w:r>
    </w:p>
    <w:p w14:paraId="37AFECAE"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Does the hospital provide online (paperless) induction program and if so, does it include environmental awareness? How does it affect employee performance level? </w:t>
      </w:r>
    </w:p>
    <w:p w14:paraId="73178F0C"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Does the hospital practice paperless offices or operations?  If so, explain briefly how it affects performance of devolved healthcare services? </w:t>
      </w:r>
    </w:p>
    <w:p w14:paraId="69D7B645"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Does the hospital practice e-evaluations? If so, to what extent does it affect performance of healthcare services? </w:t>
      </w:r>
    </w:p>
    <w:p w14:paraId="13785919" w14:textId="77777777" w:rsidR="009F33CD" w:rsidRDefault="00E40740">
      <w:pPr>
        <w:pStyle w:val="ListParagraph"/>
        <w:numPr>
          <w:ilvl w:val="0"/>
          <w:numId w:val="11"/>
        </w:numPr>
        <w:spacing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Explain briefly how the hospital integrates environmental issues with your HR practices. </w:t>
      </w:r>
    </w:p>
    <w:p w14:paraId="0AFEDA5E" w14:textId="77777777" w:rsidR="009F33CD" w:rsidRDefault="00E40740">
      <w:pPr>
        <w:rPr>
          <w:rFonts w:cs="Times New Roman"/>
          <w:b/>
          <w:szCs w:val="24"/>
        </w:rPr>
      </w:pPr>
      <w:r>
        <w:rPr>
          <w:rFonts w:cs="Times New Roman"/>
          <w:b/>
          <w:szCs w:val="24"/>
        </w:rPr>
        <w:t>Thank you for your Time</w:t>
      </w:r>
    </w:p>
    <w:p w14:paraId="6E0C0A28" w14:textId="77777777" w:rsidR="009F33CD" w:rsidRDefault="00E40740">
      <w:pPr>
        <w:pStyle w:val="Heading7"/>
      </w:pPr>
      <w:bookmarkStart w:id="1879" w:name="_Toc188071389"/>
      <w:bookmarkStart w:id="1880" w:name="_Toc187080976"/>
      <w:bookmarkStart w:id="1881" w:name="_Toc147946979"/>
      <w:bookmarkStart w:id="1882" w:name="_Toc147950318"/>
      <w:bookmarkStart w:id="1883" w:name="_Toc165626477"/>
      <w:bookmarkStart w:id="1884" w:name="_Toc185614204"/>
      <w:bookmarkStart w:id="1885" w:name="_Toc33443467"/>
      <w:bookmarkStart w:id="1886" w:name="_Toc178945157"/>
      <w:r>
        <w:lastRenderedPageBreak/>
        <w:t>Appendix VI: List of Level Five Hospitals</w:t>
      </w:r>
      <w:bookmarkEnd w:id="1879"/>
      <w:bookmarkEnd w:id="1880"/>
      <w:bookmarkEnd w:id="1881"/>
      <w:bookmarkEnd w:id="1882"/>
      <w:bookmarkEnd w:id="1883"/>
      <w:bookmarkEnd w:id="1884"/>
      <w:bookmarkEnd w:id="1885"/>
      <w:bookmarkEnd w:id="1886"/>
    </w:p>
    <w:p w14:paraId="5EEEA1B5" w14:textId="77777777" w:rsidR="009F33CD" w:rsidRDefault="00E40740">
      <w:pPr>
        <w:rPr>
          <w:rFonts w:cs="Times New Roman"/>
          <w:bCs/>
          <w:szCs w:val="24"/>
        </w:rPr>
      </w:pPr>
      <w:r>
        <w:rPr>
          <w:rFonts w:cs="Times New Roman"/>
          <w:bCs/>
          <w:szCs w:val="24"/>
        </w:rPr>
        <w:t>The following is a list of Level Five Hospitals</w:t>
      </w:r>
    </w:p>
    <w:tbl>
      <w:tblPr>
        <w:tblStyle w:val="LightShading-Accent11"/>
        <w:tblW w:w="5000" w:type="pct"/>
        <w:tblLook w:val="04A0" w:firstRow="1" w:lastRow="0" w:firstColumn="1" w:lastColumn="0" w:noHBand="0" w:noVBand="1"/>
      </w:tblPr>
      <w:tblGrid>
        <w:gridCol w:w="1258"/>
        <w:gridCol w:w="6962"/>
      </w:tblGrid>
      <w:tr w:rsidR="009F33CD" w14:paraId="143D51E9" w14:textId="77777777" w:rsidTr="009F33C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65" w:type="pct"/>
          </w:tcPr>
          <w:p w14:paraId="03BE7C4B" w14:textId="77777777" w:rsidR="009F33CD" w:rsidRDefault="00E40740" w:rsidP="003F51B2">
            <w:pPr>
              <w:spacing w:line="240" w:lineRule="auto"/>
              <w:rPr>
                <w:rFonts w:cs="Times New Roman"/>
                <w:color w:val="auto"/>
                <w:szCs w:val="24"/>
              </w:rPr>
            </w:pPr>
            <w:r>
              <w:rPr>
                <w:rFonts w:cs="Times New Roman"/>
                <w:b w:val="0"/>
                <w:bCs w:val="0"/>
                <w:szCs w:val="24"/>
              </w:rPr>
              <w:t xml:space="preserve"> </w:t>
            </w:r>
            <w:r>
              <w:rPr>
                <w:rFonts w:cs="Times New Roman"/>
                <w:color w:val="auto"/>
                <w:szCs w:val="24"/>
              </w:rPr>
              <w:t>S/No.</w:t>
            </w:r>
          </w:p>
        </w:tc>
        <w:tc>
          <w:tcPr>
            <w:tcW w:w="4235" w:type="pct"/>
            <w:noWrap/>
          </w:tcPr>
          <w:p w14:paraId="3DB2ED10" w14:textId="77777777" w:rsidR="009F33CD" w:rsidRDefault="00E40740" w:rsidP="003F51B2">
            <w:pPr>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Names of Level Five Hospitals</w:t>
            </w:r>
          </w:p>
        </w:tc>
      </w:tr>
      <w:tr w:rsidR="009F33CD" w14:paraId="65733C9C" w14:textId="77777777" w:rsidTr="003F51B2">
        <w:trPr>
          <w:trHeight w:val="60"/>
        </w:trPr>
        <w:tc>
          <w:tcPr>
            <w:cnfStyle w:val="001000000000" w:firstRow="0" w:lastRow="0" w:firstColumn="1" w:lastColumn="0" w:oddVBand="0" w:evenVBand="0" w:oddHBand="0" w:evenHBand="0" w:firstRowFirstColumn="0" w:firstRowLastColumn="0" w:lastRowFirstColumn="0" w:lastRowLastColumn="0"/>
            <w:tcW w:w="765" w:type="pct"/>
          </w:tcPr>
          <w:p w14:paraId="0F7C1BFC" w14:textId="77777777" w:rsidR="009F33CD" w:rsidRDefault="00E40740" w:rsidP="003F51B2">
            <w:pPr>
              <w:spacing w:line="240" w:lineRule="auto"/>
              <w:rPr>
                <w:rFonts w:cs="Times New Roman"/>
                <w:b w:val="0"/>
                <w:bCs w:val="0"/>
                <w:color w:val="auto"/>
                <w:szCs w:val="24"/>
              </w:rPr>
            </w:pPr>
            <w:r>
              <w:rPr>
                <w:rFonts w:cs="Times New Roman"/>
                <w:color w:val="auto"/>
                <w:szCs w:val="24"/>
              </w:rPr>
              <w:t>1</w:t>
            </w:r>
          </w:p>
        </w:tc>
        <w:tc>
          <w:tcPr>
            <w:tcW w:w="4235" w:type="pct"/>
            <w:noWrap/>
          </w:tcPr>
          <w:p w14:paraId="274A38D6"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Kiambu Level Five Hospital</w:t>
            </w:r>
          </w:p>
        </w:tc>
      </w:tr>
      <w:tr w:rsidR="009F33CD" w14:paraId="5B4FD2A7"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10E928D5" w14:textId="77777777" w:rsidR="009F33CD" w:rsidRDefault="00E40740" w:rsidP="003F51B2">
            <w:pPr>
              <w:spacing w:line="240" w:lineRule="auto"/>
              <w:rPr>
                <w:rFonts w:cs="Times New Roman"/>
                <w:b w:val="0"/>
                <w:bCs w:val="0"/>
                <w:color w:val="auto"/>
                <w:szCs w:val="24"/>
              </w:rPr>
            </w:pPr>
            <w:r>
              <w:rPr>
                <w:rFonts w:cs="Times New Roman"/>
                <w:color w:val="auto"/>
                <w:szCs w:val="24"/>
              </w:rPr>
              <w:t>2</w:t>
            </w:r>
          </w:p>
        </w:tc>
        <w:tc>
          <w:tcPr>
            <w:tcW w:w="4235" w:type="pct"/>
            <w:noWrap/>
          </w:tcPr>
          <w:p w14:paraId="5BD02607"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Thika Level Five Hospital</w:t>
            </w:r>
          </w:p>
        </w:tc>
      </w:tr>
      <w:tr w:rsidR="009F33CD" w14:paraId="5CDCE36E"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20513107" w14:textId="77777777" w:rsidR="009F33CD" w:rsidRDefault="00E40740" w:rsidP="003F51B2">
            <w:pPr>
              <w:spacing w:line="240" w:lineRule="auto"/>
              <w:rPr>
                <w:rFonts w:cs="Times New Roman"/>
                <w:b w:val="0"/>
                <w:bCs w:val="0"/>
                <w:color w:val="auto"/>
                <w:szCs w:val="24"/>
              </w:rPr>
            </w:pPr>
            <w:r>
              <w:rPr>
                <w:rFonts w:cs="Times New Roman"/>
                <w:color w:val="auto"/>
                <w:szCs w:val="24"/>
              </w:rPr>
              <w:t>3</w:t>
            </w:r>
          </w:p>
        </w:tc>
        <w:tc>
          <w:tcPr>
            <w:tcW w:w="4235" w:type="pct"/>
            <w:noWrap/>
          </w:tcPr>
          <w:p w14:paraId="65D2A3A5"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Machakos Level Five Hospital</w:t>
            </w:r>
          </w:p>
        </w:tc>
      </w:tr>
      <w:tr w:rsidR="009F33CD" w14:paraId="64D48437"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210DE1C8" w14:textId="77777777" w:rsidR="009F33CD" w:rsidRDefault="00E40740" w:rsidP="003F51B2">
            <w:pPr>
              <w:spacing w:line="240" w:lineRule="auto"/>
              <w:rPr>
                <w:rFonts w:cs="Times New Roman"/>
                <w:b w:val="0"/>
                <w:bCs w:val="0"/>
                <w:color w:val="auto"/>
                <w:szCs w:val="24"/>
              </w:rPr>
            </w:pPr>
            <w:r>
              <w:rPr>
                <w:rFonts w:cs="Times New Roman"/>
                <w:color w:val="auto"/>
                <w:szCs w:val="24"/>
              </w:rPr>
              <w:t>4</w:t>
            </w:r>
          </w:p>
        </w:tc>
        <w:tc>
          <w:tcPr>
            <w:tcW w:w="4235" w:type="pct"/>
            <w:noWrap/>
          </w:tcPr>
          <w:p w14:paraId="2C9B81EF"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Embu Level Five Hospital</w:t>
            </w:r>
          </w:p>
        </w:tc>
      </w:tr>
      <w:tr w:rsidR="009F33CD" w14:paraId="09B84899"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47E11C61" w14:textId="77777777" w:rsidR="009F33CD" w:rsidRDefault="00E40740" w:rsidP="003F51B2">
            <w:pPr>
              <w:spacing w:line="240" w:lineRule="auto"/>
              <w:rPr>
                <w:rFonts w:cs="Times New Roman"/>
                <w:b w:val="0"/>
                <w:bCs w:val="0"/>
                <w:color w:val="auto"/>
                <w:szCs w:val="24"/>
              </w:rPr>
            </w:pPr>
            <w:r>
              <w:rPr>
                <w:rFonts w:cs="Times New Roman"/>
                <w:color w:val="auto"/>
                <w:szCs w:val="24"/>
              </w:rPr>
              <w:t>5</w:t>
            </w:r>
          </w:p>
        </w:tc>
        <w:tc>
          <w:tcPr>
            <w:tcW w:w="4235" w:type="pct"/>
            <w:noWrap/>
          </w:tcPr>
          <w:p w14:paraId="220A8C62"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Kakamega Level Five Hospital</w:t>
            </w:r>
          </w:p>
        </w:tc>
      </w:tr>
      <w:tr w:rsidR="009F33CD" w14:paraId="0865E0BF"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7DC5C382" w14:textId="77777777" w:rsidR="009F33CD" w:rsidRDefault="00E40740" w:rsidP="003F51B2">
            <w:pPr>
              <w:spacing w:line="240" w:lineRule="auto"/>
              <w:rPr>
                <w:rFonts w:cs="Times New Roman"/>
                <w:b w:val="0"/>
                <w:bCs w:val="0"/>
                <w:color w:val="auto"/>
                <w:szCs w:val="24"/>
              </w:rPr>
            </w:pPr>
            <w:r>
              <w:rPr>
                <w:rFonts w:cs="Times New Roman"/>
                <w:color w:val="auto"/>
                <w:szCs w:val="24"/>
              </w:rPr>
              <w:t>6</w:t>
            </w:r>
          </w:p>
        </w:tc>
        <w:tc>
          <w:tcPr>
            <w:tcW w:w="4235" w:type="pct"/>
            <w:noWrap/>
          </w:tcPr>
          <w:p w14:paraId="26EA5FB1"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Kisumu Level Five Hospital</w:t>
            </w:r>
          </w:p>
        </w:tc>
      </w:tr>
      <w:tr w:rsidR="009F33CD" w14:paraId="16C0C4D1"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476BB1E3" w14:textId="77777777" w:rsidR="009F33CD" w:rsidRDefault="00E40740" w:rsidP="003F51B2">
            <w:pPr>
              <w:spacing w:line="240" w:lineRule="auto"/>
              <w:rPr>
                <w:rFonts w:cs="Times New Roman"/>
                <w:b w:val="0"/>
                <w:bCs w:val="0"/>
                <w:color w:val="auto"/>
                <w:szCs w:val="24"/>
              </w:rPr>
            </w:pPr>
            <w:r>
              <w:rPr>
                <w:rFonts w:cs="Times New Roman"/>
                <w:color w:val="auto"/>
                <w:szCs w:val="24"/>
              </w:rPr>
              <w:t>7</w:t>
            </w:r>
          </w:p>
        </w:tc>
        <w:tc>
          <w:tcPr>
            <w:tcW w:w="4235" w:type="pct"/>
            <w:noWrap/>
          </w:tcPr>
          <w:p w14:paraId="09943BA4"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Nakuru Level Five Hospital</w:t>
            </w:r>
          </w:p>
        </w:tc>
      </w:tr>
      <w:tr w:rsidR="009F33CD" w14:paraId="156F71F9"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7C4B4F47" w14:textId="77777777" w:rsidR="009F33CD" w:rsidRDefault="00E40740" w:rsidP="003F51B2">
            <w:pPr>
              <w:spacing w:line="240" w:lineRule="auto"/>
              <w:rPr>
                <w:rFonts w:cs="Times New Roman"/>
                <w:b w:val="0"/>
                <w:bCs w:val="0"/>
                <w:color w:val="auto"/>
                <w:szCs w:val="24"/>
              </w:rPr>
            </w:pPr>
            <w:r>
              <w:rPr>
                <w:rFonts w:cs="Times New Roman"/>
                <w:color w:val="auto"/>
                <w:szCs w:val="24"/>
              </w:rPr>
              <w:t>8</w:t>
            </w:r>
          </w:p>
        </w:tc>
        <w:tc>
          <w:tcPr>
            <w:tcW w:w="4235" w:type="pct"/>
            <w:noWrap/>
          </w:tcPr>
          <w:p w14:paraId="702D5053"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 xml:space="preserve">Meru Level Five Hospital </w:t>
            </w:r>
          </w:p>
        </w:tc>
      </w:tr>
      <w:tr w:rsidR="009F33CD" w14:paraId="61AD187C"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6F740DA2" w14:textId="77777777" w:rsidR="009F33CD" w:rsidRDefault="00E40740" w:rsidP="003F51B2">
            <w:pPr>
              <w:spacing w:line="240" w:lineRule="auto"/>
              <w:rPr>
                <w:rFonts w:cs="Times New Roman"/>
                <w:b w:val="0"/>
                <w:bCs w:val="0"/>
                <w:color w:val="auto"/>
                <w:szCs w:val="24"/>
              </w:rPr>
            </w:pPr>
            <w:r>
              <w:rPr>
                <w:rFonts w:cs="Times New Roman"/>
                <w:color w:val="auto"/>
                <w:szCs w:val="24"/>
              </w:rPr>
              <w:t>9</w:t>
            </w:r>
          </w:p>
        </w:tc>
        <w:tc>
          <w:tcPr>
            <w:tcW w:w="4235" w:type="pct"/>
            <w:noWrap/>
          </w:tcPr>
          <w:p w14:paraId="523BF830"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Nyeri Level Five Hospital</w:t>
            </w:r>
          </w:p>
        </w:tc>
      </w:tr>
      <w:tr w:rsidR="009F33CD" w14:paraId="0EB646CB"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48913F16" w14:textId="77777777" w:rsidR="009F33CD" w:rsidRDefault="00E40740" w:rsidP="003F51B2">
            <w:pPr>
              <w:spacing w:line="240" w:lineRule="auto"/>
              <w:rPr>
                <w:rFonts w:cs="Times New Roman"/>
                <w:b w:val="0"/>
                <w:bCs w:val="0"/>
                <w:color w:val="auto"/>
                <w:szCs w:val="24"/>
              </w:rPr>
            </w:pPr>
            <w:r>
              <w:rPr>
                <w:rFonts w:cs="Times New Roman"/>
                <w:color w:val="auto"/>
                <w:szCs w:val="24"/>
              </w:rPr>
              <w:t>10</w:t>
            </w:r>
          </w:p>
        </w:tc>
        <w:tc>
          <w:tcPr>
            <w:tcW w:w="4235" w:type="pct"/>
            <w:noWrap/>
          </w:tcPr>
          <w:p w14:paraId="072E1A5E"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 xml:space="preserve">Mombasa Level Five Hospital </w:t>
            </w:r>
          </w:p>
        </w:tc>
      </w:tr>
      <w:tr w:rsidR="009F33CD" w14:paraId="0E9C13F1"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01C68788" w14:textId="77777777" w:rsidR="009F33CD" w:rsidRDefault="00E40740" w:rsidP="003F51B2">
            <w:pPr>
              <w:spacing w:line="240" w:lineRule="auto"/>
              <w:rPr>
                <w:rFonts w:cs="Times New Roman"/>
                <w:b w:val="0"/>
                <w:bCs w:val="0"/>
                <w:color w:val="auto"/>
                <w:szCs w:val="24"/>
              </w:rPr>
            </w:pPr>
            <w:r>
              <w:rPr>
                <w:rFonts w:cs="Times New Roman"/>
                <w:color w:val="auto"/>
                <w:szCs w:val="24"/>
              </w:rPr>
              <w:t>11</w:t>
            </w:r>
          </w:p>
        </w:tc>
        <w:tc>
          <w:tcPr>
            <w:tcW w:w="4235" w:type="pct"/>
            <w:noWrap/>
          </w:tcPr>
          <w:p w14:paraId="384A1F35"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Garrisa Level Five Hospital</w:t>
            </w:r>
          </w:p>
        </w:tc>
      </w:tr>
      <w:tr w:rsidR="009F33CD" w14:paraId="07B5AE52" w14:textId="77777777" w:rsidTr="003F51B2">
        <w:trPr>
          <w:trHeight w:val="80"/>
        </w:trPr>
        <w:tc>
          <w:tcPr>
            <w:cnfStyle w:val="001000000000" w:firstRow="0" w:lastRow="0" w:firstColumn="1" w:lastColumn="0" w:oddVBand="0" w:evenVBand="0" w:oddHBand="0" w:evenHBand="0" w:firstRowFirstColumn="0" w:firstRowLastColumn="0" w:lastRowFirstColumn="0" w:lastRowLastColumn="0"/>
            <w:tcW w:w="765" w:type="pct"/>
          </w:tcPr>
          <w:p w14:paraId="14B5CD4F" w14:textId="77777777" w:rsidR="009F33CD" w:rsidRDefault="00E40740" w:rsidP="003F51B2">
            <w:pPr>
              <w:spacing w:line="240" w:lineRule="auto"/>
              <w:rPr>
                <w:rFonts w:cs="Times New Roman"/>
                <w:b w:val="0"/>
                <w:bCs w:val="0"/>
                <w:color w:val="auto"/>
                <w:szCs w:val="24"/>
              </w:rPr>
            </w:pPr>
            <w:r>
              <w:rPr>
                <w:rFonts w:cs="Times New Roman"/>
                <w:color w:val="auto"/>
                <w:szCs w:val="24"/>
              </w:rPr>
              <w:t>12</w:t>
            </w:r>
          </w:p>
        </w:tc>
        <w:tc>
          <w:tcPr>
            <w:tcW w:w="4235" w:type="pct"/>
            <w:noWrap/>
          </w:tcPr>
          <w:p w14:paraId="1D92117D" w14:textId="77777777" w:rsidR="009F33CD" w:rsidRDefault="00E40740" w:rsidP="003F51B2">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Pr>
                <w:rFonts w:cs="Times New Roman"/>
                <w:bCs/>
                <w:color w:val="auto"/>
                <w:szCs w:val="24"/>
              </w:rPr>
              <w:t>Mama Lucy Level Five Hospital</w:t>
            </w:r>
          </w:p>
        </w:tc>
      </w:tr>
    </w:tbl>
    <w:p w14:paraId="5FED4552" w14:textId="77777777" w:rsidR="009F33CD" w:rsidRDefault="00E40740">
      <w:pPr>
        <w:pStyle w:val="FootnoteText"/>
        <w:rPr>
          <w:rFonts w:ascii="Times New Roman" w:hAnsi="Times New Roman" w:cs="Times New Roman"/>
          <w:sz w:val="24"/>
          <w:szCs w:val="24"/>
        </w:rPr>
      </w:pPr>
      <w:r>
        <w:rPr>
          <w:rFonts w:ascii="Times New Roman" w:hAnsi="Times New Roman" w:cs="Times New Roman"/>
          <w:sz w:val="24"/>
          <w:szCs w:val="24"/>
        </w:rPr>
        <w:t xml:space="preserve">Source: Ministry of Health, </w:t>
      </w:r>
      <w:r>
        <w:rPr>
          <w:rFonts w:ascii="Times New Roman" w:eastAsiaTheme="minorHAnsi" w:hAnsi="Times New Roman" w:cs="Times New Roman"/>
          <w:sz w:val="24"/>
          <w:szCs w:val="24"/>
        </w:rPr>
        <w:t>2018</w:t>
      </w:r>
    </w:p>
    <w:p w14:paraId="2C894A35" w14:textId="77777777" w:rsidR="009F33CD" w:rsidRDefault="00E40740">
      <w:pPr>
        <w:rPr>
          <w:rFonts w:cs="Times New Roman"/>
          <w:b/>
          <w:szCs w:val="24"/>
        </w:rPr>
      </w:pPr>
      <w:r>
        <w:rPr>
          <w:rFonts w:cs="Times New Roman"/>
          <w:b/>
          <w:szCs w:val="24"/>
        </w:rPr>
        <w:br w:type="page"/>
      </w:r>
    </w:p>
    <w:p w14:paraId="29F0B0EA" w14:textId="77777777" w:rsidR="009F33CD" w:rsidRDefault="00E40740">
      <w:pPr>
        <w:pStyle w:val="Heading7"/>
      </w:pPr>
      <w:bookmarkStart w:id="1887" w:name="_Toc147950321"/>
      <w:bookmarkStart w:id="1888" w:name="_Toc185614205"/>
      <w:bookmarkStart w:id="1889" w:name="_Toc147946982"/>
      <w:bookmarkStart w:id="1890" w:name="_Toc188071390"/>
      <w:bookmarkStart w:id="1891" w:name="_Toc165626480"/>
      <w:bookmarkStart w:id="1892" w:name="_Toc187080977"/>
      <w:bookmarkStart w:id="1893" w:name="_Toc178945158"/>
      <w:r>
        <w:lastRenderedPageBreak/>
        <w:t>Appendix VII: List of Departments and Sections</w:t>
      </w:r>
      <w:bookmarkEnd w:id="1887"/>
      <w:bookmarkEnd w:id="1888"/>
      <w:bookmarkEnd w:id="1889"/>
      <w:bookmarkEnd w:id="1890"/>
      <w:bookmarkEnd w:id="1891"/>
      <w:bookmarkEnd w:id="1892"/>
      <w:bookmarkEnd w:id="1893"/>
      <w:r>
        <w:t xml:space="preserve"> </w:t>
      </w:r>
    </w:p>
    <w:p w14:paraId="11BFDCCC" w14:textId="77777777" w:rsidR="009F33CD" w:rsidRDefault="00E40740">
      <w:pPr>
        <w:rPr>
          <w:rFonts w:cs="Times New Roman"/>
          <w:bCs/>
          <w:szCs w:val="24"/>
        </w:rPr>
      </w:pPr>
      <w:r>
        <w:rPr>
          <w:rFonts w:cs="Times New Roman"/>
          <w:bCs/>
          <w:szCs w:val="24"/>
        </w:rPr>
        <w:t xml:space="preserve">The information you provide as the Head of your department/ Section/Unit will be for academic research and not for commercial purposes. It will also be handled as confidential. The research title is the effect of </w:t>
      </w:r>
      <w:r>
        <w:rPr>
          <w:rFonts w:cs="Times New Roman"/>
          <w:b/>
          <w:bCs/>
          <w:szCs w:val="24"/>
        </w:rPr>
        <w:t>green</w:t>
      </w:r>
      <w:r>
        <w:rPr>
          <w:rFonts w:cs="Times New Roman"/>
          <w:bCs/>
          <w:szCs w:val="24"/>
        </w:rPr>
        <w:t xml:space="preserve"> </w:t>
      </w:r>
      <w:r>
        <w:rPr>
          <w:rFonts w:cs="Times New Roman"/>
          <w:b/>
          <w:bCs/>
          <w:szCs w:val="24"/>
        </w:rPr>
        <w:t xml:space="preserve">human resource management practices on performance of devolved healthcare services in Kenya. </w:t>
      </w:r>
      <w:r>
        <w:rPr>
          <w:rFonts w:cs="Times New Roman"/>
          <w:bCs/>
          <w:szCs w:val="24"/>
        </w:rPr>
        <w:t>The list of participating departments are as follows:</w:t>
      </w:r>
    </w:p>
    <w:tbl>
      <w:tblPr>
        <w:tblStyle w:val="TableGrid"/>
        <w:tblW w:w="0" w:type="auto"/>
        <w:tblLook w:val="04A0" w:firstRow="1" w:lastRow="0" w:firstColumn="1" w:lastColumn="0" w:noHBand="0" w:noVBand="1"/>
      </w:tblPr>
      <w:tblGrid>
        <w:gridCol w:w="916"/>
        <w:gridCol w:w="4340"/>
        <w:gridCol w:w="2954"/>
      </w:tblGrid>
      <w:tr w:rsidR="009F33CD" w14:paraId="1AF92874" w14:textId="77777777">
        <w:trPr>
          <w:trHeight w:val="45"/>
        </w:trPr>
        <w:tc>
          <w:tcPr>
            <w:tcW w:w="1003" w:type="dxa"/>
          </w:tcPr>
          <w:p w14:paraId="08864525" w14:textId="77777777" w:rsidR="009F33CD" w:rsidRDefault="00E40740">
            <w:pPr>
              <w:spacing w:line="240" w:lineRule="auto"/>
              <w:rPr>
                <w:b/>
                <w:sz w:val="22"/>
                <w:szCs w:val="22"/>
              </w:rPr>
            </w:pPr>
            <w:r>
              <w:rPr>
                <w:b/>
                <w:sz w:val="22"/>
                <w:szCs w:val="22"/>
              </w:rPr>
              <w:t>S/No.</w:t>
            </w:r>
          </w:p>
        </w:tc>
        <w:tc>
          <w:tcPr>
            <w:tcW w:w="5495" w:type="dxa"/>
          </w:tcPr>
          <w:p w14:paraId="2217576A" w14:textId="77777777" w:rsidR="009F33CD" w:rsidRDefault="00E40740">
            <w:pPr>
              <w:spacing w:line="240" w:lineRule="auto"/>
              <w:rPr>
                <w:b/>
                <w:sz w:val="22"/>
                <w:szCs w:val="22"/>
              </w:rPr>
            </w:pPr>
            <w:r>
              <w:rPr>
                <w:b/>
                <w:sz w:val="22"/>
                <w:szCs w:val="22"/>
              </w:rPr>
              <w:t>Department</w:t>
            </w:r>
          </w:p>
        </w:tc>
        <w:tc>
          <w:tcPr>
            <w:tcW w:w="3655" w:type="dxa"/>
          </w:tcPr>
          <w:p w14:paraId="74812F1C" w14:textId="77777777" w:rsidR="009F33CD" w:rsidRDefault="00E40740">
            <w:pPr>
              <w:spacing w:line="240" w:lineRule="auto"/>
              <w:rPr>
                <w:b/>
                <w:sz w:val="22"/>
                <w:szCs w:val="22"/>
              </w:rPr>
            </w:pPr>
            <w:r>
              <w:rPr>
                <w:b/>
                <w:sz w:val="22"/>
                <w:szCs w:val="22"/>
              </w:rPr>
              <w:t>Respondents per Department</w:t>
            </w:r>
          </w:p>
        </w:tc>
      </w:tr>
      <w:tr w:rsidR="009F33CD" w14:paraId="518725D8" w14:textId="77777777">
        <w:trPr>
          <w:trHeight w:val="45"/>
        </w:trPr>
        <w:tc>
          <w:tcPr>
            <w:tcW w:w="1003" w:type="dxa"/>
          </w:tcPr>
          <w:p w14:paraId="6391B78A" w14:textId="77777777" w:rsidR="009F33CD" w:rsidRDefault="00E40740">
            <w:pPr>
              <w:spacing w:line="240" w:lineRule="auto"/>
              <w:rPr>
                <w:sz w:val="22"/>
                <w:szCs w:val="22"/>
              </w:rPr>
            </w:pPr>
            <w:r>
              <w:rPr>
                <w:sz w:val="22"/>
                <w:szCs w:val="22"/>
              </w:rPr>
              <w:t>1</w:t>
            </w:r>
          </w:p>
        </w:tc>
        <w:tc>
          <w:tcPr>
            <w:tcW w:w="5495" w:type="dxa"/>
          </w:tcPr>
          <w:p w14:paraId="683B1B52" w14:textId="77777777" w:rsidR="009F33CD" w:rsidRDefault="00E40740">
            <w:pPr>
              <w:spacing w:line="240" w:lineRule="auto"/>
              <w:rPr>
                <w:sz w:val="22"/>
                <w:szCs w:val="22"/>
              </w:rPr>
            </w:pPr>
            <w:r>
              <w:rPr>
                <w:sz w:val="22"/>
                <w:szCs w:val="22"/>
              </w:rPr>
              <w:t>Public Health</w:t>
            </w:r>
          </w:p>
        </w:tc>
        <w:tc>
          <w:tcPr>
            <w:tcW w:w="3655" w:type="dxa"/>
          </w:tcPr>
          <w:p w14:paraId="3E941219" w14:textId="77777777" w:rsidR="009F33CD" w:rsidRDefault="009F33CD">
            <w:pPr>
              <w:spacing w:line="240" w:lineRule="auto"/>
              <w:rPr>
                <w:sz w:val="22"/>
                <w:szCs w:val="22"/>
              </w:rPr>
            </w:pPr>
          </w:p>
        </w:tc>
      </w:tr>
      <w:tr w:rsidR="009F33CD" w14:paraId="04B594C4" w14:textId="77777777">
        <w:trPr>
          <w:trHeight w:val="111"/>
        </w:trPr>
        <w:tc>
          <w:tcPr>
            <w:tcW w:w="1003" w:type="dxa"/>
          </w:tcPr>
          <w:p w14:paraId="48C3A45D" w14:textId="77777777" w:rsidR="009F33CD" w:rsidRDefault="00E40740">
            <w:pPr>
              <w:spacing w:line="240" w:lineRule="auto"/>
              <w:rPr>
                <w:sz w:val="22"/>
                <w:szCs w:val="22"/>
              </w:rPr>
            </w:pPr>
            <w:r>
              <w:rPr>
                <w:sz w:val="22"/>
                <w:szCs w:val="22"/>
              </w:rPr>
              <w:t>2</w:t>
            </w:r>
          </w:p>
        </w:tc>
        <w:tc>
          <w:tcPr>
            <w:tcW w:w="5495" w:type="dxa"/>
          </w:tcPr>
          <w:p w14:paraId="148555E9" w14:textId="77777777" w:rsidR="009F33CD" w:rsidRDefault="00E40740">
            <w:pPr>
              <w:spacing w:line="240" w:lineRule="auto"/>
              <w:rPr>
                <w:sz w:val="22"/>
                <w:szCs w:val="22"/>
              </w:rPr>
            </w:pPr>
            <w:r>
              <w:rPr>
                <w:sz w:val="22"/>
                <w:szCs w:val="22"/>
              </w:rPr>
              <w:t>Information Technology</w:t>
            </w:r>
          </w:p>
        </w:tc>
        <w:tc>
          <w:tcPr>
            <w:tcW w:w="3655" w:type="dxa"/>
          </w:tcPr>
          <w:p w14:paraId="5A3D821E" w14:textId="77777777" w:rsidR="009F33CD" w:rsidRDefault="009F33CD">
            <w:pPr>
              <w:spacing w:line="240" w:lineRule="auto"/>
              <w:rPr>
                <w:sz w:val="22"/>
                <w:szCs w:val="22"/>
              </w:rPr>
            </w:pPr>
          </w:p>
        </w:tc>
      </w:tr>
      <w:tr w:rsidR="009F33CD" w14:paraId="27B1DCF7" w14:textId="77777777">
        <w:trPr>
          <w:trHeight w:val="130"/>
        </w:trPr>
        <w:tc>
          <w:tcPr>
            <w:tcW w:w="1003" w:type="dxa"/>
          </w:tcPr>
          <w:p w14:paraId="4518CAD7" w14:textId="77777777" w:rsidR="009F33CD" w:rsidRDefault="00E40740">
            <w:pPr>
              <w:spacing w:line="240" w:lineRule="auto"/>
              <w:rPr>
                <w:sz w:val="22"/>
                <w:szCs w:val="22"/>
              </w:rPr>
            </w:pPr>
            <w:r>
              <w:rPr>
                <w:sz w:val="22"/>
                <w:szCs w:val="22"/>
              </w:rPr>
              <w:t>3</w:t>
            </w:r>
          </w:p>
        </w:tc>
        <w:tc>
          <w:tcPr>
            <w:tcW w:w="5495" w:type="dxa"/>
          </w:tcPr>
          <w:p w14:paraId="632A7750" w14:textId="77777777" w:rsidR="009F33CD" w:rsidRDefault="00E40740">
            <w:pPr>
              <w:spacing w:line="240" w:lineRule="auto"/>
              <w:rPr>
                <w:sz w:val="22"/>
                <w:szCs w:val="22"/>
              </w:rPr>
            </w:pPr>
            <w:r>
              <w:rPr>
                <w:sz w:val="22"/>
                <w:szCs w:val="22"/>
              </w:rPr>
              <w:t>Health Information (Medical Records)</w:t>
            </w:r>
          </w:p>
        </w:tc>
        <w:tc>
          <w:tcPr>
            <w:tcW w:w="3655" w:type="dxa"/>
          </w:tcPr>
          <w:p w14:paraId="6F3036C4" w14:textId="77777777" w:rsidR="009F33CD" w:rsidRDefault="009F33CD">
            <w:pPr>
              <w:spacing w:line="240" w:lineRule="auto"/>
              <w:rPr>
                <w:sz w:val="22"/>
                <w:szCs w:val="22"/>
              </w:rPr>
            </w:pPr>
          </w:p>
        </w:tc>
      </w:tr>
      <w:tr w:rsidR="009F33CD" w14:paraId="172B220E" w14:textId="77777777">
        <w:trPr>
          <w:trHeight w:val="147"/>
        </w:trPr>
        <w:tc>
          <w:tcPr>
            <w:tcW w:w="1003" w:type="dxa"/>
          </w:tcPr>
          <w:p w14:paraId="6D76A899" w14:textId="77777777" w:rsidR="009F33CD" w:rsidRDefault="00E40740">
            <w:pPr>
              <w:spacing w:line="240" w:lineRule="auto"/>
              <w:rPr>
                <w:sz w:val="22"/>
                <w:szCs w:val="22"/>
              </w:rPr>
            </w:pPr>
            <w:r>
              <w:rPr>
                <w:sz w:val="22"/>
                <w:szCs w:val="22"/>
              </w:rPr>
              <w:t>4</w:t>
            </w:r>
          </w:p>
        </w:tc>
        <w:tc>
          <w:tcPr>
            <w:tcW w:w="5495" w:type="dxa"/>
          </w:tcPr>
          <w:p w14:paraId="7C2EF09C" w14:textId="77777777" w:rsidR="009F33CD" w:rsidRDefault="00E40740">
            <w:pPr>
              <w:spacing w:line="240" w:lineRule="auto"/>
              <w:rPr>
                <w:sz w:val="22"/>
                <w:szCs w:val="22"/>
              </w:rPr>
            </w:pPr>
            <w:r>
              <w:rPr>
                <w:sz w:val="22"/>
                <w:szCs w:val="22"/>
              </w:rPr>
              <w:t>Physiotherapy</w:t>
            </w:r>
          </w:p>
        </w:tc>
        <w:tc>
          <w:tcPr>
            <w:tcW w:w="3655" w:type="dxa"/>
          </w:tcPr>
          <w:p w14:paraId="2FD19AC4" w14:textId="77777777" w:rsidR="009F33CD" w:rsidRDefault="009F33CD">
            <w:pPr>
              <w:spacing w:line="240" w:lineRule="auto"/>
              <w:rPr>
                <w:sz w:val="22"/>
                <w:szCs w:val="22"/>
              </w:rPr>
            </w:pPr>
          </w:p>
        </w:tc>
      </w:tr>
      <w:tr w:rsidR="009F33CD" w14:paraId="3C61CB45" w14:textId="77777777">
        <w:trPr>
          <w:trHeight w:val="166"/>
        </w:trPr>
        <w:tc>
          <w:tcPr>
            <w:tcW w:w="1003" w:type="dxa"/>
          </w:tcPr>
          <w:p w14:paraId="6CC6262F" w14:textId="77777777" w:rsidR="009F33CD" w:rsidRDefault="00E40740">
            <w:pPr>
              <w:spacing w:line="240" w:lineRule="auto"/>
              <w:rPr>
                <w:sz w:val="22"/>
                <w:szCs w:val="22"/>
              </w:rPr>
            </w:pPr>
            <w:r>
              <w:rPr>
                <w:sz w:val="22"/>
                <w:szCs w:val="22"/>
              </w:rPr>
              <w:t>5</w:t>
            </w:r>
          </w:p>
        </w:tc>
        <w:tc>
          <w:tcPr>
            <w:tcW w:w="5495" w:type="dxa"/>
          </w:tcPr>
          <w:p w14:paraId="08B3D4A2" w14:textId="77777777" w:rsidR="009F33CD" w:rsidRDefault="00E40740">
            <w:pPr>
              <w:spacing w:line="240" w:lineRule="auto"/>
              <w:rPr>
                <w:sz w:val="22"/>
                <w:szCs w:val="22"/>
              </w:rPr>
            </w:pPr>
            <w:r>
              <w:rPr>
                <w:sz w:val="22"/>
                <w:szCs w:val="22"/>
              </w:rPr>
              <w:t>Orthopaedic</w:t>
            </w:r>
          </w:p>
        </w:tc>
        <w:tc>
          <w:tcPr>
            <w:tcW w:w="3655" w:type="dxa"/>
          </w:tcPr>
          <w:p w14:paraId="75F1128E" w14:textId="77777777" w:rsidR="009F33CD" w:rsidRDefault="009F33CD">
            <w:pPr>
              <w:spacing w:line="240" w:lineRule="auto"/>
              <w:rPr>
                <w:sz w:val="22"/>
                <w:szCs w:val="22"/>
              </w:rPr>
            </w:pPr>
          </w:p>
        </w:tc>
      </w:tr>
      <w:tr w:rsidR="009F33CD" w14:paraId="152FA996" w14:textId="77777777">
        <w:trPr>
          <w:trHeight w:val="45"/>
        </w:trPr>
        <w:tc>
          <w:tcPr>
            <w:tcW w:w="1003" w:type="dxa"/>
          </w:tcPr>
          <w:p w14:paraId="0EBFEF4F" w14:textId="77777777" w:rsidR="009F33CD" w:rsidRDefault="00E40740">
            <w:pPr>
              <w:spacing w:line="240" w:lineRule="auto"/>
              <w:rPr>
                <w:sz w:val="22"/>
                <w:szCs w:val="22"/>
              </w:rPr>
            </w:pPr>
            <w:r>
              <w:rPr>
                <w:sz w:val="22"/>
                <w:szCs w:val="22"/>
              </w:rPr>
              <w:t>6</w:t>
            </w:r>
          </w:p>
        </w:tc>
        <w:tc>
          <w:tcPr>
            <w:tcW w:w="5495" w:type="dxa"/>
          </w:tcPr>
          <w:p w14:paraId="744C69FC" w14:textId="77777777" w:rsidR="009F33CD" w:rsidRDefault="00E40740">
            <w:pPr>
              <w:spacing w:line="240" w:lineRule="auto"/>
              <w:rPr>
                <w:sz w:val="22"/>
                <w:szCs w:val="22"/>
              </w:rPr>
            </w:pPr>
            <w:r>
              <w:rPr>
                <w:sz w:val="22"/>
                <w:szCs w:val="22"/>
              </w:rPr>
              <w:t>Bio-medical Engineering</w:t>
            </w:r>
          </w:p>
        </w:tc>
        <w:tc>
          <w:tcPr>
            <w:tcW w:w="3655" w:type="dxa"/>
          </w:tcPr>
          <w:p w14:paraId="328AE2E8" w14:textId="77777777" w:rsidR="009F33CD" w:rsidRDefault="009F33CD">
            <w:pPr>
              <w:spacing w:line="240" w:lineRule="auto"/>
              <w:rPr>
                <w:sz w:val="22"/>
                <w:szCs w:val="22"/>
              </w:rPr>
            </w:pPr>
          </w:p>
        </w:tc>
      </w:tr>
      <w:tr w:rsidR="009F33CD" w14:paraId="14DAE36D" w14:textId="77777777">
        <w:trPr>
          <w:trHeight w:val="74"/>
        </w:trPr>
        <w:tc>
          <w:tcPr>
            <w:tcW w:w="1003" w:type="dxa"/>
          </w:tcPr>
          <w:p w14:paraId="6089A805" w14:textId="77777777" w:rsidR="009F33CD" w:rsidRDefault="00E40740">
            <w:pPr>
              <w:spacing w:line="240" w:lineRule="auto"/>
              <w:rPr>
                <w:sz w:val="22"/>
                <w:szCs w:val="22"/>
              </w:rPr>
            </w:pPr>
            <w:r>
              <w:rPr>
                <w:sz w:val="22"/>
                <w:szCs w:val="22"/>
              </w:rPr>
              <w:t>7</w:t>
            </w:r>
          </w:p>
        </w:tc>
        <w:tc>
          <w:tcPr>
            <w:tcW w:w="5495" w:type="dxa"/>
          </w:tcPr>
          <w:p w14:paraId="1BFFC16D" w14:textId="77777777" w:rsidR="009F33CD" w:rsidRDefault="00E40740">
            <w:pPr>
              <w:spacing w:line="240" w:lineRule="auto"/>
              <w:rPr>
                <w:sz w:val="22"/>
                <w:szCs w:val="22"/>
              </w:rPr>
            </w:pPr>
            <w:r>
              <w:rPr>
                <w:sz w:val="22"/>
                <w:szCs w:val="22"/>
              </w:rPr>
              <w:t>Laboratory</w:t>
            </w:r>
          </w:p>
        </w:tc>
        <w:tc>
          <w:tcPr>
            <w:tcW w:w="3655" w:type="dxa"/>
          </w:tcPr>
          <w:p w14:paraId="3DAC44DF" w14:textId="77777777" w:rsidR="009F33CD" w:rsidRDefault="009F33CD">
            <w:pPr>
              <w:spacing w:line="240" w:lineRule="auto"/>
              <w:rPr>
                <w:sz w:val="22"/>
                <w:szCs w:val="22"/>
              </w:rPr>
            </w:pPr>
          </w:p>
        </w:tc>
      </w:tr>
      <w:tr w:rsidR="009F33CD" w14:paraId="51C89324" w14:textId="77777777">
        <w:trPr>
          <w:trHeight w:val="45"/>
        </w:trPr>
        <w:tc>
          <w:tcPr>
            <w:tcW w:w="1003" w:type="dxa"/>
          </w:tcPr>
          <w:p w14:paraId="2C5379DB" w14:textId="77777777" w:rsidR="009F33CD" w:rsidRDefault="00E40740">
            <w:pPr>
              <w:spacing w:line="240" w:lineRule="auto"/>
              <w:rPr>
                <w:sz w:val="22"/>
                <w:szCs w:val="22"/>
              </w:rPr>
            </w:pPr>
            <w:r>
              <w:rPr>
                <w:sz w:val="22"/>
                <w:szCs w:val="22"/>
              </w:rPr>
              <w:t>8</w:t>
            </w:r>
          </w:p>
        </w:tc>
        <w:tc>
          <w:tcPr>
            <w:tcW w:w="5495" w:type="dxa"/>
          </w:tcPr>
          <w:p w14:paraId="19769550" w14:textId="77777777" w:rsidR="009F33CD" w:rsidRDefault="00E40740">
            <w:pPr>
              <w:spacing w:line="240" w:lineRule="auto"/>
              <w:rPr>
                <w:sz w:val="22"/>
                <w:szCs w:val="22"/>
              </w:rPr>
            </w:pPr>
            <w:r>
              <w:rPr>
                <w:sz w:val="22"/>
                <w:szCs w:val="22"/>
              </w:rPr>
              <w:t>Pharmacy</w:t>
            </w:r>
          </w:p>
        </w:tc>
        <w:tc>
          <w:tcPr>
            <w:tcW w:w="3655" w:type="dxa"/>
          </w:tcPr>
          <w:p w14:paraId="754ACDDD" w14:textId="77777777" w:rsidR="009F33CD" w:rsidRDefault="009F33CD">
            <w:pPr>
              <w:spacing w:line="240" w:lineRule="auto"/>
              <w:rPr>
                <w:sz w:val="22"/>
                <w:szCs w:val="22"/>
              </w:rPr>
            </w:pPr>
          </w:p>
        </w:tc>
      </w:tr>
      <w:tr w:rsidR="009F33CD" w14:paraId="0306CB8E" w14:textId="77777777">
        <w:trPr>
          <w:trHeight w:val="110"/>
        </w:trPr>
        <w:tc>
          <w:tcPr>
            <w:tcW w:w="1003" w:type="dxa"/>
          </w:tcPr>
          <w:p w14:paraId="16C1AFA9" w14:textId="77777777" w:rsidR="009F33CD" w:rsidRDefault="00E40740">
            <w:pPr>
              <w:spacing w:line="240" w:lineRule="auto"/>
              <w:rPr>
                <w:sz w:val="22"/>
                <w:szCs w:val="22"/>
              </w:rPr>
            </w:pPr>
            <w:r>
              <w:rPr>
                <w:sz w:val="22"/>
                <w:szCs w:val="22"/>
              </w:rPr>
              <w:t>9</w:t>
            </w:r>
          </w:p>
        </w:tc>
        <w:tc>
          <w:tcPr>
            <w:tcW w:w="5495" w:type="dxa"/>
          </w:tcPr>
          <w:p w14:paraId="1F7CA93C" w14:textId="77777777" w:rsidR="009F33CD" w:rsidRDefault="00E40740">
            <w:pPr>
              <w:spacing w:line="240" w:lineRule="auto"/>
              <w:rPr>
                <w:sz w:val="22"/>
                <w:szCs w:val="22"/>
              </w:rPr>
            </w:pPr>
            <w:r>
              <w:rPr>
                <w:sz w:val="22"/>
                <w:szCs w:val="22"/>
              </w:rPr>
              <w:t>X-Ray (Medical Imaging)</w:t>
            </w:r>
          </w:p>
        </w:tc>
        <w:tc>
          <w:tcPr>
            <w:tcW w:w="3655" w:type="dxa"/>
          </w:tcPr>
          <w:p w14:paraId="0C75172D" w14:textId="77777777" w:rsidR="009F33CD" w:rsidRDefault="009F33CD">
            <w:pPr>
              <w:spacing w:line="240" w:lineRule="auto"/>
              <w:rPr>
                <w:sz w:val="22"/>
                <w:szCs w:val="22"/>
              </w:rPr>
            </w:pPr>
          </w:p>
        </w:tc>
      </w:tr>
      <w:tr w:rsidR="009F33CD" w14:paraId="33EE96FC" w14:textId="77777777">
        <w:trPr>
          <w:trHeight w:val="127"/>
        </w:trPr>
        <w:tc>
          <w:tcPr>
            <w:tcW w:w="1003" w:type="dxa"/>
          </w:tcPr>
          <w:p w14:paraId="36BBAE86" w14:textId="77777777" w:rsidR="009F33CD" w:rsidRDefault="00E40740">
            <w:pPr>
              <w:spacing w:line="240" w:lineRule="auto"/>
              <w:rPr>
                <w:sz w:val="22"/>
                <w:szCs w:val="22"/>
              </w:rPr>
            </w:pPr>
            <w:r>
              <w:rPr>
                <w:sz w:val="22"/>
                <w:szCs w:val="22"/>
              </w:rPr>
              <w:t>10</w:t>
            </w:r>
          </w:p>
        </w:tc>
        <w:tc>
          <w:tcPr>
            <w:tcW w:w="5495" w:type="dxa"/>
          </w:tcPr>
          <w:p w14:paraId="59231D67" w14:textId="77777777" w:rsidR="009F33CD" w:rsidRDefault="00E40740">
            <w:pPr>
              <w:spacing w:line="240" w:lineRule="auto"/>
              <w:rPr>
                <w:sz w:val="22"/>
                <w:szCs w:val="22"/>
              </w:rPr>
            </w:pPr>
            <w:r>
              <w:rPr>
                <w:sz w:val="22"/>
                <w:szCs w:val="22"/>
              </w:rPr>
              <w:t>Dental</w:t>
            </w:r>
          </w:p>
        </w:tc>
        <w:tc>
          <w:tcPr>
            <w:tcW w:w="3655" w:type="dxa"/>
          </w:tcPr>
          <w:p w14:paraId="332BD747" w14:textId="77777777" w:rsidR="009F33CD" w:rsidRDefault="009F33CD">
            <w:pPr>
              <w:spacing w:line="240" w:lineRule="auto"/>
              <w:rPr>
                <w:sz w:val="22"/>
                <w:szCs w:val="22"/>
              </w:rPr>
            </w:pPr>
          </w:p>
        </w:tc>
      </w:tr>
      <w:tr w:rsidR="009F33CD" w14:paraId="08F596D7" w14:textId="77777777">
        <w:trPr>
          <w:trHeight w:val="159"/>
        </w:trPr>
        <w:tc>
          <w:tcPr>
            <w:tcW w:w="1003" w:type="dxa"/>
          </w:tcPr>
          <w:p w14:paraId="6323135E" w14:textId="77777777" w:rsidR="009F33CD" w:rsidRDefault="00E40740">
            <w:pPr>
              <w:spacing w:line="240" w:lineRule="auto"/>
              <w:rPr>
                <w:sz w:val="22"/>
                <w:szCs w:val="22"/>
              </w:rPr>
            </w:pPr>
            <w:r>
              <w:rPr>
                <w:sz w:val="22"/>
                <w:szCs w:val="22"/>
              </w:rPr>
              <w:t>11</w:t>
            </w:r>
          </w:p>
        </w:tc>
        <w:tc>
          <w:tcPr>
            <w:tcW w:w="5495" w:type="dxa"/>
          </w:tcPr>
          <w:p w14:paraId="53AAE479" w14:textId="77777777" w:rsidR="009F33CD" w:rsidRDefault="00E40740">
            <w:pPr>
              <w:spacing w:line="240" w:lineRule="auto"/>
              <w:rPr>
                <w:sz w:val="22"/>
                <w:szCs w:val="22"/>
              </w:rPr>
            </w:pPr>
            <w:r>
              <w:rPr>
                <w:sz w:val="22"/>
                <w:szCs w:val="22"/>
              </w:rPr>
              <w:t>Social Work</w:t>
            </w:r>
          </w:p>
        </w:tc>
        <w:tc>
          <w:tcPr>
            <w:tcW w:w="3655" w:type="dxa"/>
          </w:tcPr>
          <w:p w14:paraId="5E0BE24D" w14:textId="77777777" w:rsidR="009F33CD" w:rsidRDefault="009F33CD">
            <w:pPr>
              <w:spacing w:line="240" w:lineRule="auto"/>
              <w:rPr>
                <w:sz w:val="22"/>
                <w:szCs w:val="22"/>
              </w:rPr>
            </w:pPr>
          </w:p>
        </w:tc>
      </w:tr>
      <w:tr w:rsidR="009F33CD" w14:paraId="7E37B2C0" w14:textId="77777777">
        <w:trPr>
          <w:trHeight w:val="163"/>
        </w:trPr>
        <w:tc>
          <w:tcPr>
            <w:tcW w:w="1003" w:type="dxa"/>
          </w:tcPr>
          <w:p w14:paraId="50A87B0A" w14:textId="77777777" w:rsidR="009F33CD" w:rsidRDefault="00E40740">
            <w:pPr>
              <w:spacing w:line="240" w:lineRule="auto"/>
              <w:rPr>
                <w:sz w:val="22"/>
                <w:szCs w:val="22"/>
              </w:rPr>
            </w:pPr>
            <w:r>
              <w:rPr>
                <w:sz w:val="22"/>
                <w:szCs w:val="22"/>
              </w:rPr>
              <w:t>12</w:t>
            </w:r>
          </w:p>
        </w:tc>
        <w:tc>
          <w:tcPr>
            <w:tcW w:w="5495" w:type="dxa"/>
          </w:tcPr>
          <w:p w14:paraId="6A850CAA" w14:textId="77777777" w:rsidR="009F33CD" w:rsidRDefault="00E40740">
            <w:pPr>
              <w:spacing w:line="240" w:lineRule="auto"/>
              <w:rPr>
                <w:sz w:val="22"/>
                <w:szCs w:val="22"/>
              </w:rPr>
            </w:pPr>
            <w:r>
              <w:rPr>
                <w:sz w:val="22"/>
                <w:szCs w:val="22"/>
              </w:rPr>
              <w:t>Occupational Therapy</w:t>
            </w:r>
          </w:p>
        </w:tc>
        <w:tc>
          <w:tcPr>
            <w:tcW w:w="3655" w:type="dxa"/>
          </w:tcPr>
          <w:p w14:paraId="0D43D464" w14:textId="77777777" w:rsidR="009F33CD" w:rsidRDefault="009F33CD">
            <w:pPr>
              <w:spacing w:line="240" w:lineRule="auto"/>
              <w:rPr>
                <w:sz w:val="22"/>
                <w:szCs w:val="22"/>
              </w:rPr>
            </w:pPr>
          </w:p>
        </w:tc>
      </w:tr>
      <w:tr w:rsidR="009F33CD" w14:paraId="691A34B6" w14:textId="77777777">
        <w:trPr>
          <w:trHeight w:val="195"/>
        </w:trPr>
        <w:tc>
          <w:tcPr>
            <w:tcW w:w="1003" w:type="dxa"/>
          </w:tcPr>
          <w:p w14:paraId="39D17952" w14:textId="77777777" w:rsidR="009F33CD" w:rsidRDefault="00E40740">
            <w:pPr>
              <w:spacing w:line="240" w:lineRule="auto"/>
              <w:rPr>
                <w:sz w:val="22"/>
                <w:szCs w:val="22"/>
              </w:rPr>
            </w:pPr>
            <w:r>
              <w:rPr>
                <w:sz w:val="22"/>
                <w:szCs w:val="22"/>
              </w:rPr>
              <w:t>13</w:t>
            </w:r>
          </w:p>
        </w:tc>
        <w:tc>
          <w:tcPr>
            <w:tcW w:w="5495" w:type="dxa"/>
          </w:tcPr>
          <w:p w14:paraId="34280526" w14:textId="77777777" w:rsidR="009F33CD" w:rsidRDefault="00E40740">
            <w:pPr>
              <w:spacing w:line="240" w:lineRule="auto"/>
              <w:rPr>
                <w:sz w:val="22"/>
                <w:szCs w:val="22"/>
              </w:rPr>
            </w:pPr>
            <w:r>
              <w:rPr>
                <w:sz w:val="22"/>
                <w:szCs w:val="22"/>
              </w:rPr>
              <w:t xml:space="preserve">Nursing </w:t>
            </w:r>
          </w:p>
        </w:tc>
        <w:tc>
          <w:tcPr>
            <w:tcW w:w="3655" w:type="dxa"/>
          </w:tcPr>
          <w:p w14:paraId="7E5A4BC8" w14:textId="77777777" w:rsidR="009F33CD" w:rsidRDefault="009F33CD">
            <w:pPr>
              <w:spacing w:line="240" w:lineRule="auto"/>
              <w:rPr>
                <w:sz w:val="22"/>
                <w:szCs w:val="22"/>
              </w:rPr>
            </w:pPr>
          </w:p>
        </w:tc>
      </w:tr>
      <w:tr w:rsidR="009F33CD" w14:paraId="719E6802" w14:textId="77777777">
        <w:trPr>
          <w:trHeight w:val="72"/>
        </w:trPr>
        <w:tc>
          <w:tcPr>
            <w:tcW w:w="1003" w:type="dxa"/>
          </w:tcPr>
          <w:p w14:paraId="2D650A1A" w14:textId="77777777" w:rsidR="009F33CD" w:rsidRDefault="00E40740">
            <w:pPr>
              <w:spacing w:line="240" w:lineRule="auto"/>
              <w:rPr>
                <w:sz w:val="22"/>
                <w:szCs w:val="22"/>
              </w:rPr>
            </w:pPr>
            <w:r>
              <w:rPr>
                <w:sz w:val="22"/>
                <w:szCs w:val="22"/>
              </w:rPr>
              <w:t>14</w:t>
            </w:r>
          </w:p>
        </w:tc>
        <w:tc>
          <w:tcPr>
            <w:tcW w:w="5495" w:type="dxa"/>
          </w:tcPr>
          <w:p w14:paraId="18415513" w14:textId="77777777" w:rsidR="009F33CD" w:rsidRDefault="00E40740">
            <w:pPr>
              <w:spacing w:line="240" w:lineRule="auto"/>
              <w:rPr>
                <w:sz w:val="22"/>
                <w:szCs w:val="22"/>
              </w:rPr>
            </w:pPr>
            <w:r>
              <w:rPr>
                <w:sz w:val="22"/>
                <w:szCs w:val="22"/>
              </w:rPr>
              <w:t>Infection Control</w:t>
            </w:r>
          </w:p>
        </w:tc>
        <w:tc>
          <w:tcPr>
            <w:tcW w:w="3655" w:type="dxa"/>
          </w:tcPr>
          <w:p w14:paraId="1D697446" w14:textId="77777777" w:rsidR="009F33CD" w:rsidRDefault="009F33CD">
            <w:pPr>
              <w:spacing w:line="240" w:lineRule="auto"/>
              <w:rPr>
                <w:sz w:val="22"/>
                <w:szCs w:val="22"/>
              </w:rPr>
            </w:pPr>
          </w:p>
        </w:tc>
      </w:tr>
      <w:tr w:rsidR="009F33CD" w14:paraId="703DE916" w14:textId="77777777">
        <w:trPr>
          <w:trHeight w:val="89"/>
        </w:trPr>
        <w:tc>
          <w:tcPr>
            <w:tcW w:w="1003" w:type="dxa"/>
          </w:tcPr>
          <w:p w14:paraId="650918F9" w14:textId="77777777" w:rsidR="009F33CD" w:rsidRDefault="00E40740">
            <w:pPr>
              <w:spacing w:line="240" w:lineRule="auto"/>
              <w:rPr>
                <w:sz w:val="22"/>
                <w:szCs w:val="22"/>
              </w:rPr>
            </w:pPr>
            <w:r>
              <w:rPr>
                <w:sz w:val="22"/>
                <w:szCs w:val="22"/>
              </w:rPr>
              <w:t>15</w:t>
            </w:r>
          </w:p>
        </w:tc>
        <w:tc>
          <w:tcPr>
            <w:tcW w:w="5495" w:type="dxa"/>
          </w:tcPr>
          <w:p w14:paraId="290FF93A" w14:textId="77777777" w:rsidR="009F33CD" w:rsidRDefault="00E40740">
            <w:pPr>
              <w:spacing w:line="240" w:lineRule="auto"/>
              <w:rPr>
                <w:sz w:val="22"/>
                <w:szCs w:val="22"/>
              </w:rPr>
            </w:pPr>
            <w:r>
              <w:rPr>
                <w:sz w:val="22"/>
                <w:szCs w:val="22"/>
              </w:rPr>
              <w:t>Finance/Accounts</w:t>
            </w:r>
          </w:p>
        </w:tc>
        <w:tc>
          <w:tcPr>
            <w:tcW w:w="3655" w:type="dxa"/>
          </w:tcPr>
          <w:p w14:paraId="64D8E7B5" w14:textId="77777777" w:rsidR="009F33CD" w:rsidRDefault="009F33CD">
            <w:pPr>
              <w:spacing w:line="240" w:lineRule="auto"/>
              <w:rPr>
                <w:sz w:val="22"/>
                <w:szCs w:val="22"/>
              </w:rPr>
            </w:pPr>
          </w:p>
        </w:tc>
      </w:tr>
      <w:tr w:rsidR="009F33CD" w14:paraId="331464B7" w14:textId="77777777">
        <w:trPr>
          <w:trHeight w:val="45"/>
        </w:trPr>
        <w:tc>
          <w:tcPr>
            <w:tcW w:w="1003" w:type="dxa"/>
          </w:tcPr>
          <w:p w14:paraId="1223E522" w14:textId="77777777" w:rsidR="009F33CD" w:rsidRDefault="00E40740">
            <w:pPr>
              <w:spacing w:line="240" w:lineRule="auto"/>
              <w:rPr>
                <w:sz w:val="22"/>
                <w:szCs w:val="22"/>
              </w:rPr>
            </w:pPr>
            <w:r>
              <w:rPr>
                <w:sz w:val="22"/>
                <w:szCs w:val="22"/>
              </w:rPr>
              <w:t>16</w:t>
            </w:r>
          </w:p>
        </w:tc>
        <w:tc>
          <w:tcPr>
            <w:tcW w:w="5495" w:type="dxa"/>
          </w:tcPr>
          <w:p w14:paraId="061A11D0" w14:textId="77777777" w:rsidR="009F33CD" w:rsidRDefault="00E40740">
            <w:pPr>
              <w:spacing w:line="240" w:lineRule="auto"/>
              <w:rPr>
                <w:sz w:val="22"/>
                <w:szCs w:val="22"/>
              </w:rPr>
            </w:pPr>
            <w:r>
              <w:rPr>
                <w:sz w:val="22"/>
                <w:szCs w:val="22"/>
              </w:rPr>
              <w:t>Procurement</w:t>
            </w:r>
          </w:p>
        </w:tc>
        <w:tc>
          <w:tcPr>
            <w:tcW w:w="3655" w:type="dxa"/>
          </w:tcPr>
          <w:p w14:paraId="3129FE7A" w14:textId="77777777" w:rsidR="009F33CD" w:rsidRDefault="009F33CD">
            <w:pPr>
              <w:spacing w:line="240" w:lineRule="auto"/>
              <w:rPr>
                <w:sz w:val="22"/>
                <w:szCs w:val="22"/>
              </w:rPr>
            </w:pPr>
          </w:p>
        </w:tc>
      </w:tr>
      <w:tr w:rsidR="009F33CD" w14:paraId="4A9F2432" w14:textId="77777777">
        <w:trPr>
          <w:trHeight w:val="139"/>
        </w:trPr>
        <w:tc>
          <w:tcPr>
            <w:tcW w:w="1003" w:type="dxa"/>
          </w:tcPr>
          <w:p w14:paraId="30688484" w14:textId="77777777" w:rsidR="009F33CD" w:rsidRDefault="00E40740">
            <w:pPr>
              <w:spacing w:line="240" w:lineRule="auto"/>
              <w:rPr>
                <w:sz w:val="22"/>
                <w:szCs w:val="22"/>
              </w:rPr>
            </w:pPr>
            <w:r>
              <w:rPr>
                <w:sz w:val="22"/>
                <w:szCs w:val="22"/>
              </w:rPr>
              <w:t>17</w:t>
            </w:r>
          </w:p>
        </w:tc>
        <w:tc>
          <w:tcPr>
            <w:tcW w:w="5495" w:type="dxa"/>
          </w:tcPr>
          <w:p w14:paraId="34B09319" w14:textId="77777777" w:rsidR="009F33CD" w:rsidRDefault="00E40740">
            <w:pPr>
              <w:spacing w:line="240" w:lineRule="auto"/>
              <w:rPr>
                <w:sz w:val="22"/>
                <w:szCs w:val="22"/>
              </w:rPr>
            </w:pPr>
            <w:r>
              <w:rPr>
                <w:sz w:val="22"/>
                <w:szCs w:val="22"/>
              </w:rPr>
              <w:t>NHIF</w:t>
            </w:r>
          </w:p>
        </w:tc>
        <w:tc>
          <w:tcPr>
            <w:tcW w:w="3655" w:type="dxa"/>
          </w:tcPr>
          <w:p w14:paraId="7507E312" w14:textId="77777777" w:rsidR="009F33CD" w:rsidRDefault="009F33CD">
            <w:pPr>
              <w:spacing w:line="240" w:lineRule="auto"/>
              <w:rPr>
                <w:sz w:val="22"/>
                <w:szCs w:val="22"/>
              </w:rPr>
            </w:pPr>
          </w:p>
        </w:tc>
      </w:tr>
      <w:tr w:rsidR="009F33CD" w14:paraId="159EE3B7" w14:textId="77777777">
        <w:trPr>
          <w:trHeight w:val="158"/>
        </w:trPr>
        <w:tc>
          <w:tcPr>
            <w:tcW w:w="1003" w:type="dxa"/>
          </w:tcPr>
          <w:p w14:paraId="563C7957" w14:textId="77777777" w:rsidR="009F33CD" w:rsidRDefault="00E40740">
            <w:pPr>
              <w:spacing w:line="240" w:lineRule="auto"/>
              <w:rPr>
                <w:sz w:val="22"/>
                <w:szCs w:val="22"/>
              </w:rPr>
            </w:pPr>
            <w:r>
              <w:rPr>
                <w:sz w:val="22"/>
                <w:szCs w:val="22"/>
              </w:rPr>
              <w:t>18</w:t>
            </w:r>
          </w:p>
        </w:tc>
        <w:tc>
          <w:tcPr>
            <w:tcW w:w="5495" w:type="dxa"/>
          </w:tcPr>
          <w:p w14:paraId="6907DD03" w14:textId="77777777" w:rsidR="009F33CD" w:rsidRDefault="00E40740">
            <w:pPr>
              <w:spacing w:line="240" w:lineRule="auto"/>
              <w:rPr>
                <w:sz w:val="22"/>
                <w:szCs w:val="22"/>
              </w:rPr>
            </w:pPr>
            <w:r>
              <w:rPr>
                <w:sz w:val="22"/>
                <w:szCs w:val="22"/>
              </w:rPr>
              <w:t>Palliative (Cancer)</w:t>
            </w:r>
          </w:p>
        </w:tc>
        <w:tc>
          <w:tcPr>
            <w:tcW w:w="3655" w:type="dxa"/>
          </w:tcPr>
          <w:p w14:paraId="6DB6B732" w14:textId="77777777" w:rsidR="009F33CD" w:rsidRDefault="009F33CD">
            <w:pPr>
              <w:spacing w:line="240" w:lineRule="auto"/>
              <w:rPr>
                <w:sz w:val="22"/>
                <w:szCs w:val="22"/>
              </w:rPr>
            </w:pPr>
          </w:p>
        </w:tc>
      </w:tr>
      <w:tr w:rsidR="009F33CD" w14:paraId="73383534" w14:textId="77777777">
        <w:trPr>
          <w:trHeight w:val="175"/>
        </w:trPr>
        <w:tc>
          <w:tcPr>
            <w:tcW w:w="1003" w:type="dxa"/>
          </w:tcPr>
          <w:p w14:paraId="0B92A259" w14:textId="77777777" w:rsidR="009F33CD" w:rsidRDefault="00E40740">
            <w:pPr>
              <w:spacing w:line="240" w:lineRule="auto"/>
              <w:rPr>
                <w:sz w:val="22"/>
                <w:szCs w:val="22"/>
              </w:rPr>
            </w:pPr>
            <w:r>
              <w:rPr>
                <w:sz w:val="22"/>
                <w:szCs w:val="22"/>
              </w:rPr>
              <w:t>19</w:t>
            </w:r>
          </w:p>
        </w:tc>
        <w:tc>
          <w:tcPr>
            <w:tcW w:w="5495" w:type="dxa"/>
          </w:tcPr>
          <w:p w14:paraId="136AF305" w14:textId="77777777" w:rsidR="009F33CD" w:rsidRDefault="00E40740">
            <w:pPr>
              <w:spacing w:line="240" w:lineRule="auto"/>
              <w:rPr>
                <w:sz w:val="22"/>
                <w:szCs w:val="22"/>
              </w:rPr>
            </w:pPr>
            <w:r>
              <w:rPr>
                <w:sz w:val="22"/>
                <w:szCs w:val="22"/>
              </w:rPr>
              <w:t>Human Resource Management</w:t>
            </w:r>
          </w:p>
        </w:tc>
        <w:tc>
          <w:tcPr>
            <w:tcW w:w="3655" w:type="dxa"/>
          </w:tcPr>
          <w:p w14:paraId="08F9D39F" w14:textId="77777777" w:rsidR="009F33CD" w:rsidRDefault="009F33CD">
            <w:pPr>
              <w:spacing w:line="240" w:lineRule="auto"/>
              <w:rPr>
                <w:sz w:val="22"/>
                <w:szCs w:val="22"/>
              </w:rPr>
            </w:pPr>
          </w:p>
        </w:tc>
      </w:tr>
      <w:tr w:rsidR="009F33CD" w14:paraId="40A140B5" w14:textId="77777777">
        <w:trPr>
          <w:trHeight w:val="52"/>
        </w:trPr>
        <w:tc>
          <w:tcPr>
            <w:tcW w:w="1003" w:type="dxa"/>
          </w:tcPr>
          <w:p w14:paraId="4E5DFFCE" w14:textId="77777777" w:rsidR="009F33CD" w:rsidRDefault="00E40740">
            <w:pPr>
              <w:spacing w:line="240" w:lineRule="auto"/>
              <w:rPr>
                <w:sz w:val="22"/>
                <w:szCs w:val="22"/>
              </w:rPr>
            </w:pPr>
            <w:r>
              <w:rPr>
                <w:sz w:val="22"/>
                <w:szCs w:val="22"/>
              </w:rPr>
              <w:t>20</w:t>
            </w:r>
          </w:p>
        </w:tc>
        <w:tc>
          <w:tcPr>
            <w:tcW w:w="5495" w:type="dxa"/>
          </w:tcPr>
          <w:p w14:paraId="072B5BAE" w14:textId="77777777" w:rsidR="009F33CD" w:rsidRDefault="00E40740">
            <w:pPr>
              <w:spacing w:line="240" w:lineRule="auto"/>
              <w:rPr>
                <w:sz w:val="22"/>
                <w:szCs w:val="22"/>
              </w:rPr>
            </w:pPr>
            <w:r>
              <w:rPr>
                <w:sz w:val="22"/>
                <w:szCs w:val="22"/>
              </w:rPr>
              <w:t xml:space="preserve">Clinical </w:t>
            </w:r>
          </w:p>
        </w:tc>
        <w:tc>
          <w:tcPr>
            <w:tcW w:w="3655" w:type="dxa"/>
          </w:tcPr>
          <w:p w14:paraId="2568CD85" w14:textId="77777777" w:rsidR="009F33CD" w:rsidRDefault="009F33CD">
            <w:pPr>
              <w:spacing w:line="240" w:lineRule="auto"/>
              <w:rPr>
                <w:sz w:val="22"/>
                <w:szCs w:val="22"/>
              </w:rPr>
            </w:pPr>
          </w:p>
        </w:tc>
      </w:tr>
      <w:tr w:rsidR="009F33CD" w14:paraId="166C8C4B" w14:textId="77777777">
        <w:trPr>
          <w:trHeight w:val="211"/>
        </w:trPr>
        <w:tc>
          <w:tcPr>
            <w:tcW w:w="1003" w:type="dxa"/>
          </w:tcPr>
          <w:p w14:paraId="053C2DFC" w14:textId="77777777" w:rsidR="009F33CD" w:rsidRDefault="00E40740">
            <w:pPr>
              <w:spacing w:line="240" w:lineRule="auto"/>
              <w:rPr>
                <w:sz w:val="22"/>
                <w:szCs w:val="22"/>
              </w:rPr>
            </w:pPr>
            <w:r>
              <w:rPr>
                <w:sz w:val="22"/>
                <w:szCs w:val="22"/>
              </w:rPr>
              <w:t>21</w:t>
            </w:r>
          </w:p>
        </w:tc>
        <w:tc>
          <w:tcPr>
            <w:tcW w:w="5495" w:type="dxa"/>
          </w:tcPr>
          <w:p w14:paraId="70BCC1EF" w14:textId="77777777" w:rsidR="009F33CD" w:rsidRDefault="00E40740">
            <w:pPr>
              <w:spacing w:line="240" w:lineRule="auto"/>
              <w:rPr>
                <w:sz w:val="22"/>
                <w:szCs w:val="22"/>
              </w:rPr>
            </w:pPr>
            <w:r>
              <w:rPr>
                <w:sz w:val="22"/>
                <w:szCs w:val="22"/>
              </w:rPr>
              <w:t xml:space="preserve">Laundry </w:t>
            </w:r>
          </w:p>
        </w:tc>
        <w:tc>
          <w:tcPr>
            <w:tcW w:w="3655" w:type="dxa"/>
          </w:tcPr>
          <w:p w14:paraId="1468E02B" w14:textId="77777777" w:rsidR="009F33CD" w:rsidRDefault="009F33CD">
            <w:pPr>
              <w:spacing w:line="240" w:lineRule="auto"/>
              <w:rPr>
                <w:sz w:val="22"/>
                <w:szCs w:val="22"/>
              </w:rPr>
            </w:pPr>
          </w:p>
        </w:tc>
      </w:tr>
      <w:tr w:rsidR="009F33CD" w14:paraId="1C6ACA89" w14:textId="77777777">
        <w:trPr>
          <w:trHeight w:val="88"/>
        </w:trPr>
        <w:tc>
          <w:tcPr>
            <w:tcW w:w="1003" w:type="dxa"/>
          </w:tcPr>
          <w:p w14:paraId="5D4ED556" w14:textId="77777777" w:rsidR="009F33CD" w:rsidRDefault="00E40740">
            <w:pPr>
              <w:spacing w:line="240" w:lineRule="auto"/>
              <w:rPr>
                <w:sz w:val="22"/>
                <w:szCs w:val="22"/>
              </w:rPr>
            </w:pPr>
            <w:r>
              <w:rPr>
                <w:sz w:val="22"/>
                <w:szCs w:val="22"/>
              </w:rPr>
              <w:t>22</w:t>
            </w:r>
          </w:p>
        </w:tc>
        <w:tc>
          <w:tcPr>
            <w:tcW w:w="5495" w:type="dxa"/>
          </w:tcPr>
          <w:p w14:paraId="345B3802" w14:textId="77777777" w:rsidR="009F33CD" w:rsidRDefault="00E40740">
            <w:pPr>
              <w:spacing w:line="240" w:lineRule="auto"/>
              <w:rPr>
                <w:sz w:val="22"/>
                <w:szCs w:val="22"/>
              </w:rPr>
            </w:pPr>
            <w:r>
              <w:rPr>
                <w:sz w:val="22"/>
                <w:szCs w:val="22"/>
              </w:rPr>
              <w:t>Nutrition</w:t>
            </w:r>
          </w:p>
        </w:tc>
        <w:tc>
          <w:tcPr>
            <w:tcW w:w="3655" w:type="dxa"/>
          </w:tcPr>
          <w:p w14:paraId="2A80708E" w14:textId="77777777" w:rsidR="009F33CD" w:rsidRDefault="009F33CD">
            <w:pPr>
              <w:spacing w:line="240" w:lineRule="auto"/>
              <w:rPr>
                <w:sz w:val="22"/>
                <w:szCs w:val="22"/>
              </w:rPr>
            </w:pPr>
          </w:p>
        </w:tc>
      </w:tr>
      <w:tr w:rsidR="009F33CD" w14:paraId="081EBDBE" w14:textId="77777777">
        <w:trPr>
          <w:trHeight w:val="45"/>
        </w:trPr>
        <w:tc>
          <w:tcPr>
            <w:tcW w:w="1003" w:type="dxa"/>
          </w:tcPr>
          <w:p w14:paraId="47E8A02B" w14:textId="77777777" w:rsidR="009F33CD" w:rsidRDefault="00E40740">
            <w:pPr>
              <w:spacing w:line="240" w:lineRule="auto"/>
              <w:rPr>
                <w:sz w:val="22"/>
                <w:szCs w:val="22"/>
              </w:rPr>
            </w:pPr>
            <w:r>
              <w:rPr>
                <w:sz w:val="22"/>
                <w:szCs w:val="22"/>
              </w:rPr>
              <w:t>23</w:t>
            </w:r>
          </w:p>
        </w:tc>
        <w:tc>
          <w:tcPr>
            <w:tcW w:w="5495" w:type="dxa"/>
          </w:tcPr>
          <w:p w14:paraId="42556684" w14:textId="77777777" w:rsidR="009F33CD" w:rsidRDefault="00E40740">
            <w:pPr>
              <w:spacing w:line="240" w:lineRule="auto"/>
              <w:rPr>
                <w:sz w:val="22"/>
                <w:szCs w:val="22"/>
              </w:rPr>
            </w:pPr>
            <w:r>
              <w:rPr>
                <w:sz w:val="22"/>
                <w:szCs w:val="22"/>
              </w:rPr>
              <w:t>Catering</w:t>
            </w:r>
          </w:p>
        </w:tc>
        <w:tc>
          <w:tcPr>
            <w:tcW w:w="3655" w:type="dxa"/>
          </w:tcPr>
          <w:p w14:paraId="614AA813" w14:textId="77777777" w:rsidR="009F33CD" w:rsidRDefault="009F33CD">
            <w:pPr>
              <w:spacing w:line="240" w:lineRule="auto"/>
              <w:rPr>
                <w:sz w:val="22"/>
                <w:szCs w:val="22"/>
              </w:rPr>
            </w:pPr>
          </w:p>
        </w:tc>
      </w:tr>
      <w:tr w:rsidR="009F33CD" w14:paraId="2E6EDC94" w14:textId="77777777">
        <w:trPr>
          <w:trHeight w:val="45"/>
        </w:trPr>
        <w:tc>
          <w:tcPr>
            <w:tcW w:w="1003" w:type="dxa"/>
          </w:tcPr>
          <w:p w14:paraId="1E61D786" w14:textId="77777777" w:rsidR="009F33CD" w:rsidRDefault="009F33CD">
            <w:pPr>
              <w:spacing w:line="240" w:lineRule="auto"/>
              <w:rPr>
                <w:sz w:val="22"/>
                <w:szCs w:val="22"/>
              </w:rPr>
            </w:pPr>
          </w:p>
        </w:tc>
        <w:tc>
          <w:tcPr>
            <w:tcW w:w="5495" w:type="dxa"/>
          </w:tcPr>
          <w:p w14:paraId="2A95FDAF" w14:textId="77777777" w:rsidR="009F33CD" w:rsidRDefault="00E40740">
            <w:pPr>
              <w:spacing w:line="240" w:lineRule="auto"/>
              <w:rPr>
                <w:b/>
                <w:bCs/>
                <w:sz w:val="22"/>
                <w:szCs w:val="22"/>
              </w:rPr>
            </w:pPr>
            <w:r>
              <w:rPr>
                <w:b/>
                <w:bCs/>
                <w:sz w:val="22"/>
                <w:szCs w:val="22"/>
              </w:rPr>
              <w:t>Total Respondents</w:t>
            </w:r>
          </w:p>
        </w:tc>
        <w:tc>
          <w:tcPr>
            <w:tcW w:w="3655" w:type="dxa"/>
          </w:tcPr>
          <w:p w14:paraId="5731D96C" w14:textId="77777777" w:rsidR="009F33CD" w:rsidRDefault="009F33CD">
            <w:pPr>
              <w:spacing w:line="240" w:lineRule="auto"/>
              <w:rPr>
                <w:sz w:val="22"/>
                <w:szCs w:val="22"/>
              </w:rPr>
            </w:pPr>
          </w:p>
        </w:tc>
      </w:tr>
    </w:tbl>
    <w:p w14:paraId="6E10D329" w14:textId="77777777" w:rsidR="009F33CD" w:rsidRDefault="00E40740">
      <w:pPr>
        <w:autoSpaceDE/>
        <w:autoSpaceDN/>
        <w:adjustRightInd/>
        <w:spacing w:before="0" w:beforeAutospacing="0" w:after="200" w:afterAutospacing="0" w:line="276" w:lineRule="auto"/>
        <w:jc w:val="left"/>
        <w:rPr>
          <w:rFonts w:cs="Times New Roman"/>
          <w:b/>
          <w:bCs/>
          <w:szCs w:val="24"/>
          <w:lang w:eastAsia="af-ZA"/>
        </w:rPr>
      </w:pPr>
      <w:bookmarkStart w:id="1894" w:name="_Toc185614206"/>
      <w:bookmarkStart w:id="1895" w:name="_Toc178945159"/>
      <w:bookmarkStart w:id="1896" w:name="_Toc187080978"/>
      <w:r>
        <w:br w:type="page"/>
      </w:r>
    </w:p>
    <w:p w14:paraId="1681AAFB" w14:textId="77777777" w:rsidR="009F33CD" w:rsidRDefault="00E40740">
      <w:pPr>
        <w:pStyle w:val="Heading7"/>
      </w:pPr>
      <w:bookmarkStart w:id="1897" w:name="_Toc188071391"/>
      <w:r>
        <w:lastRenderedPageBreak/>
        <w:t>Appendix VIII: Letter from University Department to Collect Data</w:t>
      </w:r>
      <w:bookmarkEnd w:id="1894"/>
      <w:bookmarkEnd w:id="1895"/>
      <w:bookmarkEnd w:id="1896"/>
      <w:bookmarkEnd w:id="1897"/>
    </w:p>
    <w:bookmarkStart w:id="1898" w:name="_Toc187080979"/>
    <w:bookmarkStart w:id="1899" w:name="_Toc185614207"/>
    <w:bookmarkStart w:id="1900" w:name="_Toc178945160"/>
    <w:p w14:paraId="078925FF" w14:textId="77777777" w:rsidR="009F33CD" w:rsidRDefault="00E40740">
      <w:pPr>
        <w:autoSpaceDE/>
        <w:autoSpaceDN/>
        <w:adjustRightInd/>
        <w:spacing w:before="0" w:beforeAutospacing="0" w:after="200" w:afterAutospacing="0" w:line="276" w:lineRule="auto"/>
        <w:jc w:val="left"/>
        <w:rPr>
          <w:rFonts w:cs="Times New Roman"/>
          <w:b/>
          <w:bCs/>
          <w:szCs w:val="24"/>
          <w:lang w:eastAsia="af-ZA"/>
        </w:rPr>
      </w:pPr>
      <w:r>
        <w:object w:dxaOrig="8073" w:dyaOrig="11028" w14:anchorId="29D41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554.4pt" o:ole="">
            <v:imagedata r:id="rId27" o:title=""/>
          </v:shape>
          <o:OLEObject Type="Embed" ProgID="AcroExch.Document.7" ShapeID="_x0000_i1025" DrawAspect="Content" ObjectID="_1840017615" r:id="rId28"/>
        </w:object>
      </w:r>
      <w:r>
        <w:br w:type="page"/>
      </w:r>
    </w:p>
    <w:p w14:paraId="33834DB4" w14:textId="77777777" w:rsidR="009F33CD" w:rsidRDefault="00E40740">
      <w:pPr>
        <w:pStyle w:val="Heading7"/>
      </w:pPr>
      <w:bookmarkStart w:id="1901" w:name="_Toc188071392"/>
      <w:r>
        <w:lastRenderedPageBreak/>
        <w:t>Appendix IX: Ethics Review Approval Permit</w:t>
      </w:r>
      <w:bookmarkEnd w:id="1898"/>
      <w:bookmarkEnd w:id="1899"/>
      <w:bookmarkEnd w:id="1900"/>
      <w:bookmarkEnd w:id="1901"/>
      <w:r>
        <w:t xml:space="preserve">  </w:t>
      </w:r>
    </w:p>
    <w:p w14:paraId="4F48B05B" w14:textId="77777777" w:rsidR="009F33CD" w:rsidRDefault="009F5B0E">
      <w:pPr>
        <w:autoSpaceDE/>
        <w:autoSpaceDN/>
        <w:adjustRightInd/>
        <w:spacing w:after="200" w:line="276" w:lineRule="auto"/>
        <w:rPr>
          <w:rFonts w:cs="Times New Roman"/>
          <w:b/>
          <w:bCs/>
          <w:szCs w:val="24"/>
          <w:lang w:eastAsia="af-ZA"/>
        </w:rPr>
      </w:pPr>
      <w:r>
        <w:object w:dxaOrig="7785" w:dyaOrig="10916" w14:anchorId="49321763">
          <v:shape id="_x0000_i1026" type="#_x0000_t75" style="width:403.2pt;height:547.2pt" o:ole="">
            <v:imagedata r:id="rId29" o:title=""/>
          </v:shape>
          <o:OLEObject Type="Embed" ProgID="AcroExch.Document.7" ShapeID="_x0000_i1026" DrawAspect="Content" ObjectID="_1840017616" r:id="rId30"/>
        </w:object>
      </w:r>
      <w:r w:rsidR="00E40740">
        <w:br w:type="page"/>
      </w:r>
    </w:p>
    <w:p w14:paraId="32A27537" w14:textId="77777777" w:rsidR="009F33CD" w:rsidRDefault="00E40740">
      <w:pPr>
        <w:pStyle w:val="Heading7"/>
      </w:pPr>
      <w:bookmarkStart w:id="1902" w:name="_Toc185614208"/>
      <w:bookmarkStart w:id="1903" w:name="_Toc187080980"/>
      <w:bookmarkStart w:id="1904" w:name="_Toc188071393"/>
      <w:bookmarkStart w:id="1905" w:name="_Toc178945161"/>
      <w:r>
        <w:lastRenderedPageBreak/>
        <w:t>Appendix X: Research Permit from NACOST</w:t>
      </w:r>
      <w:bookmarkEnd w:id="1902"/>
      <w:bookmarkEnd w:id="1903"/>
      <w:bookmarkEnd w:id="1904"/>
      <w:bookmarkEnd w:id="1905"/>
      <w:r>
        <w:t xml:space="preserve"> </w:t>
      </w:r>
    </w:p>
    <w:p w14:paraId="1D7796E0" w14:textId="77777777" w:rsidR="009F33CD" w:rsidRDefault="003F51B2" w:rsidP="00C551FA">
      <w:r>
        <w:object w:dxaOrig="8138" w:dyaOrig="11594" w14:anchorId="21B81406">
          <v:shape id="_x0000_i1027" type="#_x0000_t75" style="width:410.4pt;height:453.6pt" o:ole="">
            <v:imagedata r:id="rId31" o:title=""/>
          </v:shape>
          <o:OLEObject Type="Embed" ProgID="AcroExch.Document.7" ShapeID="_x0000_i1027" DrawAspect="Content" ObjectID="_1840017617" r:id="rId32"/>
        </w:object>
      </w:r>
    </w:p>
    <w:p w14:paraId="0FE3C554" w14:textId="77777777" w:rsidR="009F33CD" w:rsidRDefault="003F51B2">
      <w:pPr>
        <w:autoSpaceDE/>
        <w:autoSpaceDN/>
        <w:adjustRightInd/>
        <w:spacing w:before="0" w:beforeAutospacing="0" w:after="200" w:afterAutospacing="0" w:line="276" w:lineRule="auto"/>
        <w:jc w:val="left"/>
        <w:rPr>
          <w:rFonts w:cs="Times New Roman"/>
          <w:b/>
          <w:bCs/>
          <w:szCs w:val="24"/>
          <w:lang w:eastAsia="af-ZA"/>
        </w:rPr>
      </w:pPr>
      <w:r>
        <w:object w:dxaOrig="8148" w:dyaOrig="11093" w14:anchorId="2DE4E29A">
          <v:shape id="_x0000_i1028" type="#_x0000_t75" style="width:410.4pt;height:511.2pt" o:ole="">
            <v:imagedata r:id="rId33" o:title=""/>
          </v:shape>
          <o:OLEObject Type="Embed" ProgID="AcroExch.Document.7" ShapeID="_x0000_i1028" DrawAspect="Content" ObjectID="_1840017618" r:id="rId34"/>
        </w:object>
      </w:r>
    </w:p>
    <w:sectPr w:rsidR="009F33CD" w:rsidSect="005C0DD7">
      <w:pgSz w:w="11906" w:h="16838" w:code="9"/>
      <w:pgMar w:top="1985" w:right="1418" w:bottom="1418" w:left="2268"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6FEAA" w14:textId="77777777" w:rsidR="00451AD7" w:rsidRDefault="00451AD7">
      <w:pPr>
        <w:spacing w:line="240" w:lineRule="auto"/>
      </w:pPr>
      <w:r>
        <w:separator/>
      </w:r>
    </w:p>
  </w:endnote>
  <w:endnote w:type="continuationSeparator" w:id="0">
    <w:p w14:paraId="0A10067E" w14:textId="77777777" w:rsidR="00451AD7" w:rsidRDefault="00451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80"/>
    <w:family w:val="auto"/>
    <w:notTrueType/>
    <w:pitch w:val="default"/>
    <w:sig w:usb0="00000003" w:usb1="080F0000" w:usb2="00000010" w:usb3="00000000" w:csb0="00120001"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M Sans">
    <w:altName w:val="Times New Roman"/>
    <w:charset w:val="00"/>
    <w:family w:val="auto"/>
    <w:pitch w:val="variable"/>
    <w:sig w:usb0="8000002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vOT8cb2ddbd+20">
    <w:altName w:val="Yu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A6443" w14:textId="77777777" w:rsidR="0051366D" w:rsidRDefault="00513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ii</w:t>
    </w:r>
    <w:r>
      <w:rPr>
        <w:rStyle w:val="PageNumber"/>
      </w:rPr>
      <w:fldChar w:fldCharType="end"/>
    </w:r>
  </w:p>
  <w:p w14:paraId="7B75625C" w14:textId="77777777" w:rsidR="0051366D" w:rsidRDefault="0051366D">
    <w:pPr>
      <w:pStyle w:val="Footer"/>
      <w:ind w:right="360"/>
      <w:rPr>
        <w:rStyle w:val="PageNumber"/>
      </w:rPr>
    </w:pPr>
  </w:p>
  <w:p w14:paraId="614B65B8" w14:textId="77777777" w:rsidR="0051366D" w:rsidRDefault="005136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95A4E" w14:textId="77777777" w:rsidR="0051366D" w:rsidRDefault="00513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iv</w:t>
    </w:r>
    <w:r>
      <w:rPr>
        <w:rStyle w:val="PageNumber"/>
      </w:rPr>
      <w:fldChar w:fldCharType="end"/>
    </w:r>
  </w:p>
  <w:p w14:paraId="09FA5D4C" w14:textId="77777777" w:rsidR="0051366D" w:rsidRDefault="0051366D">
    <w:pPr>
      <w:pStyle w:val="Footer"/>
      <w:ind w:right="360"/>
      <w:rPr>
        <w:rStyle w:val="PageNumber"/>
      </w:rPr>
    </w:pPr>
  </w:p>
  <w:p w14:paraId="64D9E2DB" w14:textId="77777777" w:rsidR="0051366D" w:rsidRDefault="005136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D0A19" w14:textId="77777777" w:rsidR="0051366D" w:rsidRDefault="0051366D">
    <w:pPr>
      <w:pStyle w:val="Footer"/>
      <w:jc w:val="center"/>
    </w:pPr>
    <w:r>
      <w:fldChar w:fldCharType="begin"/>
    </w:r>
    <w:r>
      <w:instrText xml:space="preserve"> PAGE   \* MERGEFORMAT </w:instrText>
    </w:r>
    <w:r>
      <w:fldChar w:fldCharType="separate"/>
    </w:r>
    <w:r w:rsidR="00080F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22D51" w14:textId="77777777" w:rsidR="00451AD7" w:rsidRDefault="00451AD7">
      <w:pPr>
        <w:spacing w:before="0" w:after="0"/>
      </w:pPr>
      <w:r>
        <w:separator/>
      </w:r>
    </w:p>
  </w:footnote>
  <w:footnote w:type="continuationSeparator" w:id="0">
    <w:p w14:paraId="3AF3BCF1" w14:textId="77777777" w:rsidR="00451AD7" w:rsidRDefault="00451AD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F6881"/>
    <w:multiLevelType w:val="multilevel"/>
    <w:tmpl w:val="089F68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1438C4"/>
    <w:multiLevelType w:val="multilevel"/>
    <w:tmpl w:val="080A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3111E"/>
    <w:multiLevelType w:val="multilevel"/>
    <w:tmpl w:val="12B311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12540B8"/>
    <w:multiLevelType w:val="multilevel"/>
    <w:tmpl w:val="212540B8"/>
    <w:lvl w:ilvl="0">
      <w:start w:val="1"/>
      <w:numFmt w:val="decimal"/>
      <w:lvlText w:val="%1."/>
      <w:lvlJc w:val="left"/>
      <w:pPr>
        <w:ind w:left="720" w:hanging="72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6C63452"/>
    <w:multiLevelType w:val="multilevel"/>
    <w:tmpl w:val="26C634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6D31DB6"/>
    <w:multiLevelType w:val="multilevel"/>
    <w:tmpl w:val="EBDE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39221B"/>
    <w:multiLevelType w:val="multilevel"/>
    <w:tmpl w:val="2939221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9AC71EC"/>
    <w:multiLevelType w:val="hybridMultilevel"/>
    <w:tmpl w:val="6540ABA4"/>
    <w:lvl w:ilvl="0" w:tplc="66CE43FC">
      <w:start w:val="1"/>
      <w:numFmt w:val="bullet"/>
      <w:lvlText w:val="•"/>
      <w:lvlJc w:val="left"/>
      <w:pPr>
        <w:tabs>
          <w:tab w:val="num" w:pos="720"/>
        </w:tabs>
        <w:ind w:left="720" w:hanging="360"/>
      </w:pPr>
      <w:rPr>
        <w:rFonts w:ascii="Arial" w:hAnsi="Arial" w:hint="default"/>
      </w:rPr>
    </w:lvl>
    <w:lvl w:ilvl="1" w:tplc="65D2B9A2" w:tentative="1">
      <w:start w:val="1"/>
      <w:numFmt w:val="bullet"/>
      <w:lvlText w:val="•"/>
      <w:lvlJc w:val="left"/>
      <w:pPr>
        <w:tabs>
          <w:tab w:val="num" w:pos="1440"/>
        </w:tabs>
        <w:ind w:left="1440" w:hanging="360"/>
      </w:pPr>
      <w:rPr>
        <w:rFonts w:ascii="Arial" w:hAnsi="Arial" w:hint="default"/>
      </w:rPr>
    </w:lvl>
    <w:lvl w:ilvl="2" w:tplc="EC4A5BBA" w:tentative="1">
      <w:start w:val="1"/>
      <w:numFmt w:val="bullet"/>
      <w:lvlText w:val="•"/>
      <w:lvlJc w:val="left"/>
      <w:pPr>
        <w:tabs>
          <w:tab w:val="num" w:pos="2160"/>
        </w:tabs>
        <w:ind w:left="2160" w:hanging="360"/>
      </w:pPr>
      <w:rPr>
        <w:rFonts w:ascii="Arial" w:hAnsi="Arial" w:hint="default"/>
      </w:rPr>
    </w:lvl>
    <w:lvl w:ilvl="3" w:tplc="7A8CDC52" w:tentative="1">
      <w:start w:val="1"/>
      <w:numFmt w:val="bullet"/>
      <w:lvlText w:val="•"/>
      <w:lvlJc w:val="left"/>
      <w:pPr>
        <w:tabs>
          <w:tab w:val="num" w:pos="2880"/>
        </w:tabs>
        <w:ind w:left="2880" w:hanging="360"/>
      </w:pPr>
      <w:rPr>
        <w:rFonts w:ascii="Arial" w:hAnsi="Arial" w:hint="default"/>
      </w:rPr>
    </w:lvl>
    <w:lvl w:ilvl="4" w:tplc="DC0C770A" w:tentative="1">
      <w:start w:val="1"/>
      <w:numFmt w:val="bullet"/>
      <w:lvlText w:val="•"/>
      <w:lvlJc w:val="left"/>
      <w:pPr>
        <w:tabs>
          <w:tab w:val="num" w:pos="3600"/>
        </w:tabs>
        <w:ind w:left="3600" w:hanging="360"/>
      </w:pPr>
      <w:rPr>
        <w:rFonts w:ascii="Arial" w:hAnsi="Arial" w:hint="default"/>
      </w:rPr>
    </w:lvl>
    <w:lvl w:ilvl="5" w:tplc="35EE4494" w:tentative="1">
      <w:start w:val="1"/>
      <w:numFmt w:val="bullet"/>
      <w:lvlText w:val="•"/>
      <w:lvlJc w:val="left"/>
      <w:pPr>
        <w:tabs>
          <w:tab w:val="num" w:pos="4320"/>
        </w:tabs>
        <w:ind w:left="4320" w:hanging="360"/>
      </w:pPr>
      <w:rPr>
        <w:rFonts w:ascii="Arial" w:hAnsi="Arial" w:hint="default"/>
      </w:rPr>
    </w:lvl>
    <w:lvl w:ilvl="6" w:tplc="39361BC8" w:tentative="1">
      <w:start w:val="1"/>
      <w:numFmt w:val="bullet"/>
      <w:lvlText w:val="•"/>
      <w:lvlJc w:val="left"/>
      <w:pPr>
        <w:tabs>
          <w:tab w:val="num" w:pos="5040"/>
        </w:tabs>
        <w:ind w:left="5040" w:hanging="360"/>
      </w:pPr>
      <w:rPr>
        <w:rFonts w:ascii="Arial" w:hAnsi="Arial" w:hint="default"/>
      </w:rPr>
    </w:lvl>
    <w:lvl w:ilvl="7" w:tplc="4A8C6102" w:tentative="1">
      <w:start w:val="1"/>
      <w:numFmt w:val="bullet"/>
      <w:lvlText w:val="•"/>
      <w:lvlJc w:val="left"/>
      <w:pPr>
        <w:tabs>
          <w:tab w:val="num" w:pos="5760"/>
        </w:tabs>
        <w:ind w:left="5760" w:hanging="360"/>
      </w:pPr>
      <w:rPr>
        <w:rFonts w:ascii="Arial" w:hAnsi="Arial" w:hint="default"/>
      </w:rPr>
    </w:lvl>
    <w:lvl w:ilvl="8" w:tplc="237EF944" w:tentative="1">
      <w:start w:val="1"/>
      <w:numFmt w:val="bullet"/>
      <w:lvlText w:val="•"/>
      <w:lvlJc w:val="left"/>
      <w:pPr>
        <w:tabs>
          <w:tab w:val="num" w:pos="6480"/>
        </w:tabs>
        <w:ind w:left="6480" w:hanging="360"/>
      </w:pPr>
      <w:rPr>
        <w:rFonts w:ascii="Arial" w:hAnsi="Arial" w:hint="default"/>
      </w:rPr>
    </w:lvl>
  </w:abstractNum>
  <w:abstractNum w:abstractNumId="8">
    <w:nsid w:val="2DF1238F"/>
    <w:multiLevelType w:val="multilevel"/>
    <w:tmpl w:val="2DF123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E233FF0"/>
    <w:multiLevelType w:val="multilevel"/>
    <w:tmpl w:val="2E233FF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A609D0"/>
    <w:multiLevelType w:val="multilevel"/>
    <w:tmpl w:val="30A609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581259B"/>
    <w:multiLevelType w:val="multilevel"/>
    <w:tmpl w:val="AEC43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0C0849"/>
    <w:multiLevelType w:val="multilevel"/>
    <w:tmpl w:val="35B4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295C0B"/>
    <w:multiLevelType w:val="multilevel"/>
    <w:tmpl w:val="49295C0B"/>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E0C5BE8"/>
    <w:multiLevelType w:val="multilevel"/>
    <w:tmpl w:val="4E0C5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5CA2372"/>
    <w:multiLevelType w:val="multilevel"/>
    <w:tmpl w:val="75CA237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4"/>
  </w:num>
  <w:num w:numId="6">
    <w:abstractNumId w:val="8"/>
  </w:num>
  <w:num w:numId="7">
    <w:abstractNumId w:val="10"/>
  </w:num>
  <w:num w:numId="8">
    <w:abstractNumId w:val="13"/>
  </w:num>
  <w:num w:numId="9">
    <w:abstractNumId w:val="15"/>
  </w:num>
  <w:num w:numId="10">
    <w:abstractNumId w:val="6"/>
  </w:num>
  <w:num w:numId="11">
    <w:abstractNumId w:val="9"/>
  </w:num>
  <w:num w:numId="12">
    <w:abstractNumId w:val="12"/>
  </w:num>
  <w:num w:numId="13">
    <w:abstractNumId w:val="1"/>
  </w:num>
  <w:num w:numId="14">
    <w:abstractNumId w:val="11"/>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Q1tzA0MLU0MDY1szBX0lEKTi0uzszPAykwrwUAS98BuywAAAA="/>
  </w:docVars>
  <w:rsids>
    <w:rsidRoot w:val="003C7F2F"/>
    <w:rsid w:val="00000325"/>
    <w:rsid w:val="0000032A"/>
    <w:rsid w:val="000008BF"/>
    <w:rsid w:val="00000DDA"/>
    <w:rsid w:val="00000F46"/>
    <w:rsid w:val="00001079"/>
    <w:rsid w:val="00001479"/>
    <w:rsid w:val="000016EB"/>
    <w:rsid w:val="00001E70"/>
    <w:rsid w:val="00002282"/>
    <w:rsid w:val="00002773"/>
    <w:rsid w:val="0000299C"/>
    <w:rsid w:val="000029E9"/>
    <w:rsid w:val="00002CAE"/>
    <w:rsid w:val="00003085"/>
    <w:rsid w:val="0000436E"/>
    <w:rsid w:val="00004604"/>
    <w:rsid w:val="00004A4F"/>
    <w:rsid w:val="00004F29"/>
    <w:rsid w:val="0000501B"/>
    <w:rsid w:val="00005213"/>
    <w:rsid w:val="000053AB"/>
    <w:rsid w:val="000055E7"/>
    <w:rsid w:val="00005B4F"/>
    <w:rsid w:val="00005C54"/>
    <w:rsid w:val="00005DDF"/>
    <w:rsid w:val="00006026"/>
    <w:rsid w:val="000067B1"/>
    <w:rsid w:val="0000681B"/>
    <w:rsid w:val="00006825"/>
    <w:rsid w:val="00006840"/>
    <w:rsid w:val="00006A39"/>
    <w:rsid w:val="00006A7B"/>
    <w:rsid w:val="00007203"/>
    <w:rsid w:val="0000733F"/>
    <w:rsid w:val="00007731"/>
    <w:rsid w:val="00007878"/>
    <w:rsid w:val="0001007D"/>
    <w:rsid w:val="000108CA"/>
    <w:rsid w:val="00011D43"/>
    <w:rsid w:val="00012174"/>
    <w:rsid w:val="00012428"/>
    <w:rsid w:val="0001267F"/>
    <w:rsid w:val="00013076"/>
    <w:rsid w:val="00013D45"/>
    <w:rsid w:val="00014323"/>
    <w:rsid w:val="000149DF"/>
    <w:rsid w:val="00014ACE"/>
    <w:rsid w:val="00014B2C"/>
    <w:rsid w:val="00015342"/>
    <w:rsid w:val="0001562A"/>
    <w:rsid w:val="00015C13"/>
    <w:rsid w:val="00015C16"/>
    <w:rsid w:val="00016168"/>
    <w:rsid w:val="000162B7"/>
    <w:rsid w:val="0001675C"/>
    <w:rsid w:val="00016FC9"/>
    <w:rsid w:val="00017212"/>
    <w:rsid w:val="00020806"/>
    <w:rsid w:val="00020CA6"/>
    <w:rsid w:val="00020DA2"/>
    <w:rsid w:val="00020F9F"/>
    <w:rsid w:val="00021629"/>
    <w:rsid w:val="0002198B"/>
    <w:rsid w:val="0002232B"/>
    <w:rsid w:val="00022652"/>
    <w:rsid w:val="00022B14"/>
    <w:rsid w:val="00023B92"/>
    <w:rsid w:val="000241AE"/>
    <w:rsid w:val="000241FC"/>
    <w:rsid w:val="00024BD1"/>
    <w:rsid w:val="00024F06"/>
    <w:rsid w:val="000250F5"/>
    <w:rsid w:val="0002556F"/>
    <w:rsid w:val="00025BD7"/>
    <w:rsid w:val="00026063"/>
    <w:rsid w:val="00026608"/>
    <w:rsid w:val="00026C42"/>
    <w:rsid w:val="000275F0"/>
    <w:rsid w:val="00027621"/>
    <w:rsid w:val="00027A0D"/>
    <w:rsid w:val="00027C64"/>
    <w:rsid w:val="00027F9A"/>
    <w:rsid w:val="00030217"/>
    <w:rsid w:val="000304F0"/>
    <w:rsid w:val="000306D9"/>
    <w:rsid w:val="0003165D"/>
    <w:rsid w:val="00031C23"/>
    <w:rsid w:val="00031F1C"/>
    <w:rsid w:val="00031F2C"/>
    <w:rsid w:val="0003224C"/>
    <w:rsid w:val="0003289B"/>
    <w:rsid w:val="00032B83"/>
    <w:rsid w:val="00032D3E"/>
    <w:rsid w:val="00032E5F"/>
    <w:rsid w:val="00033DEF"/>
    <w:rsid w:val="00033E2E"/>
    <w:rsid w:val="000345BB"/>
    <w:rsid w:val="00034605"/>
    <w:rsid w:val="00034718"/>
    <w:rsid w:val="0003479C"/>
    <w:rsid w:val="00034D25"/>
    <w:rsid w:val="00034EF5"/>
    <w:rsid w:val="000350F9"/>
    <w:rsid w:val="00035133"/>
    <w:rsid w:val="00035203"/>
    <w:rsid w:val="00035C1D"/>
    <w:rsid w:val="00035CCB"/>
    <w:rsid w:val="00035E69"/>
    <w:rsid w:val="000363CD"/>
    <w:rsid w:val="00036C22"/>
    <w:rsid w:val="00036C81"/>
    <w:rsid w:val="00036D54"/>
    <w:rsid w:val="00036DCB"/>
    <w:rsid w:val="000377E6"/>
    <w:rsid w:val="00037C0C"/>
    <w:rsid w:val="0004002B"/>
    <w:rsid w:val="000400EA"/>
    <w:rsid w:val="00040A1A"/>
    <w:rsid w:val="000412C7"/>
    <w:rsid w:val="000416FF"/>
    <w:rsid w:val="000418D9"/>
    <w:rsid w:val="00041C83"/>
    <w:rsid w:val="00041CB0"/>
    <w:rsid w:val="00041D8F"/>
    <w:rsid w:val="00043248"/>
    <w:rsid w:val="00043D23"/>
    <w:rsid w:val="000440F6"/>
    <w:rsid w:val="00044478"/>
    <w:rsid w:val="00044965"/>
    <w:rsid w:val="00044D4D"/>
    <w:rsid w:val="000453CB"/>
    <w:rsid w:val="000459F3"/>
    <w:rsid w:val="00045B78"/>
    <w:rsid w:val="00047121"/>
    <w:rsid w:val="000471EE"/>
    <w:rsid w:val="000477CC"/>
    <w:rsid w:val="00047D55"/>
    <w:rsid w:val="00047ECF"/>
    <w:rsid w:val="00050018"/>
    <w:rsid w:val="0005055F"/>
    <w:rsid w:val="000508F2"/>
    <w:rsid w:val="00051146"/>
    <w:rsid w:val="000511B5"/>
    <w:rsid w:val="000519E3"/>
    <w:rsid w:val="0005289D"/>
    <w:rsid w:val="00052F5A"/>
    <w:rsid w:val="000531E1"/>
    <w:rsid w:val="0005381B"/>
    <w:rsid w:val="0005444F"/>
    <w:rsid w:val="000549B8"/>
    <w:rsid w:val="00055245"/>
    <w:rsid w:val="00055343"/>
    <w:rsid w:val="0005546C"/>
    <w:rsid w:val="000556D5"/>
    <w:rsid w:val="00055B69"/>
    <w:rsid w:val="00055CC8"/>
    <w:rsid w:val="0005644B"/>
    <w:rsid w:val="00056476"/>
    <w:rsid w:val="000568F2"/>
    <w:rsid w:val="000568FA"/>
    <w:rsid w:val="000571E8"/>
    <w:rsid w:val="00057563"/>
    <w:rsid w:val="00057691"/>
    <w:rsid w:val="00060166"/>
    <w:rsid w:val="0006031B"/>
    <w:rsid w:val="0006039D"/>
    <w:rsid w:val="00060C6F"/>
    <w:rsid w:val="0006139B"/>
    <w:rsid w:val="00061780"/>
    <w:rsid w:val="000619AB"/>
    <w:rsid w:val="00061D03"/>
    <w:rsid w:val="00062177"/>
    <w:rsid w:val="0006252A"/>
    <w:rsid w:val="00062618"/>
    <w:rsid w:val="000629F3"/>
    <w:rsid w:val="00062D78"/>
    <w:rsid w:val="00062FDF"/>
    <w:rsid w:val="00063533"/>
    <w:rsid w:val="00063B70"/>
    <w:rsid w:val="00063E1F"/>
    <w:rsid w:val="00063E90"/>
    <w:rsid w:val="00064688"/>
    <w:rsid w:val="00064EA9"/>
    <w:rsid w:val="00065425"/>
    <w:rsid w:val="00065672"/>
    <w:rsid w:val="00065D60"/>
    <w:rsid w:val="00065DEA"/>
    <w:rsid w:val="0006615C"/>
    <w:rsid w:val="00066236"/>
    <w:rsid w:val="0006670C"/>
    <w:rsid w:val="00066A61"/>
    <w:rsid w:val="00066E88"/>
    <w:rsid w:val="000700DF"/>
    <w:rsid w:val="00070325"/>
    <w:rsid w:val="0007153C"/>
    <w:rsid w:val="000716CC"/>
    <w:rsid w:val="00071862"/>
    <w:rsid w:val="00071BBF"/>
    <w:rsid w:val="00071D5F"/>
    <w:rsid w:val="000722FF"/>
    <w:rsid w:val="00072951"/>
    <w:rsid w:val="00072D3D"/>
    <w:rsid w:val="00073032"/>
    <w:rsid w:val="000730DF"/>
    <w:rsid w:val="000736EA"/>
    <w:rsid w:val="000738DB"/>
    <w:rsid w:val="00074303"/>
    <w:rsid w:val="00074514"/>
    <w:rsid w:val="0007457F"/>
    <w:rsid w:val="000745E5"/>
    <w:rsid w:val="000748E0"/>
    <w:rsid w:val="00074CE9"/>
    <w:rsid w:val="00075095"/>
    <w:rsid w:val="000754F4"/>
    <w:rsid w:val="000756CA"/>
    <w:rsid w:val="00075813"/>
    <w:rsid w:val="0007583A"/>
    <w:rsid w:val="00075E51"/>
    <w:rsid w:val="00076172"/>
    <w:rsid w:val="00076558"/>
    <w:rsid w:val="000767E6"/>
    <w:rsid w:val="00076AF0"/>
    <w:rsid w:val="00076E4D"/>
    <w:rsid w:val="00077115"/>
    <w:rsid w:val="000772DC"/>
    <w:rsid w:val="0007755B"/>
    <w:rsid w:val="000775BD"/>
    <w:rsid w:val="000775CA"/>
    <w:rsid w:val="000776AE"/>
    <w:rsid w:val="00077B33"/>
    <w:rsid w:val="00077BE1"/>
    <w:rsid w:val="0008001D"/>
    <w:rsid w:val="000806DB"/>
    <w:rsid w:val="00080AC3"/>
    <w:rsid w:val="00080CB7"/>
    <w:rsid w:val="00080DB9"/>
    <w:rsid w:val="00080EC8"/>
    <w:rsid w:val="00080FE8"/>
    <w:rsid w:val="00081123"/>
    <w:rsid w:val="00081150"/>
    <w:rsid w:val="000816B7"/>
    <w:rsid w:val="00081F99"/>
    <w:rsid w:val="0008218B"/>
    <w:rsid w:val="00082614"/>
    <w:rsid w:val="0008280B"/>
    <w:rsid w:val="000829F8"/>
    <w:rsid w:val="00082B27"/>
    <w:rsid w:val="000833C6"/>
    <w:rsid w:val="00083921"/>
    <w:rsid w:val="00083B01"/>
    <w:rsid w:val="00083B7F"/>
    <w:rsid w:val="00083C75"/>
    <w:rsid w:val="0008480F"/>
    <w:rsid w:val="00084A2B"/>
    <w:rsid w:val="00084DCD"/>
    <w:rsid w:val="00084F2B"/>
    <w:rsid w:val="000852CB"/>
    <w:rsid w:val="000852EA"/>
    <w:rsid w:val="0008591D"/>
    <w:rsid w:val="00085B67"/>
    <w:rsid w:val="00085F9D"/>
    <w:rsid w:val="0008630C"/>
    <w:rsid w:val="000867F7"/>
    <w:rsid w:val="000867FD"/>
    <w:rsid w:val="00086DB6"/>
    <w:rsid w:val="00086E38"/>
    <w:rsid w:val="00087998"/>
    <w:rsid w:val="000908DA"/>
    <w:rsid w:val="00091348"/>
    <w:rsid w:val="000917F9"/>
    <w:rsid w:val="0009180A"/>
    <w:rsid w:val="00091B32"/>
    <w:rsid w:val="00091CCD"/>
    <w:rsid w:val="00091D78"/>
    <w:rsid w:val="00092014"/>
    <w:rsid w:val="0009238E"/>
    <w:rsid w:val="00092544"/>
    <w:rsid w:val="00092585"/>
    <w:rsid w:val="00092C1A"/>
    <w:rsid w:val="00093096"/>
    <w:rsid w:val="00093885"/>
    <w:rsid w:val="000938B9"/>
    <w:rsid w:val="00093A41"/>
    <w:rsid w:val="00093C13"/>
    <w:rsid w:val="00094556"/>
    <w:rsid w:val="000948BE"/>
    <w:rsid w:val="00094DED"/>
    <w:rsid w:val="00094F58"/>
    <w:rsid w:val="0009553C"/>
    <w:rsid w:val="0009610C"/>
    <w:rsid w:val="00096AD6"/>
    <w:rsid w:val="00096FC2"/>
    <w:rsid w:val="000971DC"/>
    <w:rsid w:val="00097300"/>
    <w:rsid w:val="0009775C"/>
    <w:rsid w:val="00097B71"/>
    <w:rsid w:val="000A0092"/>
    <w:rsid w:val="000A1675"/>
    <w:rsid w:val="000A186A"/>
    <w:rsid w:val="000A277B"/>
    <w:rsid w:val="000A2B9D"/>
    <w:rsid w:val="000A3212"/>
    <w:rsid w:val="000A343B"/>
    <w:rsid w:val="000A3AF4"/>
    <w:rsid w:val="000A3CA4"/>
    <w:rsid w:val="000A3CCF"/>
    <w:rsid w:val="000A3CD7"/>
    <w:rsid w:val="000A42D7"/>
    <w:rsid w:val="000A449E"/>
    <w:rsid w:val="000A4F88"/>
    <w:rsid w:val="000A55E1"/>
    <w:rsid w:val="000A57FC"/>
    <w:rsid w:val="000A590E"/>
    <w:rsid w:val="000A5CAD"/>
    <w:rsid w:val="000A5DDE"/>
    <w:rsid w:val="000A5F9B"/>
    <w:rsid w:val="000A603C"/>
    <w:rsid w:val="000A6CF9"/>
    <w:rsid w:val="000A6E73"/>
    <w:rsid w:val="000A7F27"/>
    <w:rsid w:val="000B06E1"/>
    <w:rsid w:val="000B0BB9"/>
    <w:rsid w:val="000B12DB"/>
    <w:rsid w:val="000B1314"/>
    <w:rsid w:val="000B142D"/>
    <w:rsid w:val="000B1E05"/>
    <w:rsid w:val="000B1F2E"/>
    <w:rsid w:val="000B2005"/>
    <w:rsid w:val="000B220D"/>
    <w:rsid w:val="000B2218"/>
    <w:rsid w:val="000B2918"/>
    <w:rsid w:val="000B2A98"/>
    <w:rsid w:val="000B305F"/>
    <w:rsid w:val="000B3109"/>
    <w:rsid w:val="000B3634"/>
    <w:rsid w:val="000B3D64"/>
    <w:rsid w:val="000B46CA"/>
    <w:rsid w:val="000B4908"/>
    <w:rsid w:val="000B4C01"/>
    <w:rsid w:val="000B4C4B"/>
    <w:rsid w:val="000B4F51"/>
    <w:rsid w:val="000B5654"/>
    <w:rsid w:val="000B5A83"/>
    <w:rsid w:val="000B5C05"/>
    <w:rsid w:val="000B65DB"/>
    <w:rsid w:val="000B6FB9"/>
    <w:rsid w:val="000B6FD9"/>
    <w:rsid w:val="000B70EC"/>
    <w:rsid w:val="000B71F2"/>
    <w:rsid w:val="000B738F"/>
    <w:rsid w:val="000B7924"/>
    <w:rsid w:val="000B7978"/>
    <w:rsid w:val="000C017F"/>
    <w:rsid w:val="000C03D1"/>
    <w:rsid w:val="000C0639"/>
    <w:rsid w:val="000C0AB3"/>
    <w:rsid w:val="000C16A6"/>
    <w:rsid w:val="000C19AD"/>
    <w:rsid w:val="000C1F2A"/>
    <w:rsid w:val="000C233E"/>
    <w:rsid w:val="000C32D2"/>
    <w:rsid w:val="000C3EBB"/>
    <w:rsid w:val="000C4316"/>
    <w:rsid w:val="000C4ED4"/>
    <w:rsid w:val="000C546D"/>
    <w:rsid w:val="000C578F"/>
    <w:rsid w:val="000C58C0"/>
    <w:rsid w:val="000C5A3C"/>
    <w:rsid w:val="000C5D6B"/>
    <w:rsid w:val="000C5E43"/>
    <w:rsid w:val="000C62F5"/>
    <w:rsid w:val="000C64D8"/>
    <w:rsid w:val="000C6776"/>
    <w:rsid w:val="000C67AF"/>
    <w:rsid w:val="000C6844"/>
    <w:rsid w:val="000C6909"/>
    <w:rsid w:val="000C6977"/>
    <w:rsid w:val="000C6A47"/>
    <w:rsid w:val="000C6AD1"/>
    <w:rsid w:val="000C6CA3"/>
    <w:rsid w:val="000C6D4B"/>
    <w:rsid w:val="000C6F2F"/>
    <w:rsid w:val="000C7036"/>
    <w:rsid w:val="000C7527"/>
    <w:rsid w:val="000C7693"/>
    <w:rsid w:val="000C77DC"/>
    <w:rsid w:val="000C7A0E"/>
    <w:rsid w:val="000C7BF4"/>
    <w:rsid w:val="000C7CE5"/>
    <w:rsid w:val="000D023B"/>
    <w:rsid w:val="000D0731"/>
    <w:rsid w:val="000D0D95"/>
    <w:rsid w:val="000D1280"/>
    <w:rsid w:val="000D1D72"/>
    <w:rsid w:val="000D1DC0"/>
    <w:rsid w:val="000D2154"/>
    <w:rsid w:val="000D21F4"/>
    <w:rsid w:val="000D2FB5"/>
    <w:rsid w:val="000D31C6"/>
    <w:rsid w:val="000D34A7"/>
    <w:rsid w:val="000D37DF"/>
    <w:rsid w:val="000D3A73"/>
    <w:rsid w:val="000D3C81"/>
    <w:rsid w:val="000D3DB0"/>
    <w:rsid w:val="000D3FD5"/>
    <w:rsid w:val="000D47CA"/>
    <w:rsid w:val="000D6298"/>
    <w:rsid w:val="000D6481"/>
    <w:rsid w:val="000D65C6"/>
    <w:rsid w:val="000D682B"/>
    <w:rsid w:val="000D75B9"/>
    <w:rsid w:val="000D792A"/>
    <w:rsid w:val="000D7AC2"/>
    <w:rsid w:val="000E06C4"/>
    <w:rsid w:val="000E0B7A"/>
    <w:rsid w:val="000E0D16"/>
    <w:rsid w:val="000E1337"/>
    <w:rsid w:val="000E1F1E"/>
    <w:rsid w:val="000E2006"/>
    <w:rsid w:val="000E21E2"/>
    <w:rsid w:val="000E2B69"/>
    <w:rsid w:val="000E3028"/>
    <w:rsid w:val="000E39D8"/>
    <w:rsid w:val="000E3B80"/>
    <w:rsid w:val="000E47E0"/>
    <w:rsid w:val="000E48A9"/>
    <w:rsid w:val="000E4C84"/>
    <w:rsid w:val="000E4FF5"/>
    <w:rsid w:val="000E52AE"/>
    <w:rsid w:val="000E5328"/>
    <w:rsid w:val="000E545F"/>
    <w:rsid w:val="000E5DE0"/>
    <w:rsid w:val="000E5F14"/>
    <w:rsid w:val="000E5FB3"/>
    <w:rsid w:val="000E67BD"/>
    <w:rsid w:val="000E6988"/>
    <w:rsid w:val="000E76F9"/>
    <w:rsid w:val="000E777F"/>
    <w:rsid w:val="000E77F6"/>
    <w:rsid w:val="000E79E5"/>
    <w:rsid w:val="000E7EE5"/>
    <w:rsid w:val="000F0158"/>
    <w:rsid w:val="000F01D1"/>
    <w:rsid w:val="000F02C9"/>
    <w:rsid w:val="000F11B9"/>
    <w:rsid w:val="000F1521"/>
    <w:rsid w:val="000F1937"/>
    <w:rsid w:val="000F2ADC"/>
    <w:rsid w:val="000F2DAC"/>
    <w:rsid w:val="000F2E25"/>
    <w:rsid w:val="000F33AF"/>
    <w:rsid w:val="000F4229"/>
    <w:rsid w:val="000F4580"/>
    <w:rsid w:val="000F4BFB"/>
    <w:rsid w:val="000F4F92"/>
    <w:rsid w:val="000F5099"/>
    <w:rsid w:val="000F5DA8"/>
    <w:rsid w:val="000F629D"/>
    <w:rsid w:val="000F651B"/>
    <w:rsid w:val="000F6BF6"/>
    <w:rsid w:val="000F6CF2"/>
    <w:rsid w:val="000F760F"/>
    <w:rsid w:val="00100018"/>
    <w:rsid w:val="00100058"/>
    <w:rsid w:val="00100519"/>
    <w:rsid w:val="001006EF"/>
    <w:rsid w:val="00100EFF"/>
    <w:rsid w:val="00101943"/>
    <w:rsid w:val="00101A4F"/>
    <w:rsid w:val="00101B93"/>
    <w:rsid w:val="00101CDD"/>
    <w:rsid w:val="0010265D"/>
    <w:rsid w:val="00102670"/>
    <w:rsid w:val="00102913"/>
    <w:rsid w:val="00102A64"/>
    <w:rsid w:val="001031F3"/>
    <w:rsid w:val="001034F6"/>
    <w:rsid w:val="00103981"/>
    <w:rsid w:val="00103B2F"/>
    <w:rsid w:val="00103BAD"/>
    <w:rsid w:val="00103C09"/>
    <w:rsid w:val="00103F25"/>
    <w:rsid w:val="0010403E"/>
    <w:rsid w:val="00104346"/>
    <w:rsid w:val="00104D50"/>
    <w:rsid w:val="001050FA"/>
    <w:rsid w:val="00105123"/>
    <w:rsid w:val="00105137"/>
    <w:rsid w:val="001051DC"/>
    <w:rsid w:val="001053F0"/>
    <w:rsid w:val="00105418"/>
    <w:rsid w:val="0010562F"/>
    <w:rsid w:val="001056D9"/>
    <w:rsid w:val="00105C81"/>
    <w:rsid w:val="00105D48"/>
    <w:rsid w:val="00105E37"/>
    <w:rsid w:val="0010663F"/>
    <w:rsid w:val="00106C25"/>
    <w:rsid w:val="0010702B"/>
    <w:rsid w:val="0010744A"/>
    <w:rsid w:val="001077D3"/>
    <w:rsid w:val="00107B5F"/>
    <w:rsid w:val="00107BCB"/>
    <w:rsid w:val="00107F74"/>
    <w:rsid w:val="001101F3"/>
    <w:rsid w:val="0011024E"/>
    <w:rsid w:val="0011189B"/>
    <w:rsid w:val="00111B2F"/>
    <w:rsid w:val="00111EC7"/>
    <w:rsid w:val="00112D90"/>
    <w:rsid w:val="00112DDD"/>
    <w:rsid w:val="001137FA"/>
    <w:rsid w:val="00113C02"/>
    <w:rsid w:val="00113CFB"/>
    <w:rsid w:val="00113EAD"/>
    <w:rsid w:val="00114194"/>
    <w:rsid w:val="0011465D"/>
    <w:rsid w:val="001148BC"/>
    <w:rsid w:val="001148EB"/>
    <w:rsid w:val="00114AD2"/>
    <w:rsid w:val="00114CAE"/>
    <w:rsid w:val="00115473"/>
    <w:rsid w:val="0011550E"/>
    <w:rsid w:val="00115782"/>
    <w:rsid w:val="0011642B"/>
    <w:rsid w:val="00116457"/>
    <w:rsid w:val="00116C17"/>
    <w:rsid w:val="00116C49"/>
    <w:rsid w:val="00116FE6"/>
    <w:rsid w:val="001177A7"/>
    <w:rsid w:val="00120455"/>
    <w:rsid w:val="00120604"/>
    <w:rsid w:val="00122BCE"/>
    <w:rsid w:val="00122D74"/>
    <w:rsid w:val="0012348A"/>
    <w:rsid w:val="00123C14"/>
    <w:rsid w:val="00123F95"/>
    <w:rsid w:val="00124171"/>
    <w:rsid w:val="001245BC"/>
    <w:rsid w:val="001249C2"/>
    <w:rsid w:val="00124DE9"/>
    <w:rsid w:val="00124EB8"/>
    <w:rsid w:val="00125390"/>
    <w:rsid w:val="0012545B"/>
    <w:rsid w:val="00125BD0"/>
    <w:rsid w:val="0012608E"/>
    <w:rsid w:val="001267AF"/>
    <w:rsid w:val="00126B25"/>
    <w:rsid w:val="00126B57"/>
    <w:rsid w:val="0012766A"/>
    <w:rsid w:val="001276F2"/>
    <w:rsid w:val="001301D9"/>
    <w:rsid w:val="001302F3"/>
    <w:rsid w:val="001303F4"/>
    <w:rsid w:val="00130F26"/>
    <w:rsid w:val="00130FBF"/>
    <w:rsid w:val="00131EDE"/>
    <w:rsid w:val="00132081"/>
    <w:rsid w:val="001322EA"/>
    <w:rsid w:val="001323DA"/>
    <w:rsid w:val="00132A89"/>
    <w:rsid w:val="00132CA2"/>
    <w:rsid w:val="00132CE2"/>
    <w:rsid w:val="00132D3B"/>
    <w:rsid w:val="00132DA1"/>
    <w:rsid w:val="00132F0D"/>
    <w:rsid w:val="0013328A"/>
    <w:rsid w:val="001334E9"/>
    <w:rsid w:val="00133729"/>
    <w:rsid w:val="0013388F"/>
    <w:rsid w:val="00133D98"/>
    <w:rsid w:val="0013407F"/>
    <w:rsid w:val="0013439F"/>
    <w:rsid w:val="00134777"/>
    <w:rsid w:val="001348EC"/>
    <w:rsid w:val="00135EA9"/>
    <w:rsid w:val="00136967"/>
    <w:rsid w:val="00136D2A"/>
    <w:rsid w:val="00136F18"/>
    <w:rsid w:val="0013711F"/>
    <w:rsid w:val="001373D6"/>
    <w:rsid w:val="00137408"/>
    <w:rsid w:val="001378B1"/>
    <w:rsid w:val="001379B4"/>
    <w:rsid w:val="00137AE0"/>
    <w:rsid w:val="00140067"/>
    <w:rsid w:val="001409C2"/>
    <w:rsid w:val="00140BAD"/>
    <w:rsid w:val="00141D07"/>
    <w:rsid w:val="0014226E"/>
    <w:rsid w:val="001427AB"/>
    <w:rsid w:val="001439C9"/>
    <w:rsid w:val="00144759"/>
    <w:rsid w:val="0014482F"/>
    <w:rsid w:val="0014486B"/>
    <w:rsid w:val="00144ACC"/>
    <w:rsid w:val="00144C4F"/>
    <w:rsid w:val="001450F1"/>
    <w:rsid w:val="0014511F"/>
    <w:rsid w:val="0014524A"/>
    <w:rsid w:val="001453CA"/>
    <w:rsid w:val="0014579F"/>
    <w:rsid w:val="00145A7D"/>
    <w:rsid w:val="00145B85"/>
    <w:rsid w:val="00145C31"/>
    <w:rsid w:val="00145CC1"/>
    <w:rsid w:val="00145CEB"/>
    <w:rsid w:val="00145E48"/>
    <w:rsid w:val="00147533"/>
    <w:rsid w:val="00147801"/>
    <w:rsid w:val="00147AF9"/>
    <w:rsid w:val="00147EB5"/>
    <w:rsid w:val="0015031B"/>
    <w:rsid w:val="00150719"/>
    <w:rsid w:val="00150D96"/>
    <w:rsid w:val="00150F0D"/>
    <w:rsid w:val="00151C7E"/>
    <w:rsid w:val="00151F3C"/>
    <w:rsid w:val="00152BD4"/>
    <w:rsid w:val="00152C02"/>
    <w:rsid w:val="00152C8A"/>
    <w:rsid w:val="00152E90"/>
    <w:rsid w:val="00153071"/>
    <w:rsid w:val="00153329"/>
    <w:rsid w:val="0015368B"/>
    <w:rsid w:val="00153BC4"/>
    <w:rsid w:val="00153DCF"/>
    <w:rsid w:val="00154010"/>
    <w:rsid w:val="001540B7"/>
    <w:rsid w:val="001542FF"/>
    <w:rsid w:val="001544CB"/>
    <w:rsid w:val="0015487D"/>
    <w:rsid w:val="001559A8"/>
    <w:rsid w:val="00155D03"/>
    <w:rsid w:val="00155E33"/>
    <w:rsid w:val="0015653F"/>
    <w:rsid w:val="001565C0"/>
    <w:rsid w:val="00156A85"/>
    <w:rsid w:val="00156FD3"/>
    <w:rsid w:val="001573A2"/>
    <w:rsid w:val="00157460"/>
    <w:rsid w:val="00157C1F"/>
    <w:rsid w:val="00157F7C"/>
    <w:rsid w:val="001600EF"/>
    <w:rsid w:val="00160429"/>
    <w:rsid w:val="00161C30"/>
    <w:rsid w:val="00161F1D"/>
    <w:rsid w:val="001629E0"/>
    <w:rsid w:val="001629FB"/>
    <w:rsid w:val="00162B1F"/>
    <w:rsid w:val="00162C05"/>
    <w:rsid w:val="0016370C"/>
    <w:rsid w:val="00163725"/>
    <w:rsid w:val="00163809"/>
    <w:rsid w:val="00163DEB"/>
    <w:rsid w:val="00163E5F"/>
    <w:rsid w:val="0016492E"/>
    <w:rsid w:val="00164BF5"/>
    <w:rsid w:val="00164C9A"/>
    <w:rsid w:val="001651A9"/>
    <w:rsid w:val="001659E8"/>
    <w:rsid w:val="00165C4D"/>
    <w:rsid w:val="0016674D"/>
    <w:rsid w:val="00167BA7"/>
    <w:rsid w:val="00167CEA"/>
    <w:rsid w:val="00167E82"/>
    <w:rsid w:val="00167FC3"/>
    <w:rsid w:val="00170681"/>
    <w:rsid w:val="001707A7"/>
    <w:rsid w:val="0017088F"/>
    <w:rsid w:val="00170E9B"/>
    <w:rsid w:val="00170F8C"/>
    <w:rsid w:val="0017118D"/>
    <w:rsid w:val="00171EC8"/>
    <w:rsid w:val="00171F27"/>
    <w:rsid w:val="0017388D"/>
    <w:rsid w:val="001738FE"/>
    <w:rsid w:val="00173E13"/>
    <w:rsid w:val="00174197"/>
    <w:rsid w:val="001743E2"/>
    <w:rsid w:val="001746A4"/>
    <w:rsid w:val="001753D4"/>
    <w:rsid w:val="001755AE"/>
    <w:rsid w:val="00175899"/>
    <w:rsid w:val="00175B70"/>
    <w:rsid w:val="00176388"/>
    <w:rsid w:val="00176472"/>
    <w:rsid w:val="00176610"/>
    <w:rsid w:val="001769F1"/>
    <w:rsid w:val="001772FD"/>
    <w:rsid w:val="0017750D"/>
    <w:rsid w:val="0017752A"/>
    <w:rsid w:val="00177B68"/>
    <w:rsid w:val="00177C46"/>
    <w:rsid w:val="0018020F"/>
    <w:rsid w:val="00180307"/>
    <w:rsid w:val="00181AF3"/>
    <w:rsid w:val="00181B3F"/>
    <w:rsid w:val="00181D10"/>
    <w:rsid w:val="00183892"/>
    <w:rsid w:val="00183BF3"/>
    <w:rsid w:val="00184285"/>
    <w:rsid w:val="00184302"/>
    <w:rsid w:val="001849A2"/>
    <w:rsid w:val="00184DB4"/>
    <w:rsid w:val="00184F27"/>
    <w:rsid w:val="0018530D"/>
    <w:rsid w:val="00185B87"/>
    <w:rsid w:val="00185DFA"/>
    <w:rsid w:val="00185EBC"/>
    <w:rsid w:val="001863D8"/>
    <w:rsid w:val="00186EAD"/>
    <w:rsid w:val="0018722E"/>
    <w:rsid w:val="001876FA"/>
    <w:rsid w:val="001878FD"/>
    <w:rsid w:val="00187B84"/>
    <w:rsid w:val="00190145"/>
    <w:rsid w:val="001902DD"/>
    <w:rsid w:val="00190584"/>
    <w:rsid w:val="0019079F"/>
    <w:rsid w:val="00190BA1"/>
    <w:rsid w:val="001919C8"/>
    <w:rsid w:val="00191CD2"/>
    <w:rsid w:val="00191E29"/>
    <w:rsid w:val="001920CE"/>
    <w:rsid w:val="0019213C"/>
    <w:rsid w:val="00192913"/>
    <w:rsid w:val="00192A1B"/>
    <w:rsid w:val="00192A3C"/>
    <w:rsid w:val="00192BBD"/>
    <w:rsid w:val="00192D57"/>
    <w:rsid w:val="001931EE"/>
    <w:rsid w:val="001932EC"/>
    <w:rsid w:val="00193AF6"/>
    <w:rsid w:val="00193ED1"/>
    <w:rsid w:val="001941B1"/>
    <w:rsid w:val="001949B3"/>
    <w:rsid w:val="00194D3B"/>
    <w:rsid w:val="001952B0"/>
    <w:rsid w:val="00195D92"/>
    <w:rsid w:val="00196139"/>
    <w:rsid w:val="00196515"/>
    <w:rsid w:val="00196A27"/>
    <w:rsid w:val="00196BF5"/>
    <w:rsid w:val="00197601"/>
    <w:rsid w:val="00197621"/>
    <w:rsid w:val="001977C7"/>
    <w:rsid w:val="001A09D6"/>
    <w:rsid w:val="001A0EE9"/>
    <w:rsid w:val="001A1155"/>
    <w:rsid w:val="001A1296"/>
    <w:rsid w:val="001A1512"/>
    <w:rsid w:val="001A1635"/>
    <w:rsid w:val="001A1809"/>
    <w:rsid w:val="001A19F1"/>
    <w:rsid w:val="001A2149"/>
    <w:rsid w:val="001A27C5"/>
    <w:rsid w:val="001A2EBD"/>
    <w:rsid w:val="001A3446"/>
    <w:rsid w:val="001A3DB1"/>
    <w:rsid w:val="001A4242"/>
    <w:rsid w:val="001A425F"/>
    <w:rsid w:val="001A44A7"/>
    <w:rsid w:val="001A499A"/>
    <w:rsid w:val="001A4CF7"/>
    <w:rsid w:val="001A5679"/>
    <w:rsid w:val="001A56CF"/>
    <w:rsid w:val="001A5848"/>
    <w:rsid w:val="001A6510"/>
    <w:rsid w:val="001A6775"/>
    <w:rsid w:val="001A6819"/>
    <w:rsid w:val="001A6AE0"/>
    <w:rsid w:val="001A7146"/>
    <w:rsid w:val="001A731B"/>
    <w:rsid w:val="001A785E"/>
    <w:rsid w:val="001A7951"/>
    <w:rsid w:val="001B000B"/>
    <w:rsid w:val="001B03E2"/>
    <w:rsid w:val="001B0761"/>
    <w:rsid w:val="001B0780"/>
    <w:rsid w:val="001B0DD3"/>
    <w:rsid w:val="001B1027"/>
    <w:rsid w:val="001B1258"/>
    <w:rsid w:val="001B1577"/>
    <w:rsid w:val="001B1AFA"/>
    <w:rsid w:val="001B1C4B"/>
    <w:rsid w:val="001B1C65"/>
    <w:rsid w:val="001B1E02"/>
    <w:rsid w:val="001B2313"/>
    <w:rsid w:val="001B24FC"/>
    <w:rsid w:val="001B2527"/>
    <w:rsid w:val="001B25BE"/>
    <w:rsid w:val="001B26E7"/>
    <w:rsid w:val="001B2B27"/>
    <w:rsid w:val="001B2EC4"/>
    <w:rsid w:val="001B30EA"/>
    <w:rsid w:val="001B31C4"/>
    <w:rsid w:val="001B3284"/>
    <w:rsid w:val="001B3798"/>
    <w:rsid w:val="001B3DDA"/>
    <w:rsid w:val="001B3FB2"/>
    <w:rsid w:val="001B41CD"/>
    <w:rsid w:val="001B46C2"/>
    <w:rsid w:val="001B4A1C"/>
    <w:rsid w:val="001B4B95"/>
    <w:rsid w:val="001B4BD7"/>
    <w:rsid w:val="001B553E"/>
    <w:rsid w:val="001B57AB"/>
    <w:rsid w:val="001B5CBC"/>
    <w:rsid w:val="001B5EA2"/>
    <w:rsid w:val="001B65D7"/>
    <w:rsid w:val="001B69FA"/>
    <w:rsid w:val="001B763C"/>
    <w:rsid w:val="001B776C"/>
    <w:rsid w:val="001B7B25"/>
    <w:rsid w:val="001B7BDB"/>
    <w:rsid w:val="001B7D54"/>
    <w:rsid w:val="001C01A0"/>
    <w:rsid w:val="001C01C0"/>
    <w:rsid w:val="001C099D"/>
    <w:rsid w:val="001C0A8C"/>
    <w:rsid w:val="001C0B54"/>
    <w:rsid w:val="001C1718"/>
    <w:rsid w:val="001C1AD3"/>
    <w:rsid w:val="001C22CC"/>
    <w:rsid w:val="001C2307"/>
    <w:rsid w:val="001C2320"/>
    <w:rsid w:val="001C24FC"/>
    <w:rsid w:val="001C2C51"/>
    <w:rsid w:val="001C3476"/>
    <w:rsid w:val="001C34CE"/>
    <w:rsid w:val="001C393E"/>
    <w:rsid w:val="001C39D0"/>
    <w:rsid w:val="001C3D4C"/>
    <w:rsid w:val="001C3F61"/>
    <w:rsid w:val="001C435D"/>
    <w:rsid w:val="001C497A"/>
    <w:rsid w:val="001C4B7B"/>
    <w:rsid w:val="001C4BA7"/>
    <w:rsid w:val="001C4C6E"/>
    <w:rsid w:val="001C4CB6"/>
    <w:rsid w:val="001C5002"/>
    <w:rsid w:val="001C520A"/>
    <w:rsid w:val="001C6042"/>
    <w:rsid w:val="001C693A"/>
    <w:rsid w:val="001C6D6C"/>
    <w:rsid w:val="001C6D89"/>
    <w:rsid w:val="001C74C0"/>
    <w:rsid w:val="001C78AF"/>
    <w:rsid w:val="001C79F6"/>
    <w:rsid w:val="001C7DFF"/>
    <w:rsid w:val="001C7FB7"/>
    <w:rsid w:val="001D01CC"/>
    <w:rsid w:val="001D0260"/>
    <w:rsid w:val="001D02F4"/>
    <w:rsid w:val="001D04AA"/>
    <w:rsid w:val="001D0D02"/>
    <w:rsid w:val="001D0ED3"/>
    <w:rsid w:val="001D1A25"/>
    <w:rsid w:val="001D1E54"/>
    <w:rsid w:val="001D21A3"/>
    <w:rsid w:val="001D2617"/>
    <w:rsid w:val="001D2915"/>
    <w:rsid w:val="001D2B53"/>
    <w:rsid w:val="001D2C1A"/>
    <w:rsid w:val="001D2E4E"/>
    <w:rsid w:val="001D2E6B"/>
    <w:rsid w:val="001D326E"/>
    <w:rsid w:val="001D3290"/>
    <w:rsid w:val="001D34C4"/>
    <w:rsid w:val="001D3AF7"/>
    <w:rsid w:val="001D42DD"/>
    <w:rsid w:val="001D4470"/>
    <w:rsid w:val="001D4972"/>
    <w:rsid w:val="001D500F"/>
    <w:rsid w:val="001D539D"/>
    <w:rsid w:val="001D57CA"/>
    <w:rsid w:val="001D5979"/>
    <w:rsid w:val="001D64AB"/>
    <w:rsid w:val="001D64B5"/>
    <w:rsid w:val="001D6537"/>
    <w:rsid w:val="001D65A5"/>
    <w:rsid w:val="001D65F1"/>
    <w:rsid w:val="001D663E"/>
    <w:rsid w:val="001D66F2"/>
    <w:rsid w:val="001D6A8D"/>
    <w:rsid w:val="001D6B07"/>
    <w:rsid w:val="001D6FB8"/>
    <w:rsid w:val="001D771C"/>
    <w:rsid w:val="001D7E01"/>
    <w:rsid w:val="001D7E90"/>
    <w:rsid w:val="001E0049"/>
    <w:rsid w:val="001E0150"/>
    <w:rsid w:val="001E020B"/>
    <w:rsid w:val="001E0295"/>
    <w:rsid w:val="001E052C"/>
    <w:rsid w:val="001E0A51"/>
    <w:rsid w:val="001E141E"/>
    <w:rsid w:val="001E1516"/>
    <w:rsid w:val="001E1633"/>
    <w:rsid w:val="001E16CD"/>
    <w:rsid w:val="001E17EA"/>
    <w:rsid w:val="001E1AE5"/>
    <w:rsid w:val="001E2085"/>
    <w:rsid w:val="001E20FA"/>
    <w:rsid w:val="001E24B1"/>
    <w:rsid w:val="001E24BC"/>
    <w:rsid w:val="001E2514"/>
    <w:rsid w:val="001E2E46"/>
    <w:rsid w:val="001E3129"/>
    <w:rsid w:val="001E3189"/>
    <w:rsid w:val="001E3207"/>
    <w:rsid w:val="001E33B9"/>
    <w:rsid w:val="001E3CE4"/>
    <w:rsid w:val="001E3DCB"/>
    <w:rsid w:val="001E4496"/>
    <w:rsid w:val="001E477A"/>
    <w:rsid w:val="001E47DD"/>
    <w:rsid w:val="001E4C5C"/>
    <w:rsid w:val="001E4DFB"/>
    <w:rsid w:val="001E5725"/>
    <w:rsid w:val="001E5F8D"/>
    <w:rsid w:val="001E64B5"/>
    <w:rsid w:val="001E685C"/>
    <w:rsid w:val="001E6CD7"/>
    <w:rsid w:val="001E6F1C"/>
    <w:rsid w:val="001E7AAD"/>
    <w:rsid w:val="001E7C21"/>
    <w:rsid w:val="001E7F31"/>
    <w:rsid w:val="001F0127"/>
    <w:rsid w:val="001F0D78"/>
    <w:rsid w:val="001F1932"/>
    <w:rsid w:val="001F1EE0"/>
    <w:rsid w:val="001F20F3"/>
    <w:rsid w:val="001F28E4"/>
    <w:rsid w:val="001F2F29"/>
    <w:rsid w:val="001F33D9"/>
    <w:rsid w:val="001F43A1"/>
    <w:rsid w:val="001F46FD"/>
    <w:rsid w:val="001F570C"/>
    <w:rsid w:val="001F6818"/>
    <w:rsid w:val="001F68B3"/>
    <w:rsid w:val="001F69B4"/>
    <w:rsid w:val="001F6A8F"/>
    <w:rsid w:val="001F6C78"/>
    <w:rsid w:val="001F6E70"/>
    <w:rsid w:val="001F70EC"/>
    <w:rsid w:val="001F7607"/>
    <w:rsid w:val="001F77D9"/>
    <w:rsid w:val="001F7AA2"/>
    <w:rsid w:val="001F7DAC"/>
    <w:rsid w:val="002002D9"/>
    <w:rsid w:val="002004CF"/>
    <w:rsid w:val="0020065B"/>
    <w:rsid w:val="00200715"/>
    <w:rsid w:val="002007E9"/>
    <w:rsid w:val="00200BA0"/>
    <w:rsid w:val="002026E3"/>
    <w:rsid w:val="0020298B"/>
    <w:rsid w:val="00202A48"/>
    <w:rsid w:val="00203032"/>
    <w:rsid w:val="00203242"/>
    <w:rsid w:val="002034AE"/>
    <w:rsid w:val="002038D1"/>
    <w:rsid w:val="00203C2D"/>
    <w:rsid w:val="00203F11"/>
    <w:rsid w:val="00203F35"/>
    <w:rsid w:val="00203FA4"/>
    <w:rsid w:val="00205025"/>
    <w:rsid w:val="0020509B"/>
    <w:rsid w:val="00205303"/>
    <w:rsid w:val="00205C24"/>
    <w:rsid w:val="00205E72"/>
    <w:rsid w:val="00206708"/>
    <w:rsid w:val="00206A76"/>
    <w:rsid w:val="00206A9B"/>
    <w:rsid w:val="00206D7E"/>
    <w:rsid w:val="0020706C"/>
    <w:rsid w:val="00207444"/>
    <w:rsid w:val="00207A68"/>
    <w:rsid w:val="00207BF8"/>
    <w:rsid w:val="00207C4B"/>
    <w:rsid w:val="002100C1"/>
    <w:rsid w:val="0021018D"/>
    <w:rsid w:val="002101F7"/>
    <w:rsid w:val="002102C9"/>
    <w:rsid w:val="0021033B"/>
    <w:rsid w:val="002105EE"/>
    <w:rsid w:val="0021136A"/>
    <w:rsid w:val="00212408"/>
    <w:rsid w:val="0021249A"/>
    <w:rsid w:val="002128DF"/>
    <w:rsid w:val="00212A44"/>
    <w:rsid w:val="00212C45"/>
    <w:rsid w:val="00212C5E"/>
    <w:rsid w:val="00213782"/>
    <w:rsid w:val="002139EB"/>
    <w:rsid w:val="00213BC9"/>
    <w:rsid w:val="00213BF5"/>
    <w:rsid w:val="00213C13"/>
    <w:rsid w:val="00213CD3"/>
    <w:rsid w:val="00214331"/>
    <w:rsid w:val="0021446E"/>
    <w:rsid w:val="002146D7"/>
    <w:rsid w:val="00214D31"/>
    <w:rsid w:val="00215835"/>
    <w:rsid w:val="0021663F"/>
    <w:rsid w:val="00216B24"/>
    <w:rsid w:val="00216B36"/>
    <w:rsid w:val="00216B7C"/>
    <w:rsid w:val="0021705B"/>
    <w:rsid w:val="00217469"/>
    <w:rsid w:val="0021786A"/>
    <w:rsid w:val="00217DF8"/>
    <w:rsid w:val="00217F07"/>
    <w:rsid w:val="0022005D"/>
    <w:rsid w:val="00220352"/>
    <w:rsid w:val="00220384"/>
    <w:rsid w:val="00221439"/>
    <w:rsid w:val="0022150B"/>
    <w:rsid w:val="00221AB3"/>
    <w:rsid w:val="00222CC2"/>
    <w:rsid w:val="002231D9"/>
    <w:rsid w:val="002232F5"/>
    <w:rsid w:val="0022348C"/>
    <w:rsid w:val="00223646"/>
    <w:rsid w:val="0022373D"/>
    <w:rsid w:val="00223C7C"/>
    <w:rsid w:val="00223F8A"/>
    <w:rsid w:val="002241B2"/>
    <w:rsid w:val="0022457E"/>
    <w:rsid w:val="00224599"/>
    <w:rsid w:val="0022492D"/>
    <w:rsid w:val="00224AC0"/>
    <w:rsid w:val="00224C01"/>
    <w:rsid w:val="002251D6"/>
    <w:rsid w:val="002257D9"/>
    <w:rsid w:val="00225A3B"/>
    <w:rsid w:val="00225CDA"/>
    <w:rsid w:val="00226059"/>
    <w:rsid w:val="00226470"/>
    <w:rsid w:val="00226701"/>
    <w:rsid w:val="00226AC7"/>
    <w:rsid w:val="002273A8"/>
    <w:rsid w:val="00227F45"/>
    <w:rsid w:val="0023029A"/>
    <w:rsid w:val="00230552"/>
    <w:rsid w:val="002306DD"/>
    <w:rsid w:val="00230D46"/>
    <w:rsid w:val="0023149D"/>
    <w:rsid w:val="00231710"/>
    <w:rsid w:val="00231716"/>
    <w:rsid w:val="00231CC9"/>
    <w:rsid w:val="00231E05"/>
    <w:rsid w:val="00232203"/>
    <w:rsid w:val="0023285C"/>
    <w:rsid w:val="00232C71"/>
    <w:rsid w:val="00232F57"/>
    <w:rsid w:val="0023376A"/>
    <w:rsid w:val="00233923"/>
    <w:rsid w:val="00233F82"/>
    <w:rsid w:val="00234131"/>
    <w:rsid w:val="00234226"/>
    <w:rsid w:val="00234667"/>
    <w:rsid w:val="0023484E"/>
    <w:rsid w:val="0023490D"/>
    <w:rsid w:val="00234AAE"/>
    <w:rsid w:val="00234C8B"/>
    <w:rsid w:val="00234E91"/>
    <w:rsid w:val="0023532C"/>
    <w:rsid w:val="002355D4"/>
    <w:rsid w:val="00235E30"/>
    <w:rsid w:val="002364D1"/>
    <w:rsid w:val="00236A3B"/>
    <w:rsid w:val="00236A8D"/>
    <w:rsid w:val="00236B16"/>
    <w:rsid w:val="00236BE9"/>
    <w:rsid w:val="00236DBA"/>
    <w:rsid w:val="00236FD2"/>
    <w:rsid w:val="00237712"/>
    <w:rsid w:val="00237A6C"/>
    <w:rsid w:val="00237CE4"/>
    <w:rsid w:val="00240051"/>
    <w:rsid w:val="00241093"/>
    <w:rsid w:val="00241166"/>
    <w:rsid w:val="0024139E"/>
    <w:rsid w:val="00241404"/>
    <w:rsid w:val="0024196B"/>
    <w:rsid w:val="002419DB"/>
    <w:rsid w:val="002419E5"/>
    <w:rsid w:val="00241A40"/>
    <w:rsid w:val="00241E59"/>
    <w:rsid w:val="0024256A"/>
    <w:rsid w:val="00242A36"/>
    <w:rsid w:val="00242B21"/>
    <w:rsid w:val="00242ED6"/>
    <w:rsid w:val="0024311C"/>
    <w:rsid w:val="00243D71"/>
    <w:rsid w:val="00243EE2"/>
    <w:rsid w:val="0024444F"/>
    <w:rsid w:val="0024482B"/>
    <w:rsid w:val="00244AD4"/>
    <w:rsid w:val="00244AF8"/>
    <w:rsid w:val="00244D60"/>
    <w:rsid w:val="0024571D"/>
    <w:rsid w:val="00245720"/>
    <w:rsid w:val="00246151"/>
    <w:rsid w:val="00246194"/>
    <w:rsid w:val="00246731"/>
    <w:rsid w:val="00246AFC"/>
    <w:rsid w:val="00246D1B"/>
    <w:rsid w:val="002470CB"/>
    <w:rsid w:val="00247404"/>
    <w:rsid w:val="002478E3"/>
    <w:rsid w:val="00247D32"/>
    <w:rsid w:val="00247F56"/>
    <w:rsid w:val="00247FD6"/>
    <w:rsid w:val="002501FB"/>
    <w:rsid w:val="002508CD"/>
    <w:rsid w:val="00250D8C"/>
    <w:rsid w:val="00250F02"/>
    <w:rsid w:val="00252431"/>
    <w:rsid w:val="002524E2"/>
    <w:rsid w:val="002528F7"/>
    <w:rsid w:val="00252A07"/>
    <w:rsid w:val="00252AA7"/>
    <w:rsid w:val="00252B05"/>
    <w:rsid w:val="00252E29"/>
    <w:rsid w:val="00252E35"/>
    <w:rsid w:val="00252F90"/>
    <w:rsid w:val="00253629"/>
    <w:rsid w:val="00254389"/>
    <w:rsid w:val="00255B2D"/>
    <w:rsid w:val="0025629C"/>
    <w:rsid w:val="00256345"/>
    <w:rsid w:val="0025650E"/>
    <w:rsid w:val="002567BB"/>
    <w:rsid w:val="00256DF8"/>
    <w:rsid w:val="00256E83"/>
    <w:rsid w:val="002601EC"/>
    <w:rsid w:val="002605C3"/>
    <w:rsid w:val="002608AE"/>
    <w:rsid w:val="00261220"/>
    <w:rsid w:val="002612A1"/>
    <w:rsid w:val="002617C7"/>
    <w:rsid w:val="002623BC"/>
    <w:rsid w:val="002625AF"/>
    <w:rsid w:val="002638AF"/>
    <w:rsid w:val="00263B8B"/>
    <w:rsid w:val="00263F3E"/>
    <w:rsid w:val="00264568"/>
    <w:rsid w:val="0026470E"/>
    <w:rsid w:val="00265B47"/>
    <w:rsid w:val="002661D7"/>
    <w:rsid w:val="00266602"/>
    <w:rsid w:val="00266C6B"/>
    <w:rsid w:val="00266DA5"/>
    <w:rsid w:val="002670C5"/>
    <w:rsid w:val="002672C0"/>
    <w:rsid w:val="002672FC"/>
    <w:rsid w:val="00267705"/>
    <w:rsid w:val="002677A6"/>
    <w:rsid w:val="00270159"/>
    <w:rsid w:val="002704CF"/>
    <w:rsid w:val="00270626"/>
    <w:rsid w:val="002706AB"/>
    <w:rsid w:val="0027077A"/>
    <w:rsid w:val="002707F3"/>
    <w:rsid w:val="002711CE"/>
    <w:rsid w:val="00271B05"/>
    <w:rsid w:val="00271B7F"/>
    <w:rsid w:val="0027204D"/>
    <w:rsid w:val="0027246C"/>
    <w:rsid w:val="002727EE"/>
    <w:rsid w:val="0027284C"/>
    <w:rsid w:val="00273296"/>
    <w:rsid w:val="00273302"/>
    <w:rsid w:val="00273608"/>
    <w:rsid w:val="00273832"/>
    <w:rsid w:val="002738BE"/>
    <w:rsid w:val="002738DC"/>
    <w:rsid w:val="002742C7"/>
    <w:rsid w:val="00274890"/>
    <w:rsid w:val="0027526C"/>
    <w:rsid w:val="002764F1"/>
    <w:rsid w:val="002766EE"/>
    <w:rsid w:val="0027672B"/>
    <w:rsid w:val="002767CD"/>
    <w:rsid w:val="002767DD"/>
    <w:rsid w:val="00277072"/>
    <w:rsid w:val="0027709B"/>
    <w:rsid w:val="00277BFA"/>
    <w:rsid w:val="00277E0B"/>
    <w:rsid w:val="0028030F"/>
    <w:rsid w:val="0028043E"/>
    <w:rsid w:val="0028063D"/>
    <w:rsid w:val="002807B8"/>
    <w:rsid w:val="0028098C"/>
    <w:rsid w:val="002811CB"/>
    <w:rsid w:val="00281CCF"/>
    <w:rsid w:val="00282313"/>
    <w:rsid w:val="002826D7"/>
    <w:rsid w:val="00282927"/>
    <w:rsid w:val="00282CF2"/>
    <w:rsid w:val="00282EC3"/>
    <w:rsid w:val="00282F2C"/>
    <w:rsid w:val="00283B16"/>
    <w:rsid w:val="00283C9C"/>
    <w:rsid w:val="00283F52"/>
    <w:rsid w:val="002844BA"/>
    <w:rsid w:val="00284DF6"/>
    <w:rsid w:val="00284EF0"/>
    <w:rsid w:val="0028539B"/>
    <w:rsid w:val="00285432"/>
    <w:rsid w:val="00285F8C"/>
    <w:rsid w:val="00285FBA"/>
    <w:rsid w:val="002864D3"/>
    <w:rsid w:val="00286818"/>
    <w:rsid w:val="00286B4C"/>
    <w:rsid w:val="00286ED0"/>
    <w:rsid w:val="00286ED2"/>
    <w:rsid w:val="0028718B"/>
    <w:rsid w:val="00287B0B"/>
    <w:rsid w:val="00287B45"/>
    <w:rsid w:val="00290290"/>
    <w:rsid w:val="002902AC"/>
    <w:rsid w:val="002904FF"/>
    <w:rsid w:val="00290602"/>
    <w:rsid w:val="00290663"/>
    <w:rsid w:val="00290ACA"/>
    <w:rsid w:val="00290DFC"/>
    <w:rsid w:val="002913C0"/>
    <w:rsid w:val="002923A7"/>
    <w:rsid w:val="00292408"/>
    <w:rsid w:val="00292549"/>
    <w:rsid w:val="00292C48"/>
    <w:rsid w:val="00292F3D"/>
    <w:rsid w:val="0029340B"/>
    <w:rsid w:val="002936AF"/>
    <w:rsid w:val="00293758"/>
    <w:rsid w:val="002941CC"/>
    <w:rsid w:val="00294231"/>
    <w:rsid w:val="00294428"/>
    <w:rsid w:val="00294A3A"/>
    <w:rsid w:val="002950AD"/>
    <w:rsid w:val="0029535F"/>
    <w:rsid w:val="002956AC"/>
    <w:rsid w:val="00295A88"/>
    <w:rsid w:val="00296BEF"/>
    <w:rsid w:val="00296E78"/>
    <w:rsid w:val="00296EDE"/>
    <w:rsid w:val="002972A8"/>
    <w:rsid w:val="00297A6C"/>
    <w:rsid w:val="00297E6F"/>
    <w:rsid w:val="002A0039"/>
    <w:rsid w:val="002A0498"/>
    <w:rsid w:val="002A04B1"/>
    <w:rsid w:val="002A077E"/>
    <w:rsid w:val="002A0A10"/>
    <w:rsid w:val="002A0AD4"/>
    <w:rsid w:val="002A0BCD"/>
    <w:rsid w:val="002A0F4D"/>
    <w:rsid w:val="002A0FF8"/>
    <w:rsid w:val="002A1D3A"/>
    <w:rsid w:val="002A1E61"/>
    <w:rsid w:val="002A2217"/>
    <w:rsid w:val="002A22FC"/>
    <w:rsid w:val="002A2772"/>
    <w:rsid w:val="002A2941"/>
    <w:rsid w:val="002A3424"/>
    <w:rsid w:val="002A353D"/>
    <w:rsid w:val="002A3781"/>
    <w:rsid w:val="002A3955"/>
    <w:rsid w:val="002A3D04"/>
    <w:rsid w:val="002A3E43"/>
    <w:rsid w:val="002A4963"/>
    <w:rsid w:val="002A4F5F"/>
    <w:rsid w:val="002A5574"/>
    <w:rsid w:val="002A5D64"/>
    <w:rsid w:val="002A5D85"/>
    <w:rsid w:val="002A602B"/>
    <w:rsid w:val="002A62A1"/>
    <w:rsid w:val="002A6504"/>
    <w:rsid w:val="002A67AF"/>
    <w:rsid w:val="002A6C69"/>
    <w:rsid w:val="002A6F79"/>
    <w:rsid w:val="002A71F0"/>
    <w:rsid w:val="002A75D5"/>
    <w:rsid w:val="002A7642"/>
    <w:rsid w:val="002A767E"/>
    <w:rsid w:val="002B0081"/>
    <w:rsid w:val="002B011E"/>
    <w:rsid w:val="002B037F"/>
    <w:rsid w:val="002B0619"/>
    <w:rsid w:val="002B08A5"/>
    <w:rsid w:val="002B0AE5"/>
    <w:rsid w:val="002B1905"/>
    <w:rsid w:val="002B1A17"/>
    <w:rsid w:val="002B1D61"/>
    <w:rsid w:val="002B1F37"/>
    <w:rsid w:val="002B1FFE"/>
    <w:rsid w:val="002B200D"/>
    <w:rsid w:val="002B268B"/>
    <w:rsid w:val="002B2984"/>
    <w:rsid w:val="002B2A8F"/>
    <w:rsid w:val="002B2DC0"/>
    <w:rsid w:val="002B33C9"/>
    <w:rsid w:val="002B39CA"/>
    <w:rsid w:val="002B446B"/>
    <w:rsid w:val="002B450C"/>
    <w:rsid w:val="002B486B"/>
    <w:rsid w:val="002B498D"/>
    <w:rsid w:val="002B49EA"/>
    <w:rsid w:val="002B52D1"/>
    <w:rsid w:val="002B5A7D"/>
    <w:rsid w:val="002B5A90"/>
    <w:rsid w:val="002B5C22"/>
    <w:rsid w:val="002B5E36"/>
    <w:rsid w:val="002B652F"/>
    <w:rsid w:val="002B668A"/>
    <w:rsid w:val="002B678B"/>
    <w:rsid w:val="002B6ED3"/>
    <w:rsid w:val="002C006D"/>
    <w:rsid w:val="002C082C"/>
    <w:rsid w:val="002C08D7"/>
    <w:rsid w:val="002C0CD4"/>
    <w:rsid w:val="002C0DAE"/>
    <w:rsid w:val="002C1022"/>
    <w:rsid w:val="002C12A4"/>
    <w:rsid w:val="002C229B"/>
    <w:rsid w:val="002C230F"/>
    <w:rsid w:val="002C25A7"/>
    <w:rsid w:val="002C2E91"/>
    <w:rsid w:val="002C3068"/>
    <w:rsid w:val="002C338E"/>
    <w:rsid w:val="002C377F"/>
    <w:rsid w:val="002C426E"/>
    <w:rsid w:val="002C433E"/>
    <w:rsid w:val="002C45D6"/>
    <w:rsid w:val="002C4987"/>
    <w:rsid w:val="002C4B5F"/>
    <w:rsid w:val="002C4B7D"/>
    <w:rsid w:val="002C4F90"/>
    <w:rsid w:val="002C4FD0"/>
    <w:rsid w:val="002C5A4D"/>
    <w:rsid w:val="002C5BD2"/>
    <w:rsid w:val="002C5EBC"/>
    <w:rsid w:val="002C6A7B"/>
    <w:rsid w:val="002C71EF"/>
    <w:rsid w:val="002D01F9"/>
    <w:rsid w:val="002D039B"/>
    <w:rsid w:val="002D07C2"/>
    <w:rsid w:val="002D08AF"/>
    <w:rsid w:val="002D0D6C"/>
    <w:rsid w:val="002D12EE"/>
    <w:rsid w:val="002D1B79"/>
    <w:rsid w:val="002D1ED4"/>
    <w:rsid w:val="002D2308"/>
    <w:rsid w:val="002D2DD4"/>
    <w:rsid w:val="002D32C1"/>
    <w:rsid w:val="002D3439"/>
    <w:rsid w:val="002D3567"/>
    <w:rsid w:val="002D363A"/>
    <w:rsid w:val="002D4020"/>
    <w:rsid w:val="002D42A3"/>
    <w:rsid w:val="002D447E"/>
    <w:rsid w:val="002D44A3"/>
    <w:rsid w:val="002D496B"/>
    <w:rsid w:val="002D4C80"/>
    <w:rsid w:val="002D4CBC"/>
    <w:rsid w:val="002D5767"/>
    <w:rsid w:val="002D5808"/>
    <w:rsid w:val="002D5B96"/>
    <w:rsid w:val="002D5E0C"/>
    <w:rsid w:val="002D5E1A"/>
    <w:rsid w:val="002D6789"/>
    <w:rsid w:val="002D6959"/>
    <w:rsid w:val="002D6D3C"/>
    <w:rsid w:val="002D7695"/>
    <w:rsid w:val="002D788B"/>
    <w:rsid w:val="002D79B6"/>
    <w:rsid w:val="002D7A7D"/>
    <w:rsid w:val="002D7E7E"/>
    <w:rsid w:val="002D7EF3"/>
    <w:rsid w:val="002E0168"/>
    <w:rsid w:val="002E0819"/>
    <w:rsid w:val="002E08D0"/>
    <w:rsid w:val="002E0B20"/>
    <w:rsid w:val="002E0C08"/>
    <w:rsid w:val="002E16AE"/>
    <w:rsid w:val="002E2825"/>
    <w:rsid w:val="002E2B59"/>
    <w:rsid w:val="002E2C7C"/>
    <w:rsid w:val="002E319B"/>
    <w:rsid w:val="002E3252"/>
    <w:rsid w:val="002E34C7"/>
    <w:rsid w:val="002E3624"/>
    <w:rsid w:val="002E37B0"/>
    <w:rsid w:val="002E39FD"/>
    <w:rsid w:val="002E4761"/>
    <w:rsid w:val="002E48EC"/>
    <w:rsid w:val="002E5C76"/>
    <w:rsid w:val="002E5E6F"/>
    <w:rsid w:val="002E603F"/>
    <w:rsid w:val="002E69CC"/>
    <w:rsid w:val="002E6AD9"/>
    <w:rsid w:val="002E6C76"/>
    <w:rsid w:val="002E73E2"/>
    <w:rsid w:val="002E751A"/>
    <w:rsid w:val="002E78E5"/>
    <w:rsid w:val="002E7945"/>
    <w:rsid w:val="002E7A71"/>
    <w:rsid w:val="002E7DF1"/>
    <w:rsid w:val="002E7E4A"/>
    <w:rsid w:val="002F08F4"/>
    <w:rsid w:val="002F0A74"/>
    <w:rsid w:val="002F0F33"/>
    <w:rsid w:val="002F0F5A"/>
    <w:rsid w:val="002F0F74"/>
    <w:rsid w:val="002F0F84"/>
    <w:rsid w:val="002F1304"/>
    <w:rsid w:val="002F1401"/>
    <w:rsid w:val="002F16A4"/>
    <w:rsid w:val="002F173F"/>
    <w:rsid w:val="002F174F"/>
    <w:rsid w:val="002F1868"/>
    <w:rsid w:val="002F1B38"/>
    <w:rsid w:val="002F1C75"/>
    <w:rsid w:val="002F1CB0"/>
    <w:rsid w:val="002F1DB1"/>
    <w:rsid w:val="002F2074"/>
    <w:rsid w:val="002F20D8"/>
    <w:rsid w:val="002F297B"/>
    <w:rsid w:val="002F3145"/>
    <w:rsid w:val="002F326D"/>
    <w:rsid w:val="002F33FF"/>
    <w:rsid w:val="002F3405"/>
    <w:rsid w:val="002F3852"/>
    <w:rsid w:val="002F4389"/>
    <w:rsid w:val="002F4529"/>
    <w:rsid w:val="002F4EFA"/>
    <w:rsid w:val="002F529F"/>
    <w:rsid w:val="002F5349"/>
    <w:rsid w:val="002F5A4C"/>
    <w:rsid w:val="002F5E00"/>
    <w:rsid w:val="002F638E"/>
    <w:rsid w:val="002F65D4"/>
    <w:rsid w:val="002F67C7"/>
    <w:rsid w:val="002F68A5"/>
    <w:rsid w:val="002F6D4D"/>
    <w:rsid w:val="002F6E50"/>
    <w:rsid w:val="002F7062"/>
    <w:rsid w:val="002F7290"/>
    <w:rsid w:val="002F72F8"/>
    <w:rsid w:val="002F7A7D"/>
    <w:rsid w:val="002F7CF0"/>
    <w:rsid w:val="002F7D73"/>
    <w:rsid w:val="003001D7"/>
    <w:rsid w:val="00300636"/>
    <w:rsid w:val="003007E0"/>
    <w:rsid w:val="00300DFA"/>
    <w:rsid w:val="00301610"/>
    <w:rsid w:val="00301710"/>
    <w:rsid w:val="0030173C"/>
    <w:rsid w:val="00301B94"/>
    <w:rsid w:val="00301C53"/>
    <w:rsid w:val="00302003"/>
    <w:rsid w:val="00302241"/>
    <w:rsid w:val="003024DB"/>
    <w:rsid w:val="0030253B"/>
    <w:rsid w:val="003025A6"/>
    <w:rsid w:val="0030276B"/>
    <w:rsid w:val="0030278E"/>
    <w:rsid w:val="003027C1"/>
    <w:rsid w:val="0030283B"/>
    <w:rsid w:val="003028CD"/>
    <w:rsid w:val="00303659"/>
    <w:rsid w:val="00303856"/>
    <w:rsid w:val="00304364"/>
    <w:rsid w:val="003050DC"/>
    <w:rsid w:val="00305835"/>
    <w:rsid w:val="003061C3"/>
    <w:rsid w:val="00306901"/>
    <w:rsid w:val="00306B16"/>
    <w:rsid w:val="00306C05"/>
    <w:rsid w:val="00306C97"/>
    <w:rsid w:val="00306DE1"/>
    <w:rsid w:val="00307014"/>
    <w:rsid w:val="00307181"/>
    <w:rsid w:val="003072AC"/>
    <w:rsid w:val="003072CB"/>
    <w:rsid w:val="003073B2"/>
    <w:rsid w:val="00307BD9"/>
    <w:rsid w:val="00310153"/>
    <w:rsid w:val="003101F6"/>
    <w:rsid w:val="003102FD"/>
    <w:rsid w:val="0031117C"/>
    <w:rsid w:val="0031156D"/>
    <w:rsid w:val="00311867"/>
    <w:rsid w:val="00311B52"/>
    <w:rsid w:val="003125DF"/>
    <w:rsid w:val="0031287A"/>
    <w:rsid w:val="003128F5"/>
    <w:rsid w:val="00312E77"/>
    <w:rsid w:val="00312E80"/>
    <w:rsid w:val="00312EC8"/>
    <w:rsid w:val="003130F2"/>
    <w:rsid w:val="00313542"/>
    <w:rsid w:val="0031375E"/>
    <w:rsid w:val="00313FE3"/>
    <w:rsid w:val="00314113"/>
    <w:rsid w:val="0031415B"/>
    <w:rsid w:val="003141C2"/>
    <w:rsid w:val="00314A3D"/>
    <w:rsid w:val="00314E0C"/>
    <w:rsid w:val="00315CFB"/>
    <w:rsid w:val="00315D6A"/>
    <w:rsid w:val="0031649F"/>
    <w:rsid w:val="00316634"/>
    <w:rsid w:val="0031704B"/>
    <w:rsid w:val="0031706D"/>
    <w:rsid w:val="003171C3"/>
    <w:rsid w:val="003172BD"/>
    <w:rsid w:val="0031747B"/>
    <w:rsid w:val="00317783"/>
    <w:rsid w:val="00317A87"/>
    <w:rsid w:val="0032024A"/>
    <w:rsid w:val="00320884"/>
    <w:rsid w:val="00320B23"/>
    <w:rsid w:val="00321EB6"/>
    <w:rsid w:val="00321EF6"/>
    <w:rsid w:val="00321FEA"/>
    <w:rsid w:val="00322A04"/>
    <w:rsid w:val="00322CC9"/>
    <w:rsid w:val="00323954"/>
    <w:rsid w:val="003239ED"/>
    <w:rsid w:val="00323F97"/>
    <w:rsid w:val="00324246"/>
    <w:rsid w:val="00324510"/>
    <w:rsid w:val="003246AE"/>
    <w:rsid w:val="003248E0"/>
    <w:rsid w:val="00324F54"/>
    <w:rsid w:val="0032501A"/>
    <w:rsid w:val="00325272"/>
    <w:rsid w:val="003257CF"/>
    <w:rsid w:val="00325D96"/>
    <w:rsid w:val="00325DB0"/>
    <w:rsid w:val="00325F38"/>
    <w:rsid w:val="00326210"/>
    <w:rsid w:val="003268C0"/>
    <w:rsid w:val="00326A63"/>
    <w:rsid w:val="00326B77"/>
    <w:rsid w:val="00326D6E"/>
    <w:rsid w:val="00327600"/>
    <w:rsid w:val="00327665"/>
    <w:rsid w:val="00327DE2"/>
    <w:rsid w:val="0033050A"/>
    <w:rsid w:val="00330A74"/>
    <w:rsid w:val="00331E2F"/>
    <w:rsid w:val="00331F57"/>
    <w:rsid w:val="0033253B"/>
    <w:rsid w:val="00333540"/>
    <w:rsid w:val="00333572"/>
    <w:rsid w:val="00333650"/>
    <w:rsid w:val="00333716"/>
    <w:rsid w:val="00333737"/>
    <w:rsid w:val="00333922"/>
    <w:rsid w:val="00333BB5"/>
    <w:rsid w:val="0033442D"/>
    <w:rsid w:val="003350E9"/>
    <w:rsid w:val="003352FF"/>
    <w:rsid w:val="003353DB"/>
    <w:rsid w:val="00336444"/>
    <w:rsid w:val="003366C8"/>
    <w:rsid w:val="003366EC"/>
    <w:rsid w:val="00336DAD"/>
    <w:rsid w:val="00337886"/>
    <w:rsid w:val="00337BDC"/>
    <w:rsid w:val="00337DB5"/>
    <w:rsid w:val="00340082"/>
    <w:rsid w:val="003404F1"/>
    <w:rsid w:val="00340740"/>
    <w:rsid w:val="00340941"/>
    <w:rsid w:val="00340B7D"/>
    <w:rsid w:val="0034106A"/>
    <w:rsid w:val="00341257"/>
    <w:rsid w:val="003413FD"/>
    <w:rsid w:val="003414D2"/>
    <w:rsid w:val="003419B9"/>
    <w:rsid w:val="00341A16"/>
    <w:rsid w:val="00341E64"/>
    <w:rsid w:val="00341FC6"/>
    <w:rsid w:val="003424F6"/>
    <w:rsid w:val="00342562"/>
    <w:rsid w:val="003428A8"/>
    <w:rsid w:val="003429B0"/>
    <w:rsid w:val="00342A0F"/>
    <w:rsid w:val="00342AE9"/>
    <w:rsid w:val="00342C19"/>
    <w:rsid w:val="00343946"/>
    <w:rsid w:val="003444B4"/>
    <w:rsid w:val="0034453F"/>
    <w:rsid w:val="00344E2B"/>
    <w:rsid w:val="00344EEB"/>
    <w:rsid w:val="003450FE"/>
    <w:rsid w:val="003458FB"/>
    <w:rsid w:val="00345DBA"/>
    <w:rsid w:val="00345F42"/>
    <w:rsid w:val="00346C9D"/>
    <w:rsid w:val="00347033"/>
    <w:rsid w:val="00347486"/>
    <w:rsid w:val="0034771F"/>
    <w:rsid w:val="00347973"/>
    <w:rsid w:val="003479D6"/>
    <w:rsid w:val="00347CAB"/>
    <w:rsid w:val="00347D33"/>
    <w:rsid w:val="00347DDB"/>
    <w:rsid w:val="00347FA4"/>
    <w:rsid w:val="0035099D"/>
    <w:rsid w:val="003509A4"/>
    <w:rsid w:val="003509B2"/>
    <w:rsid w:val="00350DFD"/>
    <w:rsid w:val="0035104D"/>
    <w:rsid w:val="003522DE"/>
    <w:rsid w:val="00352D98"/>
    <w:rsid w:val="00352E50"/>
    <w:rsid w:val="003532DF"/>
    <w:rsid w:val="003533F6"/>
    <w:rsid w:val="003535D2"/>
    <w:rsid w:val="00353687"/>
    <w:rsid w:val="0035388B"/>
    <w:rsid w:val="00353A33"/>
    <w:rsid w:val="00353BF9"/>
    <w:rsid w:val="00353F22"/>
    <w:rsid w:val="00354048"/>
    <w:rsid w:val="003544B6"/>
    <w:rsid w:val="00354C06"/>
    <w:rsid w:val="0035559C"/>
    <w:rsid w:val="00355833"/>
    <w:rsid w:val="00355D7B"/>
    <w:rsid w:val="00355F2B"/>
    <w:rsid w:val="0035614B"/>
    <w:rsid w:val="0035615B"/>
    <w:rsid w:val="003562FD"/>
    <w:rsid w:val="0035649D"/>
    <w:rsid w:val="00356A88"/>
    <w:rsid w:val="00357089"/>
    <w:rsid w:val="00357218"/>
    <w:rsid w:val="00357838"/>
    <w:rsid w:val="00360483"/>
    <w:rsid w:val="00360522"/>
    <w:rsid w:val="00360EC1"/>
    <w:rsid w:val="0036146C"/>
    <w:rsid w:val="00362CB5"/>
    <w:rsid w:val="00363030"/>
    <w:rsid w:val="0036309E"/>
    <w:rsid w:val="00363367"/>
    <w:rsid w:val="00363C37"/>
    <w:rsid w:val="00363EE2"/>
    <w:rsid w:val="003640DA"/>
    <w:rsid w:val="00364176"/>
    <w:rsid w:val="0036480F"/>
    <w:rsid w:val="003654A5"/>
    <w:rsid w:val="003654AC"/>
    <w:rsid w:val="0036601B"/>
    <w:rsid w:val="0036620A"/>
    <w:rsid w:val="00366386"/>
    <w:rsid w:val="003663B6"/>
    <w:rsid w:val="0036653C"/>
    <w:rsid w:val="00366636"/>
    <w:rsid w:val="00366905"/>
    <w:rsid w:val="00366EAC"/>
    <w:rsid w:val="003676EB"/>
    <w:rsid w:val="003678FF"/>
    <w:rsid w:val="00367C4E"/>
    <w:rsid w:val="00367FBD"/>
    <w:rsid w:val="003703D5"/>
    <w:rsid w:val="003706FE"/>
    <w:rsid w:val="00370E6B"/>
    <w:rsid w:val="00370F06"/>
    <w:rsid w:val="003714B0"/>
    <w:rsid w:val="00371668"/>
    <w:rsid w:val="00371AEB"/>
    <w:rsid w:val="00371B9F"/>
    <w:rsid w:val="00371E77"/>
    <w:rsid w:val="00372168"/>
    <w:rsid w:val="0037287C"/>
    <w:rsid w:val="00372E65"/>
    <w:rsid w:val="00373018"/>
    <w:rsid w:val="0037369E"/>
    <w:rsid w:val="003745A7"/>
    <w:rsid w:val="003749A4"/>
    <w:rsid w:val="0037530F"/>
    <w:rsid w:val="0037554B"/>
    <w:rsid w:val="003757BC"/>
    <w:rsid w:val="00375F0C"/>
    <w:rsid w:val="00376058"/>
    <w:rsid w:val="00376AA8"/>
    <w:rsid w:val="00376B23"/>
    <w:rsid w:val="00377425"/>
    <w:rsid w:val="00377F06"/>
    <w:rsid w:val="00377FFD"/>
    <w:rsid w:val="00380226"/>
    <w:rsid w:val="0038078C"/>
    <w:rsid w:val="00381421"/>
    <w:rsid w:val="0038157E"/>
    <w:rsid w:val="003821B4"/>
    <w:rsid w:val="003823A3"/>
    <w:rsid w:val="00382436"/>
    <w:rsid w:val="003826A8"/>
    <w:rsid w:val="003826AF"/>
    <w:rsid w:val="00382BE1"/>
    <w:rsid w:val="0038320A"/>
    <w:rsid w:val="0038320B"/>
    <w:rsid w:val="00383332"/>
    <w:rsid w:val="00383394"/>
    <w:rsid w:val="00383821"/>
    <w:rsid w:val="00383883"/>
    <w:rsid w:val="00383F42"/>
    <w:rsid w:val="00383F96"/>
    <w:rsid w:val="00384590"/>
    <w:rsid w:val="00384DBE"/>
    <w:rsid w:val="00385082"/>
    <w:rsid w:val="0038590B"/>
    <w:rsid w:val="00385983"/>
    <w:rsid w:val="00385E74"/>
    <w:rsid w:val="00385FD9"/>
    <w:rsid w:val="0038661F"/>
    <w:rsid w:val="00386695"/>
    <w:rsid w:val="003866D9"/>
    <w:rsid w:val="00386949"/>
    <w:rsid w:val="00386AD7"/>
    <w:rsid w:val="00386F8C"/>
    <w:rsid w:val="00387870"/>
    <w:rsid w:val="00387D0B"/>
    <w:rsid w:val="00387DEC"/>
    <w:rsid w:val="00387F50"/>
    <w:rsid w:val="003900F4"/>
    <w:rsid w:val="00390320"/>
    <w:rsid w:val="003912BF"/>
    <w:rsid w:val="00391647"/>
    <w:rsid w:val="0039165A"/>
    <w:rsid w:val="00391E0E"/>
    <w:rsid w:val="00392190"/>
    <w:rsid w:val="0039221F"/>
    <w:rsid w:val="00392562"/>
    <w:rsid w:val="003926CA"/>
    <w:rsid w:val="00392711"/>
    <w:rsid w:val="00392715"/>
    <w:rsid w:val="00392B29"/>
    <w:rsid w:val="00392CFB"/>
    <w:rsid w:val="00392FFF"/>
    <w:rsid w:val="0039317F"/>
    <w:rsid w:val="003936F0"/>
    <w:rsid w:val="0039389F"/>
    <w:rsid w:val="0039467E"/>
    <w:rsid w:val="00394693"/>
    <w:rsid w:val="00394C8C"/>
    <w:rsid w:val="00394E09"/>
    <w:rsid w:val="00395D99"/>
    <w:rsid w:val="00395E00"/>
    <w:rsid w:val="0039608F"/>
    <w:rsid w:val="003961C6"/>
    <w:rsid w:val="00396743"/>
    <w:rsid w:val="003971F8"/>
    <w:rsid w:val="0039762A"/>
    <w:rsid w:val="003A06EE"/>
    <w:rsid w:val="003A0E03"/>
    <w:rsid w:val="003A116F"/>
    <w:rsid w:val="003A1268"/>
    <w:rsid w:val="003A1531"/>
    <w:rsid w:val="003A1981"/>
    <w:rsid w:val="003A1BE9"/>
    <w:rsid w:val="003A2020"/>
    <w:rsid w:val="003A22F5"/>
    <w:rsid w:val="003A26AD"/>
    <w:rsid w:val="003A29F8"/>
    <w:rsid w:val="003A2E7A"/>
    <w:rsid w:val="003A310D"/>
    <w:rsid w:val="003A35C8"/>
    <w:rsid w:val="003A3673"/>
    <w:rsid w:val="003A3869"/>
    <w:rsid w:val="003A3B4C"/>
    <w:rsid w:val="003A3F7D"/>
    <w:rsid w:val="003A3FD9"/>
    <w:rsid w:val="003A4234"/>
    <w:rsid w:val="003A475A"/>
    <w:rsid w:val="003A4C03"/>
    <w:rsid w:val="003A5041"/>
    <w:rsid w:val="003A574B"/>
    <w:rsid w:val="003A5796"/>
    <w:rsid w:val="003A5AF8"/>
    <w:rsid w:val="003A5CE6"/>
    <w:rsid w:val="003A5F34"/>
    <w:rsid w:val="003A613C"/>
    <w:rsid w:val="003A6245"/>
    <w:rsid w:val="003A6DDD"/>
    <w:rsid w:val="003A6E82"/>
    <w:rsid w:val="003A7077"/>
    <w:rsid w:val="003A762E"/>
    <w:rsid w:val="003A781E"/>
    <w:rsid w:val="003A796C"/>
    <w:rsid w:val="003B0572"/>
    <w:rsid w:val="003B085E"/>
    <w:rsid w:val="003B08BA"/>
    <w:rsid w:val="003B0D1B"/>
    <w:rsid w:val="003B0DBA"/>
    <w:rsid w:val="003B13EA"/>
    <w:rsid w:val="003B1A9D"/>
    <w:rsid w:val="003B1E4A"/>
    <w:rsid w:val="003B1EF9"/>
    <w:rsid w:val="003B2326"/>
    <w:rsid w:val="003B2647"/>
    <w:rsid w:val="003B268A"/>
    <w:rsid w:val="003B271E"/>
    <w:rsid w:val="003B27DE"/>
    <w:rsid w:val="003B2B19"/>
    <w:rsid w:val="003B2C85"/>
    <w:rsid w:val="003B315C"/>
    <w:rsid w:val="003B3364"/>
    <w:rsid w:val="003B354D"/>
    <w:rsid w:val="003B3741"/>
    <w:rsid w:val="003B3CA5"/>
    <w:rsid w:val="003B3E55"/>
    <w:rsid w:val="003B589D"/>
    <w:rsid w:val="003B63F4"/>
    <w:rsid w:val="003B6406"/>
    <w:rsid w:val="003B65C7"/>
    <w:rsid w:val="003B6BC9"/>
    <w:rsid w:val="003B792B"/>
    <w:rsid w:val="003C04C1"/>
    <w:rsid w:val="003C0792"/>
    <w:rsid w:val="003C08F6"/>
    <w:rsid w:val="003C1710"/>
    <w:rsid w:val="003C1F86"/>
    <w:rsid w:val="003C2309"/>
    <w:rsid w:val="003C2479"/>
    <w:rsid w:val="003C24B2"/>
    <w:rsid w:val="003C2B6A"/>
    <w:rsid w:val="003C3166"/>
    <w:rsid w:val="003C3367"/>
    <w:rsid w:val="003C3504"/>
    <w:rsid w:val="003C397D"/>
    <w:rsid w:val="003C3B98"/>
    <w:rsid w:val="003C3E42"/>
    <w:rsid w:val="003C408B"/>
    <w:rsid w:val="003C451C"/>
    <w:rsid w:val="003C45F1"/>
    <w:rsid w:val="003C4B3E"/>
    <w:rsid w:val="003C4BD3"/>
    <w:rsid w:val="003C4CC4"/>
    <w:rsid w:val="003C4DD3"/>
    <w:rsid w:val="003C51BE"/>
    <w:rsid w:val="003C53C6"/>
    <w:rsid w:val="003C54A0"/>
    <w:rsid w:val="003C66B5"/>
    <w:rsid w:val="003C6B23"/>
    <w:rsid w:val="003C7210"/>
    <w:rsid w:val="003C7F2F"/>
    <w:rsid w:val="003C7FFA"/>
    <w:rsid w:val="003D051F"/>
    <w:rsid w:val="003D0689"/>
    <w:rsid w:val="003D06A4"/>
    <w:rsid w:val="003D0B84"/>
    <w:rsid w:val="003D0D16"/>
    <w:rsid w:val="003D16FB"/>
    <w:rsid w:val="003D1825"/>
    <w:rsid w:val="003D18F0"/>
    <w:rsid w:val="003D20CA"/>
    <w:rsid w:val="003D21F0"/>
    <w:rsid w:val="003D2C3A"/>
    <w:rsid w:val="003D2CE2"/>
    <w:rsid w:val="003D38EF"/>
    <w:rsid w:val="003D3CA4"/>
    <w:rsid w:val="003D3EC9"/>
    <w:rsid w:val="003D3FA7"/>
    <w:rsid w:val="003D450D"/>
    <w:rsid w:val="003D47E7"/>
    <w:rsid w:val="003D49CF"/>
    <w:rsid w:val="003D4BF7"/>
    <w:rsid w:val="003D4E01"/>
    <w:rsid w:val="003D543F"/>
    <w:rsid w:val="003D6008"/>
    <w:rsid w:val="003D606D"/>
    <w:rsid w:val="003D6144"/>
    <w:rsid w:val="003D6239"/>
    <w:rsid w:val="003D689B"/>
    <w:rsid w:val="003D702F"/>
    <w:rsid w:val="003D7B5E"/>
    <w:rsid w:val="003D7E3B"/>
    <w:rsid w:val="003E0027"/>
    <w:rsid w:val="003E00AE"/>
    <w:rsid w:val="003E0561"/>
    <w:rsid w:val="003E0938"/>
    <w:rsid w:val="003E1285"/>
    <w:rsid w:val="003E154D"/>
    <w:rsid w:val="003E1550"/>
    <w:rsid w:val="003E1EA0"/>
    <w:rsid w:val="003E23E5"/>
    <w:rsid w:val="003E24BD"/>
    <w:rsid w:val="003E2606"/>
    <w:rsid w:val="003E27F6"/>
    <w:rsid w:val="003E34C1"/>
    <w:rsid w:val="003E3A97"/>
    <w:rsid w:val="003E3C76"/>
    <w:rsid w:val="003E3EDB"/>
    <w:rsid w:val="003E3FD2"/>
    <w:rsid w:val="003E46DC"/>
    <w:rsid w:val="003E4DE8"/>
    <w:rsid w:val="003E4FF5"/>
    <w:rsid w:val="003E54E0"/>
    <w:rsid w:val="003E57F4"/>
    <w:rsid w:val="003E5A13"/>
    <w:rsid w:val="003E5A66"/>
    <w:rsid w:val="003E5C04"/>
    <w:rsid w:val="003E5F31"/>
    <w:rsid w:val="003E6091"/>
    <w:rsid w:val="003E62B5"/>
    <w:rsid w:val="003E6EEC"/>
    <w:rsid w:val="003E7AED"/>
    <w:rsid w:val="003F0755"/>
    <w:rsid w:val="003F07C7"/>
    <w:rsid w:val="003F0E52"/>
    <w:rsid w:val="003F1A53"/>
    <w:rsid w:val="003F1BBC"/>
    <w:rsid w:val="003F2903"/>
    <w:rsid w:val="003F34B6"/>
    <w:rsid w:val="003F3648"/>
    <w:rsid w:val="003F36AC"/>
    <w:rsid w:val="003F3B4B"/>
    <w:rsid w:val="003F3E84"/>
    <w:rsid w:val="003F4007"/>
    <w:rsid w:val="003F46DE"/>
    <w:rsid w:val="003F49F1"/>
    <w:rsid w:val="003F4D69"/>
    <w:rsid w:val="003F4E91"/>
    <w:rsid w:val="003F4EB2"/>
    <w:rsid w:val="003F4ED7"/>
    <w:rsid w:val="003F51B2"/>
    <w:rsid w:val="003F5205"/>
    <w:rsid w:val="003F588A"/>
    <w:rsid w:val="003F5C79"/>
    <w:rsid w:val="003F61D6"/>
    <w:rsid w:val="003F6460"/>
    <w:rsid w:val="003F64C6"/>
    <w:rsid w:val="003F676A"/>
    <w:rsid w:val="003F6CA4"/>
    <w:rsid w:val="003F6E38"/>
    <w:rsid w:val="003F77F4"/>
    <w:rsid w:val="003F7842"/>
    <w:rsid w:val="003F7D62"/>
    <w:rsid w:val="0040021E"/>
    <w:rsid w:val="00400857"/>
    <w:rsid w:val="00400CBD"/>
    <w:rsid w:val="00401651"/>
    <w:rsid w:val="004018C6"/>
    <w:rsid w:val="00401D30"/>
    <w:rsid w:val="00401EE9"/>
    <w:rsid w:val="00401F4D"/>
    <w:rsid w:val="0040212E"/>
    <w:rsid w:val="00402475"/>
    <w:rsid w:val="004029A0"/>
    <w:rsid w:val="00402E04"/>
    <w:rsid w:val="00402E33"/>
    <w:rsid w:val="00403105"/>
    <w:rsid w:val="004037CC"/>
    <w:rsid w:val="004038ED"/>
    <w:rsid w:val="004041CC"/>
    <w:rsid w:val="00404BE1"/>
    <w:rsid w:val="00404C54"/>
    <w:rsid w:val="00404C76"/>
    <w:rsid w:val="00404D1D"/>
    <w:rsid w:val="00405459"/>
    <w:rsid w:val="004057B7"/>
    <w:rsid w:val="00405D02"/>
    <w:rsid w:val="00405D91"/>
    <w:rsid w:val="00405E7E"/>
    <w:rsid w:val="00405FF9"/>
    <w:rsid w:val="00406004"/>
    <w:rsid w:val="004068FB"/>
    <w:rsid w:val="00406954"/>
    <w:rsid w:val="00407504"/>
    <w:rsid w:val="0040751C"/>
    <w:rsid w:val="00407747"/>
    <w:rsid w:val="0040783D"/>
    <w:rsid w:val="0040794A"/>
    <w:rsid w:val="00410034"/>
    <w:rsid w:val="0041058D"/>
    <w:rsid w:val="00410771"/>
    <w:rsid w:val="004108AE"/>
    <w:rsid w:val="00410903"/>
    <w:rsid w:val="00410A71"/>
    <w:rsid w:val="00410BFC"/>
    <w:rsid w:val="004116FC"/>
    <w:rsid w:val="0041178B"/>
    <w:rsid w:val="0041180E"/>
    <w:rsid w:val="00411880"/>
    <w:rsid w:val="00411CC9"/>
    <w:rsid w:val="00411CEE"/>
    <w:rsid w:val="00411D7D"/>
    <w:rsid w:val="004122FD"/>
    <w:rsid w:val="0041289E"/>
    <w:rsid w:val="00412997"/>
    <w:rsid w:val="004130F0"/>
    <w:rsid w:val="0041398C"/>
    <w:rsid w:val="00413AB3"/>
    <w:rsid w:val="00413D65"/>
    <w:rsid w:val="00414974"/>
    <w:rsid w:val="00414B5F"/>
    <w:rsid w:val="00415130"/>
    <w:rsid w:val="004151FC"/>
    <w:rsid w:val="0041522D"/>
    <w:rsid w:val="004168C4"/>
    <w:rsid w:val="00416D36"/>
    <w:rsid w:val="00416EF1"/>
    <w:rsid w:val="00417293"/>
    <w:rsid w:val="0041763F"/>
    <w:rsid w:val="004178FB"/>
    <w:rsid w:val="004179D3"/>
    <w:rsid w:val="00417F98"/>
    <w:rsid w:val="00420049"/>
    <w:rsid w:val="0042050A"/>
    <w:rsid w:val="00420619"/>
    <w:rsid w:val="004215BA"/>
    <w:rsid w:val="004216ED"/>
    <w:rsid w:val="00421935"/>
    <w:rsid w:val="004219A0"/>
    <w:rsid w:val="00421AA3"/>
    <w:rsid w:val="00421BE5"/>
    <w:rsid w:val="00421F12"/>
    <w:rsid w:val="00422BC1"/>
    <w:rsid w:val="00422F62"/>
    <w:rsid w:val="00423320"/>
    <w:rsid w:val="00423B66"/>
    <w:rsid w:val="00423D93"/>
    <w:rsid w:val="0042448C"/>
    <w:rsid w:val="0042468F"/>
    <w:rsid w:val="004246B4"/>
    <w:rsid w:val="004248C9"/>
    <w:rsid w:val="00424F11"/>
    <w:rsid w:val="004253EF"/>
    <w:rsid w:val="00425A39"/>
    <w:rsid w:val="00425BF1"/>
    <w:rsid w:val="00425E4A"/>
    <w:rsid w:val="00425E79"/>
    <w:rsid w:val="00426C77"/>
    <w:rsid w:val="00426FEC"/>
    <w:rsid w:val="004272BA"/>
    <w:rsid w:val="00427539"/>
    <w:rsid w:val="00427687"/>
    <w:rsid w:val="004302CE"/>
    <w:rsid w:val="004305EF"/>
    <w:rsid w:val="0043061F"/>
    <w:rsid w:val="004306C0"/>
    <w:rsid w:val="00430CA4"/>
    <w:rsid w:val="00431189"/>
    <w:rsid w:val="0043182B"/>
    <w:rsid w:val="004328ED"/>
    <w:rsid w:val="00432EB2"/>
    <w:rsid w:val="00433673"/>
    <w:rsid w:val="0043398E"/>
    <w:rsid w:val="00433C2C"/>
    <w:rsid w:val="00433ED2"/>
    <w:rsid w:val="0043460F"/>
    <w:rsid w:val="0043498F"/>
    <w:rsid w:val="00434CA7"/>
    <w:rsid w:val="00435194"/>
    <w:rsid w:val="0043597B"/>
    <w:rsid w:val="00436354"/>
    <w:rsid w:val="0043653F"/>
    <w:rsid w:val="00436612"/>
    <w:rsid w:val="00436673"/>
    <w:rsid w:val="004367CA"/>
    <w:rsid w:val="00436994"/>
    <w:rsid w:val="004371A7"/>
    <w:rsid w:val="004373CD"/>
    <w:rsid w:val="00437424"/>
    <w:rsid w:val="00437E7A"/>
    <w:rsid w:val="0044046F"/>
    <w:rsid w:val="00441493"/>
    <w:rsid w:val="004415CA"/>
    <w:rsid w:val="00441F71"/>
    <w:rsid w:val="004420B0"/>
    <w:rsid w:val="00442395"/>
    <w:rsid w:val="004425BC"/>
    <w:rsid w:val="004425FF"/>
    <w:rsid w:val="00442931"/>
    <w:rsid w:val="004429A8"/>
    <w:rsid w:val="0044359C"/>
    <w:rsid w:val="00443ED6"/>
    <w:rsid w:val="0044418F"/>
    <w:rsid w:val="00444378"/>
    <w:rsid w:val="004448A5"/>
    <w:rsid w:val="00444C18"/>
    <w:rsid w:val="00444ED2"/>
    <w:rsid w:val="00445AED"/>
    <w:rsid w:val="00446101"/>
    <w:rsid w:val="00446189"/>
    <w:rsid w:val="00446AF1"/>
    <w:rsid w:val="00446FA6"/>
    <w:rsid w:val="00447842"/>
    <w:rsid w:val="00447852"/>
    <w:rsid w:val="004479C8"/>
    <w:rsid w:val="00447B87"/>
    <w:rsid w:val="00447D93"/>
    <w:rsid w:val="00447E59"/>
    <w:rsid w:val="00447E95"/>
    <w:rsid w:val="0045027B"/>
    <w:rsid w:val="0045097D"/>
    <w:rsid w:val="00450EA7"/>
    <w:rsid w:val="0045106D"/>
    <w:rsid w:val="00451138"/>
    <w:rsid w:val="004512D7"/>
    <w:rsid w:val="0045161A"/>
    <w:rsid w:val="00451AA6"/>
    <w:rsid w:val="00451AD7"/>
    <w:rsid w:val="00451B0E"/>
    <w:rsid w:val="00452118"/>
    <w:rsid w:val="00452F94"/>
    <w:rsid w:val="00453073"/>
    <w:rsid w:val="0045376E"/>
    <w:rsid w:val="004538D4"/>
    <w:rsid w:val="00453C89"/>
    <w:rsid w:val="00453F7B"/>
    <w:rsid w:val="004546AC"/>
    <w:rsid w:val="00454E04"/>
    <w:rsid w:val="00454F50"/>
    <w:rsid w:val="004554DF"/>
    <w:rsid w:val="00455661"/>
    <w:rsid w:val="00455B5A"/>
    <w:rsid w:val="00455F7D"/>
    <w:rsid w:val="004562BE"/>
    <w:rsid w:val="00456364"/>
    <w:rsid w:val="00456BB2"/>
    <w:rsid w:val="004574B8"/>
    <w:rsid w:val="00460093"/>
    <w:rsid w:val="00460308"/>
    <w:rsid w:val="004609FE"/>
    <w:rsid w:val="00461618"/>
    <w:rsid w:val="00462A0E"/>
    <w:rsid w:val="00463083"/>
    <w:rsid w:val="0046358B"/>
    <w:rsid w:val="00463ED8"/>
    <w:rsid w:val="00464C5D"/>
    <w:rsid w:val="00464CA7"/>
    <w:rsid w:val="00464EA1"/>
    <w:rsid w:val="00465EFB"/>
    <w:rsid w:val="00466823"/>
    <w:rsid w:val="004668DE"/>
    <w:rsid w:val="00466A09"/>
    <w:rsid w:val="00466A9F"/>
    <w:rsid w:val="00467329"/>
    <w:rsid w:val="00467CE1"/>
    <w:rsid w:val="004705C6"/>
    <w:rsid w:val="00470AFD"/>
    <w:rsid w:val="0047124A"/>
    <w:rsid w:val="00471370"/>
    <w:rsid w:val="004714CA"/>
    <w:rsid w:val="004715DB"/>
    <w:rsid w:val="00471657"/>
    <w:rsid w:val="00471D03"/>
    <w:rsid w:val="00472AF8"/>
    <w:rsid w:val="00473377"/>
    <w:rsid w:val="004736BA"/>
    <w:rsid w:val="00473A2D"/>
    <w:rsid w:val="0047497F"/>
    <w:rsid w:val="00474D95"/>
    <w:rsid w:val="00475106"/>
    <w:rsid w:val="00475849"/>
    <w:rsid w:val="00475BE9"/>
    <w:rsid w:val="00476662"/>
    <w:rsid w:val="0047697A"/>
    <w:rsid w:val="00476E5A"/>
    <w:rsid w:val="0047756B"/>
    <w:rsid w:val="00477708"/>
    <w:rsid w:val="00477B54"/>
    <w:rsid w:val="00477FAC"/>
    <w:rsid w:val="004801C0"/>
    <w:rsid w:val="0048034F"/>
    <w:rsid w:val="004806E5"/>
    <w:rsid w:val="00480806"/>
    <w:rsid w:val="004810D8"/>
    <w:rsid w:val="00481522"/>
    <w:rsid w:val="00481C33"/>
    <w:rsid w:val="00481D09"/>
    <w:rsid w:val="00481D22"/>
    <w:rsid w:val="00481EB7"/>
    <w:rsid w:val="0048238A"/>
    <w:rsid w:val="0048244D"/>
    <w:rsid w:val="004828FB"/>
    <w:rsid w:val="00483695"/>
    <w:rsid w:val="004839A7"/>
    <w:rsid w:val="00483D69"/>
    <w:rsid w:val="004842D1"/>
    <w:rsid w:val="00484AC4"/>
    <w:rsid w:val="0048512D"/>
    <w:rsid w:val="004855DD"/>
    <w:rsid w:val="00485789"/>
    <w:rsid w:val="00485CC4"/>
    <w:rsid w:val="00485CCE"/>
    <w:rsid w:val="0048664C"/>
    <w:rsid w:val="00486D81"/>
    <w:rsid w:val="00487753"/>
    <w:rsid w:val="00487BE2"/>
    <w:rsid w:val="00487FE4"/>
    <w:rsid w:val="00490AF8"/>
    <w:rsid w:val="00490C1E"/>
    <w:rsid w:val="00490E79"/>
    <w:rsid w:val="00490F7B"/>
    <w:rsid w:val="0049122F"/>
    <w:rsid w:val="00491248"/>
    <w:rsid w:val="004915F8"/>
    <w:rsid w:val="004924F0"/>
    <w:rsid w:val="004926C9"/>
    <w:rsid w:val="00492AC5"/>
    <w:rsid w:val="00494052"/>
    <w:rsid w:val="004944CE"/>
    <w:rsid w:val="00494588"/>
    <w:rsid w:val="00494A48"/>
    <w:rsid w:val="00494D21"/>
    <w:rsid w:val="00494F94"/>
    <w:rsid w:val="00495014"/>
    <w:rsid w:val="004953FB"/>
    <w:rsid w:val="00495DD9"/>
    <w:rsid w:val="00495E11"/>
    <w:rsid w:val="00495FEF"/>
    <w:rsid w:val="00496200"/>
    <w:rsid w:val="004963BD"/>
    <w:rsid w:val="0049668C"/>
    <w:rsid w:val="0049678F"/>
    <w:rsid w:val="0049691E"/>
    <w:rsid w:val="00496B20"/>
    <w:rsid w:val="00496F0D"/>
    <w:rsid w:val="00496F55"/>
    <w:rsid w:val="0049757B"/>
    <w:rsid w:val="00497722"/>
    <w:rsid w:val="004A0767"/>
    <w:rsid w:val="004A0C85"/>
    <w:rsid w:val="004A0F9A"/>
    <w:rsid w:val="004A1182"/>
    <w:rsid w:val="004A17AF"/>
    <w:rsid w:val="004A1A06"/>
    <w:rsid w:val="004A268A"/>
    <w:rsid w:val="004A2D84"/>
    <w:rsid w:val="004A2E8A"/>
    <w:rsid w:val="004A338C"/>
    <w:rsid w:val="004A35FF"/>
    <w:rsid w:val="004A3612"/>
    <w:rsid w:val="004A3C08"/>
    <w:rsid w:val="004A3DFF"/>
    <w:rsid w:val="004A41BB"/>
    <w:rsid w:val="004A4406"/>
    <w:rsid w:val="004A4D23"/>
    <w:rsid w:val="004A511E"/>
    <w:rsid w:val="004A53B3"/>
    <w:rsid w:val="004A552D"/>
    <w:rsid w:val="004A5F55"/>
    <w:rsid w:val="004A5F9B"/>
    <w:rsid w:val="004A69B9"/>
    <w:rsid w:val="004A77B4"/>
    <w:rsid w:val="004A79C3"/>
    <w:rsid w:val="004A7A5F"/>
    <w:rsid w:val="004A7B42"/>
    <w:rsid w:val="004A7D10"/>
    <w:rsid w:val="004B0679"/>
    <w:rsid w:val="004B0971"/>
    <w:rsid w:val="004B0BEB"/>
    <w:rsid w:val="004B127F"/>
    <w:rsid w:val="004B15CB"/>
    <w:rsid w:val="004B2CE7"/>
    <w:rsid w:val="004B35C5"/>
    <w:rsid w:val="004B35F8"/>
    <w:rsid w:val="004B37A1"/>
    <w:rsid w:val="004B3A8F"/>
    <w:rsid w:val="004B59FE"/>
    <w:rsid w:val="004B5A32"/>
    <w:rsid w:val="004B5A61"/>
    <w:rsid w:val="004B66CE"/>
    <w:rsid w:val="004B6B47"/>
    <w:rsid w:val="004B6E25"/>
    <w:rsid w:val="004B6EF7"/>
    <w:rsid w:val="004B720D"/>
    <w:rsid w:val="004B7491"/>
    <w:rsid w:val="004B74FA"/>
    <w:rsid w:val="004B774D"/>
    <w:rsid w:val="004B7865"/>
    <w:rsid w:val="004B7E50"/>
    <w:rsid w:val="004B7F01"/>
    <w:rsid w:val="004C063A"/>
    <w:rsid w:val="004C0BE2"/>
    <w:rsid w:val="004C17A2"/>
    <w:rsid w:val="004C1973"/>
    <w:rsid w:val="004C1D0C"/>
    <w:rsid w:val="004C1F42"/>
    <w:rsid w:val="004C20BB"/>
    <w:rsid w:val="004C266C"/>
    <w:rsid w:val="004C27BD"/>
    <w:rsid w:val="004C2F50"/>
    <w:rsid w:val="004C33CA"/>
    <w:rsid w:val="004C3E0F"/>
    <w:rsid w:val="004C3F00"/>
    <w:rsid w:val="004C5264"/>
    <w:rsid w:val="004C52B7"/>
    <w:rsid w:val="004C55E2"/>
    <w:rsid w:val="004C5666"/>
    <w:rsid w:val="004C584B"/>
    <w:rsid w:val="004C597F"/>
    <w:rsid w:val="004C5DB8"/>
    <w:rsid w:val="004C6044"/>
    <w:rsid w:val="004C644E"/>
    <w:rsid w:val="004C67CE"/>
    <w:rsid w:val="004C692B"/>
    <w:rsid w:val="004C698F"/>
    <w:rsid w:val="004C6B2F"/>
    <w:rsid w:val="004C6BBA"/>
    <w:rsid w:val="004C6D35"/>
    <w:rsid w:val="004C747D"/>
    <w:rsid w:val="004C7892"/>
    <w:rsid w:val="004C7A70"/>
    <w:rsid w:val="004C7AC7"/>
    <w:rsid w:val="004D048A"/>
    <w:rsid w:val="004D0532"/>
    <w:rsid w:val="004D07DA"/>
    <w:rsid w:val="004D1314"/>
    <w:rsid w:val="004D154F"/>
    <w:rsid w:val="004D2D60"/>
    <w:rsid w:val="004D31BC"/>
    <w:rsid w:val="004D3678"/>
    <w:rsid w:val="004D37DF"/>
    <w:rsid w:val="004D3DD7"/>
    <w:rsid w:val="004D3ECB"/>
    <w:rsid w:val="004D430E"/>
    <w:rsid w:val="004D47BF"/>
    <w:rsid w:val="004D47DB"/>
    <w:rsid w:val="004D4D49"/>
    <w:rsid w:val="004D52B0"/>
    <w:rsid w:val="004D5544"/>
    <w:rsid w:val="004D5A2A"/>
    <w:rsid w:val="004D5CFC"/>
    <w:rsid w:val="004D633D"/>
    <w:rsid w:val="004D6548"/>
    <w:rsid w:val="004D6714"/>
    <w:rsid w:val="004D6948"/>
    <w:rsid w:val="004D6D4A"/>
    <w:rsid w:val="004D71A3"/>
    <w:rsid w:val="004D72B0"/>
    <w:rsid w:val="004D7BBA"/>
    <w:rsid w:val="004E009F"/>
    <w:rsid w:val="004E0B75"/>
    <w:rsid w:val="004E0C67"/>
    <w:rsid w:val="004E0D86"/>
    <w:rsid w:val="004E0E3E"/>
    <w:rsid w:val="004E0FA2"/>
    <w:rsid w:val="004E1066"/>
    <w:rsid w:val="004E10DB"/>
    <w:rsid w:val="004E1205"/>
    <w:rsid w:val="004E15BD"/>
    <w:rsid w:val="004E1BF9"/>
    <w:rsid w:val="004E2B64"/>
    <w:rsid w:val="004E2DC4"/>
    <w:rsid w:val="004E32EC"/>
    <w:rsid w:val="004E33CF"/>
    <w:rsid w:val="004E3A5F"/>
    <w:rsid w:val="004E3C80"/>
    <w:rsid w:val="004E4B06"/>
    <w:rsid w:val="004E5326"/>
    <w:rsid w:val="004E596E"/>
    <w:rsid w:val="004E5B40"/>
    <w:rsid w:val="004E5CB0"/>
    <w:rsid w:val="004E602D"/>
    <w:rsid w:val="004E6353"/>
    <w:rsid w:val="004E67CC"/>
    <w:rsid w:val="004E6A09"/>
    <w:rsid w:val="004E6F83"/>
    <w:rsid w:val="004E746A"/>
    <w:rsid w:val="004E755C"/>
    <w:rsid w:val="004E796E"/>
    <w:rsid w:val="004E7E63"/>
    <w:rsid w:val="004E7F57"/>
    <w:rsid w:val="004F0790"/>
    <w:rsid w:val="004F07A0"/>
    <w:rsid w:val="004F0AC3"/>
    <w:rsid w:val="004F115E"/>
    <w:rsid w:val="004F1269"/>
    <w:rsid w:val="004F172F"/>
    <w:rsid w:val="004F1BC6"/>
    <w:rsid w:val="004F1C50"/>
    <w:rsid w:val="004F1DBA"/>
    <w:rsid w:val="004F1F4D"/>
    <w:rsid w:val="004F2D9F"/>
    <w:rsid w:val="004F2F5F"/>
    <w:rsid w:val="004F301A"/>
    <w:rsid w:val="004F3748"/>
    <w:rsid w:val="004F3D81"/>
    <w:rsid w:val="004F40C5"/>
    <w:rsid w:val="004F42CB"/>
    <w:rsid w:val="004F43A9"/>
    <w:rsid w:val="004F4CED"/>
    <w:rsid w:val="004F4E29"/>
    <w:rsid w:val="004F4FF2"/>
    <w:rsid w:val="004F5847"/>
    <w:rsid w:val="004F58D2"/>
    <w:rsid w:val="004F5D42"/>
    <w:rsid w:val="004F5E06"/>
    <w:rsid w:val="004F69BD"/>
    <w:rsid w:val="004F6DAB"/>
    <w:rsid w:val="004F71E1"/>
    <w:rsid w:val="004F7709"/>
    <w:rsid w:val="004F774C"/>
    <w:rsid w:val="004F7826"/>
    <w:rsid w:val="004F7D57"/>
    <w:rsid w:val="004F7F92"/>
    <w:rsid w:val="00500236"/>
    <w:rsid w:val="00500F89"/>
    <w:rsid w:val="00501067"/>
    <w:rsid w:val="0050119D"/>
    <w:rsid w:val="005013CE"/>
    <w:rsid w:val="005015A1"/>
    <w:rsid w:val="00501752"/>
    <w:rsid w:val="005018FA"/>
    <w:rsid w:val="005019DA"/>
    <w:rsid w:val="00501A8B"/>
    <w:rsid w:val="00501C9A"/>
    <w:rsid w:val="00501D1E"/>
    <w:rsid w:val="00502ED1"/>
    <w:rsid w:val="00502F8F"/>
    <w:rsid w:val="00503149"/>
    <w:rsid w:val="0050357A"/>
    <w:rsid w:val="0050383A"/>
    <w:rsid w:val="00503C89"/>
    <w:rsid w:val="00503C91"/>
    <w:rsid w:val="00503EB0"/>
    <w:rsid w:val="00504434"/>
    <w:rsid w:val="00504640"/>
    <w:rsid w:val="00504B7F"/>
    <w:rsid w:val="00504D88"/>
    <w:rsid w:val="005053EF"/>
    <w:rsid w:val="00505425"/>
    <w:rsid w:val="00505A1D"/>
    <w:rsid w:val="00505D6B"/>
    <w:rsid w:val="00505D80"/>
    <w:rsid w:val="00506422"/>
    <w:rsid w:val="00506714"/>
    <w:rsid w:val="00506A71"/>
    <w:rsid w:val="00507EFA"/>
    <w:rsid w:val="00507F5B"/>
    <w:rsid w:val="00510379"/>
    <w:rsid w:val="00510514"/>
    <w:rsid w:val="005116F9"/>
    <w:rsid w:val="00511909"/>
    <w:rsid w:val="00511A57"/>
    <w:rsid w:val="00511F56"/>
    <w:rsid w:val="0051215B"/>
    <w:rsid w:val="00512E7E"/>
    <w:rsid w:val="00513196"/>
    <w:rsid w:val="005133FF"/>
    <w:rsid w:val="00513500"/>
    <w:rsid w:val="00513626"/>
    <w:rsid w:val="0051366D"/>
    <w:rsid w:val="00513750"/>
    <w:rsid w:val="005143F5"/>
    <w:rsid w:val="00514583"/>
    <w:rsid w:val="00514C97"/>
    <w:rsid w:val="00514DD6"/>
    <w:rsid w:val="00514EBC"/>
    <w:rsid w:val="005162EC"/>
    <w:rsid w:val="005163BD"/>
    <w:rsid w:val="005163D7"/>
    <w:rsid w:val="0051706E"/>
    <w:rsid w:val="005170D9"/>
    <w:rsid w:val="005179A5"/>
    <w:rsid w:val="005179C5"/>
    <w:rsid w:val="005179EC"/>
    <w:rsid w:val="00517D27"/>
    <w:rsid w:val="00520359"/>
    <w:rsid w:val="005207C6"/>
    <w:rsid w:val="0052106F"/>
    <w:rsid w:val="00521A1E"/>
    <w:rsid w:val="00521D27"/>
    <w:rsid w:val="00522E3D"/>
    <w:rsid w:val="00522F11"/>
    <w:rsid w:val="005232B9"/>
    <w:rsid w:val="005233D8"/>
    <w:rsid w:val="005238D6"/>
    <w:rsid w:val="00523FAE"/>
    <w:rsid w:val="00524EBE"/>
    <w:rsid w:val="005252D8"/>
    <w:rsid w:val="005260D2"/>
    <w:rsid w:val="005264B1"/>
    <w:rsid w:val="0052761A"/>
    <w:rsid w:val="005276A4"/>
    <w:rsid w:val="0052770D"/>
    <w:rsid w:val="00527BAC"/>
    <w:rsid w:val="00527F84"/>
    <w:rsid w:val="00527FF4"/>
    <w:rsid w:val="00530394"/>
    <w:rsid w:val="00530FFE"/>
    <w:rsid w:val="005320A6"/>
    <w:rsid w:val="00532274"/>
    <w:rsid w:val="005322BB"/>
    <w:rsid w:val="00532885"/>
    <w:rsid w:val="00533297"/>
    <w:rsid w:val="00534107"/>
    <w:rsid w:val="00534904"/>
    <w:rsid w:val="00534F25"/>
    <w:rsid w:val="00534F95"/>
    <w:rsid w:val="00535823"/>
    <w:rsid w:val="00536EDD"/>
    <w:rsid w:val="0053714A"/>
    <w:rsid w:val="00537323"/>
    <w:rsid w:val="00537930"/>
    <w:rsid w:val="0054076B"/>
    <w:rsid w:val="00540B64"/>
    <w:rsid w:val="00540BE6"/>
    <w:rsid w:val="00540FD6"/>
    <w:rsid w:val="00541623"/>
    <w:rsid w:val="00541671"/>
    <w:rsid w:val="00541E28"/>
    <w:rsid w:val="00541E62"/>
    <w:rsid w:val="00542524"/>
    <w:rsid w:val="00543820"/>
    <w:rsid w:val="005439DF"/>
    <w:rsid w:val="00543AEF"/>
    <w:rsid w:val="005442FF"/>
    <w:rsid w:val="0054439A"/>
    <w:rsid w:val="00544D41"/>
    <w:rsid w:val="005454AE"/>
    <w:rsid w:val="0054557D"/>
    <w:rsid w:val="00545F50"/>
    <w:rsid w:val="00546019"/>
    <w:rsid w:val="00546584"/>
    <w:rsid w:val="005466C9"/>
    <w:rsid w:val="005466E3"/>
    <w:rsid w:val="005466E9"/>
    <w:rsid w:val="00547911"/>
    <w:rsid w:val="00547DF2"/>
    <w:rsid w:val="00547E49"/>
    <w:rsid w:val="005517FB"/>
    <w:rsid w:val="00551C5D"/>
    <w:rsid w:val="00551D9F"/>
    <w:rsid w:val="00553244"/>
    <w:rsid w:val="00553CC4"/>
    <w:rsid w:val="0055437D"/>
    <w:rsid w:val="00554605"/>
    <w:rsid w:val="00554749"/>
    <w:rsid w:val="00554AAC"/>
    <w:rsid w:val="00554F99"/>
    <w:rsid w:val="0055547A"/>
    <w:rsid w:val="00555C68"/>
    <w:rsid w:val="0055605E"/>
    <w:rsid w:val="0055614C"/>
    <w:rsid w:val="00556823"/>
    <w:rsid w:val="005568BB"/>
    <w:rsid w:val="005568C3"/>
    <w:rsid w:val="0055699F"/>
    <w:rsid w:val="00556A33"/>
    <w:rsid w:val="00556A79"/>
    <w:rsid w:val="0055751A"/>
    <w:rsid w:val="005601C3"/>
    <w:rsid w:val="00560653"/>
    <w:rsid w:val="00561048"/>
    <w:rsid w:val="00561142"/>
    <w:rsid w:val="00561214"/>
    <w:rsid w:val="00561276"/>
    <w:rsid w:val="00561759"/>
    <w:rsid w:val="00561A48"/>
    <w:rsid w:val="005620D2"/>
    <w:rsid w:val="0056249D"/>
    <w:rsid w:val="005629A6"/>
    <w:rsid w:val="00562F28"/>
    <w:rsid w:val="00562FE4"/>
    <w:rsid w:val="0056324F"/>
    <w:rsid w:val="00563455"/>
    <w:rsid w:val="0056357F"/>
    <w:rsid w:val="00563DA7"/>
    <w:rsid w:val="00564457"/>
    <w:rsid w:val="005644EA"/>
    <w:rsid w:val="00564571"/>
    <w:rsid w:val="005649EE"/>
    <w:rsid w:val="00564ADD"/>
    <w:rsid w:val="00564DE4"/>
    <w:rsid w:val="0056520A"/>
    <w:rsid w:val="0056542A"/>
    <w:rsid w:val="00565AA3"/>
    <w:rsid w:val="00565B01"/>
    <w:rsid w:val="00565B34"/>
    <w:rsid w:val="00566037"/>
    <w:rsid w:val="005665D8"/>
    <w:rsid w:val="00566911"/>
    <w:rsid w:val="0056702D"/>
    <w:rsid w:val="00567125"/>
    <w:rsid w:val="0056719D"/>
    <w:rsid w:val="00567486"/>
    <w:rsid w:val="00570055"/>
    <w:rsid w:val="0057022E"/>
    <w:rsid w:val="005703A1"/>
    <w:rsid w:val="00570427"/>
    <w:rsid w:val="005704D4"/>
    <w:rsid w:val="00570548"/>
    <w:rsid w:val="0057058D"/>
    <w:rsid w:val="0057066F"/>
    <w:rsid w:val="005707DB"/>
    <w:rsid w:val="00570B5F"/>
    <w:rsid w:val="00570B69"/>
    <w:rsid w:val="00570BE4"/>
    <w:rsid w:val="00570CEA"/>
    <w:rsid w:val="00571497"/>
    <w:rsid w:val="00571970"/>
    <w:rsid w:val="00571E8A"/>
    <w:rsid w:val="005721E0"/>
    <w:rsid w:val="005728DC"/>
    <w:rsid w:val="00572BA4"/>
    <w:rsid w:val="00572DCD"/>
    <w:rsid w:val="005737E5"/>
    <w:rsid w:val="00573AC1"/>
    <w:rsid w:val="005741E5"/>
    <w:rsid w:val="005742CC"/>
    <w:rsid w:val="0057472D"/>
    <w:rsid w:val="00574ACD"/>
    <w:rsid w:val="00575429"/>
    <w:rsid w:val="005754C1"/>
    <w:rsid w:val="00575776"/>
    <w:rsid w:val="005765F1"/>
    <w:rsid w:val="0057674F"/>
    <w:rsid w:val="005767B1"/>
    <w:rsid w:val="00576DDD"/>
    <w:rsid w:val="00576EA7"/>
    <w:rsid w:val="0057711D"/>
    <w:rsid w:val="005773B3"/>
    <w:rsid w:val="00577B1E"/>
    <w:rsid w:val="00577D5B"/>
    <w:rsid w:val="00577E41"/>
    <w:rsid w:val="00577E87"/>
    <w:rsid w:val="00580281"/>
    <w:rsid w:val="00580301"/>
    <w:rsid w:val="0058094E"/>
    <w:rsid w:val="00580DA2"/>
    <w:rsid w:val="00580DDA"/>
    <w:rsid w:val="00580E10"/>
    <w:rsid w:val="005813BF"/>
    <w:rsid w:val="005814AD"/>
    <w:rsid w:val="005815B8"/>
    <w:rsid w:val="005815F3"/>
    <w:rsid w:val="005819EB"/>
    <w:rsid w:val="00581DC9"/>
    <w:rsid w:val="00581F0D"/>
    <w:rsid w:val="00582863"/>
    <w:rsid w:val="0058293D"/>
    <w:rsid w:val="00582B1F"/>
    <w:rsid w:val="005830BB"/>
    <w:rsid w:val="00583164"/>
    <w:rsid w:val="00583551"/>
    <w:rsid w:val="00583A7C"/>
    <w:rsid w:val="00583B25"/>
    <w:rsid w:val="00583B46"/>
    <w:rsid w:val="00583E63"/>
    <w:rsid w:val="00584025"/>
    <w:rsid w:val="00584167"/>
    <w:rsid w:val="0058431E"/>
    <w:rsid w:val="0058455C"/>
    <w:rsid w:val="0058472F"/>
    <w:rsid w:val="00584A83"/>
    <w:rsid w:val="00584AE3"/>
    <w:rsid w:val="0058526F"/>
    <w:rsid w:val="00585CA1"/>
    <w:rsid w:val="0058603E"/>
    <w:rsid w:val="0058617C"/>
    <w:rsid w:val="005862F6"/>
    <w:rsid w:val="00586653"/>
    <w:rsid w:val="005867B8"/>
    <w:rsid w:val="0058689C"/>
    <w:rsid w:val="00586B43"/>
    <w:rsid w:val="00586CEA"/>
    <w:rsid w:val="005873C8"/>
    <w:rsid w:val="00587AF9"/>
    <w:rsid w:val="00587B9E"/>
    <w:rsid w:val="00587C6B"/>
    <w:rsid w:val="00587EFF"/>
    <w:rsid w:val="00587F1F"/>
    <w:rsid w:val="00590B39"/>
    <w:rsid w:val="00590CDB"/>
    <w:rsid w:val="00590D74"/>
    <w:rsid w:val="00590EB4"/>
    <w:rsid w:val="00591372"/>
    <w:rsid w:val="005915EC"/>
    <w:rsid w:val="00592581"/>
    <w:rsid w:val="0059283F"/>
    <w:rsid w:val="00592B4C"/>
    <w:rsid w:val="00592C0E"/>
    <w:rsid w:val="00592F80"/>
    <w:rsid w:val="00593221"/>
    <w:rsid w:val="00593903"/>
    <w:rsid w:val="005944AC"/>
    <w:rsid w:val="005946DA"/>
    <w:rsid w:val="00594FFB"/>
    <w:rsid w:val="005952CA"/>
    <w:rsid w:val="005954CB"/>
    <w:rsid w:val="005957C2"/>
    <w:rsid w:val="00595A2B"/>
    <w:rsid w:val="00595F6F"/>
    <w:rsid w:val="00596267"/>
    <w:rsid w:val="00596BAF"/>
    <w:rsid w:val="005971C1"/>
    <w:rsid w:val="00597397"/>
    <w:rsid w:val="00597EC4"/>
    <w:rsid w:val="005A014C"/>
    <w:rsid w:val="005A032D"/>
    <w:rsid w:val="005A04BA"/>
    <w:rsid w:val="005A09E3"/>
    <w:rsid w:val="005A10C7"/>
    <w:rsid w:val="005A10F4"/>
    <w:rsid w:val="005A139E"/>
    <w:rsid w:val="005A15D0"/>
    <w:rsid w:val="005A167C"/>
    <w:rsid w:val="005A1A20"/>
    <w:rsid w:val="005A1A83"/>
    <w:rsid w:val="005A1AC8"/>
    <w:rsid w:val="005A2068"/>
    <w:rsid w:val="005A20BD"/>
    <w:rsid w:val="005A2233"/>
    <w:rsid w:val="005A2505"/>
    <w:rsid w:val="005A27F3"/>
    <w:rsid w:val="005A2ED3"/>
    <w:rsid w:val="005A30A2"/>
    <w:rsid w:val="005A3461"/>
    <w:rsid w:val="005A38B9"/>
    <w:rsid w:val="005A395E"/>
    <w:rsid w:val="005A460D"/>
    <w:rsid w:val="005A4FD0"/>
    <w:rsid w:val="005A507B"/>
    <w:rsid w:val="005A5195"/>
    <w:rsid w:val="005A534D"/>
    <w:rsid w:val="005A57E4"/>
    <w:rsid w:val="005A5CD0"/>
    <w:rsid w:val="005A5D23"/>
    <w:rsid w:val="005A70C5"/>
    <w:rsid w:val="005A7EAA"/>
    <w:rsid w:val="005A7ED3"/>
    <w:rsid w:val="005B0B57"/>
    <w:rsid w:val="005B0E95"/>
    <w:rsid w:val="005B1294"/>
    <w:rsid w:val="005B13AF"/>
    <w:rsid w:val="005B1557"/>
    <w:rsid w:val="005B1665"/>
    <w:rsid w:val="005B19E5"/>
    <w:rsid w:val="005B228D"/>
    <w:rsid w:val="005B269E"/>
    <w:rsid w:val="005B3AAF"/>
    <w:rsid w:val="005B463F"/>
    <w:rsid w:val="005B48C9"/>
    <w:rsid w:val="005B4A56"/>
    <w:rsid w:val="005B4B6F"/>
    <w:rsid w:val="005B4D21"/>
    <w:rsid w:val="005B4DFC"/>
    <w:rsid w:val="005B51D2"/>
    <w:rsid w:val="005B56F8"/>
    <w:rsid w:val="005B580D"/>
    <w:rsid w:val="005B5B08"/>
    <w:rsid w:val="005B5E17"/>
    <w:rsid w:val="005B663D"/>
    <w:rsid w:val="005B6F93"/>
    <w:rsid w:val="005B726F"/>
    <w:rsid w:val="005B73CE"/>
    <w:rsid w:val="005B789E"/>
    <w:rsid w:val="005B7E13"/>
    <w:rsid w:val="005C006D"/>
    <w:rsid w:val="005C060C"/>
    <w:rsid w:val="005C0745"/>
    <w:rsid w:val="005C0DD7"/>
    <w:rsid w:val="005C0E9D"/>
    <w:rsid w:val="005C1007"/>
    <w:rsid w:val="005C1097"/>
    <w:rsid w:val="005C19BE"/>
    <w:rsid w:val="005C1F0E"/>
    <w:rsid w:val="005C2A5C"/>
    <w:rsid w:val="005C2AB3"/>
    <w:rsid w:val="005C2F0E"/>
    <w:rsid w:val="005C3246"/>
    <w:rsid w:val="005C3AC3"/>
    <w:rsid w:val="005C3B72"/>
    <w:rsid w:val="005C3CC9"/>
    <w:rsid w:val="005C3CE1"/>
    <w:rsid w:val="005C3FC6"/>
    <w:rsid w:val="005C40FB"/>
    <w:rsid w:val="005C428D"/>
    <w:rsid w:val="005C4323"/>
    <w:rsid w:val="005C4948"/>
    <w:rsid w:val="005C4E77"/>
    <w:rsid w:val="005C4E99"/>
    <w:rsid w:val="005C5005"/>
    <w:rsid w:val="005C5569"/>
    <w:rsid w:val="005C57F6"/>
    <w:rsid w:val="005C5E6D"/>
    <w:rsid w:val="005C6C9A"/>
    <w:rsid w:val="005C70F8"/>
    <w:rsid w:val="005C75A5"/>
    <w:rsid w:val="005C7D60"/>
    <w:rsid w:val="005D00C8"/>
    <w:rsid w:val="005D013E"/>
    <w:rsid w:val="005D0177"/>
    <w:rsid w:val="005D022A"/>
    <w:rsid w:val="005D0EAE"/>
    <w:rsid w:val="005D0FE9"/>
    <w:rsid w:val="005D11CA"/>
    <w:rsid w:val="005D14EF"/>
    <w:rsid w:val="005D1514"/>
    <w:rsid w:val="005D1C04"/>
    <w:rsid w:val="005D2A05"/>
    <w:rsid w:val="005D3170"/>
    <w:rsid w:val="005D3420"/>
    <w:rsid w:val="005D40BC"/>
    <w:rsid w:val="005D47D6"/>
    <w:rsid w:val="005D4965"/>
    <w:rsid w:val="005D4BC8"/>
    <w:rsid w:val="005D4DE0"/>
    <w:rsid w:val="005D59FB"/>
    <w:rsid w:val="005D5A8A"/>
    <w:rsid w:val="005D64E1"/>
    <w:rsid w:val="005D6526"/>
    <w:rsid w:val="005D65A2"/>
    <w:rsid w:val="005D65CD"/>
    <w:rsid w:val="005D6668"/>
    <w:rsid w:val="005D6A78"/>
    <w:rsid w:val="005D6F20"/>
    <w:rsid w:val="005D7B1E"/>
    <w:rsid w:val="005D7C12"/>
    <w:rsid w:val="005E0473"/>
    <w:rsid w:val="005E0867"/>
    <w:rsid w:val="005E08A3"/>
    <w:rsid w:val="005E0BC2"/>
    <w:rsid w:val="005E0C72"/>
    <w:rsid w:val="005E11F1"/>
    <w:rsid w:val="005E16DE"/>
    <w:rsid w:val="005E1CCD"/>
    <w:rsid w:val="005E2255"/>
    <w:rsid w:val="005E2681"/>
    <w:rsid w:val="005E33EB"/>
    <w:rsid w:val="005E35D2"/>
    <w:rsid w:val="005E429B"/>
    <w:rsid w:val="005E4324"/>
    <w:rsid w:val="005E437A"/>
    <w:rsid w:val="005E43C3"/>
    <w:rsid w:val="005E46D1"/>
    <w:rsid w:val="005E50DC"/>
    <w:rsid w:val="005E5104"/>
    <w:rsid w:val="005E51B2"/>
    <w:rsid w:val="005E523B"/>
    <w:rsid w:val="005E543F"/>
    <w:rsid w:val="005E54A7"/>
    <w:rsid w:val="005E586B"/>
    <w:rsid w:val="005E5908"/>
    <w:rsid w:val="005E5A82"/>
    <w:rsid w:val="005E5B37"/>
    <w:rsid w:val="005E5FAF"/>
    <w:rsid w:val="005E6001"/>
    <w:rsid w:val="005E66E3"/>
    <w:rsid w:val="005E6725"/>
    <w:rsid w:val="005E672E"/>
    <w:rsid w:val="005E72A3"/>
    <w:rsid w:val="005E76C7"/>
    <w:rsid w:val="005E79B7"/>
    <w:rsid w:val="005F0A1A"/>
    <w:rsid w:val="005F0DDA"/>
    <w:rsid w:val="005F1011"/>
    <w:rsid w:val="005F1125"/>
    <w:rsid w:val="005F1161"/>
    <w:rsid w:val="005F128A"/>
    <w:rsid w:val="005F1440"/>
    <w:rsid w:val="005F1BE8"/>
    <w:rsid w:val="005F1E59"/>
    <w:rsid w:val="005F205E"/>
    <w:rsid w:val="005F2395"/>
    <w:rsid w:val="005F268D"/>
    <w:rsid w:val="005F2C0F"/>
    <w:rsid w:val="005F2F45"/>
    <w:rsid w:val="005F3270"/>
    <w:rsid w:val="005F39E8"/>
    <w:rsid w:val="005F39FC"/>
    <w:rsid w:val="005F44EC"/>
    <w:rsid w:val="005F4AB7"/>
    <w:rsid w:val="005F4BFE"/>
    <w:rsid w:val="005F4ED9"/>
    <w:rsid w:val="005F548F"/>
    <w:rsid w:val="005F5880"/>
    <w:rsid w:val="005F59AC"/>
    <w:rsid w:val="005F5FCE"/>
    <w:rsid w:val="005F68FC"/>
    <w:rsid w:val="005F6DF0"/>
    <w:rsid w:val="005F6F7C"/>
    <w:rsid w:val="005F757C"/>
    <w:rsid w:val="005F7EB6"/>
    <w:rsid w:val="00600656"/>
    <w:rsid w:val="0060074E"/>
    <w:rsid w:val="006008FB"/>
    <w:rsid w:val="00600BE7"/>
    <w:rsid w:val="00600C4C"/>
    <w:rsid w:val="006011AC"/>
    <w:rsid w:val="006024D0"/>
    <w:rsid w:val="00602572"/>
    <w:rsid w:val="0060299E"/>
    <w:rsid w:val="00602D83"/>
    <w:rsid w:val="006036F3"/>
    <w:rsid w:val="00603D8B"/>
    <w:rsid w:val="0060441E"/>
    <w:rsid w:val="00605140"/>
    <w:rsid w:val="006051BE"/>
    <w:rsid w:val="00605385"/>
    <w:rsid w:val="006054F4"/>
    <w:rsid w:val="00605D57"/>
    <w:rsid w:val="00605D8E"/>
    <w:rsid w:val="006060FA"/>
    <w:rsid w:val="006061A9"/>
    <w:rsid w:val="006066E9"/>
    <w:rsid w:val="00606A45"/>
    <w:rsid w:val="00606BF5"/>
    <w:rsid w:val="00606CF1"/>
    <w:rsid w:val="0060742C"/>
    <w:rsid w:val="0060788C"/>
    <w:rsid w:val="00610555"/>
    <w:rsid w:val="006109FC"/>
    <w:rsid w:val="00610C57"/>
    <w:rsid w:val="006111E3"/>
    <w:rsid w:val="006113AE"/>
    <w:rsid w:val="00611B3E"/>
    <w:rsid w:val="00611D46"/>
    <w:rsid w:val="00611E1E"/>
    <w:rsid w:val="006127DA"/>
    <w:rsid w:val="006128A5"/>
    <w:rsid w:val="00612B97"/>
    <w:rsid w:val="00613430"/>
    <w:rsid w:val="00613451"/>
    <w:rsid w:val="00613528"/>
    <w:rsid w:val="00613DE8"/>
    <w:rsid w:val="00614294"/>
    <w:rsid w:val="006144B9"/>
    <w:rsid w:val="006147FC"/>
    <w:rsid w:val="006157D4"/>
    <w:rsid w:val="00615CC7"/>
    <w:rsid w:val="0061608E"/>
    <w:rsid w:val="006161CD"/>
    <w:rsid w:val="006169EE"/>
    <w:rsid w:val="006169F4"/>
    <w:rsid w:val="00616A7C"/>
    <w:rsid w:val="00616AEA"/>
    <w:rsid w:val="00616E2A"/>
    <w:rsid w:val="00617A28"/>
    <w:rsid w:val="00617D93"/>
    <w:rsid w:val="0062058F"/>
    <w:rsid w:val="00620CD5"/>
    <w:rsid w:val="00620F93"/>
    <w:rsid w:val="0062123D"/>
    <w:rsid w:val="00621301"/>
    <w:rsid w:val="0062155C"/>
    <w:rsid w:val="006216E6"/>
    <w:rsid w:val="006223B5"/>
    <w:rsid w:val="0062240D"/>
    <w:rsid w:val="00622578"/>
    <w:rsid w:val="00622DE8"/>
    <w:rsid w:val="00622EAB"/>
    <w:rsid w:val="00623CF9"/>
    <w:rsid w:val="00623E49"/>
    <w:rsid w:val="006252F6"/>
    <w:rsid w:val="00625742"/>
    <w:rsid w:val="006258D1"/>
    <w:rsid w:val="0062616B"/>
    <w:rsid w:val="00626204"/>
    <w:rsid w:val="00626246"/>
    <w:rsid w:val="006266A7"/>
    <w:rsid w:val="0062682F"/>
    <w:rsid w:val="00626F8B"/>
    <w:rsid w:val="00627901"/>
    <w:rsid w:val="00627A34"/>
    <w:rsid w:val="00627DCE"/>
    <w:rsid w:val="00631398"/>
    <w:rsid w:val="00631505"/>
    <w:rsid w:val="00631559"/>
    <w:rsid w:val="00631568"/>
    <w:rsid w:val="00632082"/>
    <w:rsid w:val="006325D3"/>
    <w:rsid w:val="006325FF"/>
    <w:rsid w:val="0063291F"/>
    <w:rsid w:val="0063324F"/>
    <w:rsid w:val="006333D3"/>
    <w:rsid w:val="006334BA"/>
    <w:rsid w:val="00633708"/>
    <w:rsid w:val="00633786"/>
    <w:rsid w:val="00633E0C"/>
    <w:rsid w:val="006343E7"/>
    <w:rsid w:val="0063443B"/>
    <w:rsid w:val="006349E4"/>
    <w:rsid w:val="00634B44"/>
    <w:rsid w:val="00634DAA"/>
    <w:rsid w:val="00634FCE"/>
    <w:rsid w:val="006350B3"/>
    <w:rsid w:val="0063629D"/>
    <w:rsid w:val="00636325"/>
    <w:rsid w:val="0063654E"/>
    <w:rsid w:val="00636C76"/>
    <w:rsid w:val="00637AC3"/>
    <w:rsid w:val="00640FAF"/>
    <w:rsid w:val="00641125"/>
    <w:rsid w:val="006413A4"/>
    <w:rsid w:val="006414E6"/>
    <w:rsid w:val="006417DD"/>
    <w:rsid w:val="00641D0B"/>
    <w:rsid w:val="00641EA1"/>
    <w:rsid w:val="00642CCB"/>
    <w:rsid w:val="006431B0"/>
    <w:rsid w:val="006432A5"/>
    <w:rsid w:val="0064341B"/>
    <w:rsid w:val="006437D5"/>
    <w:rsid w:val="00643FD6"/>
    <w:rsid w:val="00644D57"/>
    <w:rsid w:val="00644FA6"/>
    <w:rsid w:val="0064506D"/>
    <w:rsid w:val="0064564A"/>
    <w:rsid w:val="00645E85"/>
    <w:rsid w:val="00645F6E"/>
    <w:rsid w:val="006463B8"/>
    <w:rsid w:val="0064654D"/>
    <w:rsid w:val="00646757"/>
    <w:rsid w:val="006469EE"/>
    <w:rsid w:val="00646A1F"/>
    <w:rsid w:val="00646DE4"/>
    <w:rsid w:val="00647130"/>
    <w:rsid w:val="006471E3"/>
    <w:rsid w:val="006475D8"/>
    <w:rsid w:val="00647C3F"/>
    <w:rsid w:val="00647FB6"/>
    <w:rsid w:val="00650305"/>
    <w:rsid w:val="006504EA"/>
    <w:rsid w:val="00650708"/>
    <w:rsid w:val="00650AB2"/>
    <w:rsid w:val="00650E56"/>
    <w:rsid w:val="0065110B"/>
    <w:rsid w:val="0065142C"/>
    <w:rsid w:val="0065147F"/>
    <w:rsid w:val="00651594"/>
    <w:rsid w:val="00651839"/>
    <w:rsid w:val="0065280F"/>
    <w:rsid w:val="006528D0"/>
    <w:rsid w:val="00652A44"/>
    <w:rsid w:val="00652F24"/>
    <w:rsid w:val="0065335F"/>
    <w:rsid w:val="00653826"/>
    <w:rsid w:val="00653A5D"/>
    <w:rsid w:val="00653C8C"/>
    <w:rsid w:val="0065426C"/>
    <w:rsid w:val="006543EF"/>
    <w:rsid w:val="00654C7A"/>
    <w:rsid w:val="00654FE1"/>
    <w:rsid w:val="00654FFA"/>
    <w:rsid w:val="00655521"/>
    <w:rsid w:val="006555A9"/>
    <w:rsid w:val="006555F9"/>
    <w:rsid w:val="00655782"/>
    <w:rsid w:val="00655E88"/>
    <w:rsid w:val="0065658D"/>
    <w:rsid w:val="0065745D"/>
    <w:rsid w:val="00657B18"/>
    <w:rsid w:val="00657DD1"/>
    <w:rsid w:val="0066003C"/>
    <w:rsid w:val="006601F8"/>
    <w:rsid w:val="00660812"/>
    <w:rsid w:val="00660889"/>
    <w:rsid w:val="006608BC"/>
    <w:rsid w:val="00661654"/>
    <w:rsid w:val="00661711"/>
    <w:rsid w:val="00661E26"/>
    <w:rsid w:val="00662402"/>
    <w:rsid w:val="00662E7A"/>
    <w:rsid w:val="00663170"/>
    <w:rsid w:val="006631B4"/>
    <w:rsid w:val="00663C02"/>
    <w:rsid w:val="006641E4"/>
    <w:rsid w:val="006642A2"/>
    <w:rsid w:val="00664980"/>
    <w:rsid w:val="00664A02"/>
    <w:rsid w:val="00664E21"/>
    <w:rsid w:val="00664FCE"/>
    <w:rsid w:val="00665F04"/>
    <w:rsid w:val="00665FCC"/>
    <w:rsid w:val="0066605E"/>
    <w:rsid w:val="0066635B"/>
    <w:rsid w:val="00666819"/>
    <w:rsid w:val="00667023"/>
    <w:rsid w:val="00667439"/>
    <w:rsid w:val="006679E3"/>
    <w:rsid w:val="00667A86"/>
    <w:rsid w:val="0067003E"/>
    <w:rsid w:val="0067064C"/>
    <w:rsid w:val="00670B73"/>
    <w:rsid w:val="00670FB3"/>
    <w:rsid w:val="0067117D"/>
    <w:rsid w:val="0067137F"/>
    <w:rsid w:val="00672267"/>
    <w:rsid w:val="0067269E"/>
    <w:rsid w:val="00672A1C"/>
    <w:rsid w:val="00672CA6"/>
    <w:rsid w:val="00672E9F"/>
    <w:rsid w:val="00673073"/>
    <w:rsid w:val="006733A4"/>
    <w:rsid w:val="00673455"/>
    <w:rsid w:val="00673565"/>
    <w:rsid w:val="00673709"/>
    <w:rsid w:val="006739DD"/>
    <w:rsid w:val="00673D9A"/>
    <w:rsid w:val="00673ED2"/>
    <w:rsid w:val="006743D8"/>
    <w:rsid w:val="00674400"/>
    <w:rsid w:val="00674A27"/>
    <w:rsid w:val="00674DCC"/>
    <w:rsid w:val="00675A84"/>
    <w:rsid w:val="00675F4C"/>
    <w:rsid w:val="00676B63"/>
    <w:rsid w:val="00676E95"/>
    <w:rsid w:val="00676F22"/>
    <w:rsid w:val="0067710F"/>
    <w:rsid w:val="0067760D"/>
    <w:rsid w:val="006805AE"/>
    <w:rsid w:val="006808C1"/>
    <w:rsid w:val="00680C37"/>
    <w:rsid w:val="00680DA2"/>
    <w:rsid w:val="00681775"/>
    <w:rsid w:val="00681982"/>
    <w:rsid w:val="006822DC"/>
    <w:rsid w:val="00682641"/>
    <w:rsid w:val="006837D1"/>
    <w:rsid w:val="006837F7"/>
    <w:rsid w:val="00683A2B"/>
    <w:rsid w:val="00683A75"/>
    <w:rsid w:val="0068443A"/>
    <w:rsid w:val="0068479B"/>
    <w:rsid w:val="00684B8E"/>
    <w:rsid w:val="00684C97"/>
    <w:rsid w:val="00684CB3"/>
    <w:rsid w:val="00684F34"/>
    <w:rsid w:val="0068531E"/>
    <w:rsid w:val="0068573C"/>
    <w:rsid w:val="0068581D"/>
    <w:rsid w:val="00685A6C"/>
    <w:rsid w:val="00686E9D"/>
    <w:rsid w:val="00687269"/>
    <w:rsid w:val="006872CF"/>
    <w:rsid w:val="0068753A"/>
    <w:rsid w:val="00687775"/>
    <w:rsid w:val="00687898"/>
    <w:rsid w:val="006903F7"/>
    <w:rsid w:val="00690CEF"/>
    <w:rsid w:val="006913E7"/>
    <w:rsid w:val="006917B3"/>
    <w:rsid w:val="00692179"/>
    <w:rsid w:val="00692342"/>
    <w:rsid w:val="00692669"/>
    <w:rsid w:val="00692759"/>
    <w:rsid w:val="006928DB"/>
    <w:rsid w:val="006929B7"/>
    <w:rsid w:val="00692F2A"/>
    <w:rsid w:val="00692F4C"/>
    <w:rsid w:val="00692F66"/>
    <w:rsid w:val="00692FCE"/>
    <w:rsid w:val="00693004"/>
    <w:rsid w:val="00693052"/>
    <w:rsid w:val="00693695"/>
    <w:rsid w:val="00693A06"/>
    <w:rsid w:val="00693C4F"/>
    <w:rsid w:val="006950C1"/>
    <w:rsid w:val="00695D24"/>
    <w:rsid w:val="00696337"/>
    <w:rsid w:val="00696549"/>
    <w:rsid w:val="0069694C"/>
    <w:rsid w:val="00696CC6"/>
    <w:rsid w:val="00696DF2"/>
    <w:rsid w:val="00696F02"/>
    <w:rsid w:val="006970DE"/>
    <w:rsid w:val="00697B24"/>
    <w:rsid w:val="00697B30"/>
    <w:rsid w:val="006A0B5C"/>
    <w:rsid w:val="006A0F8D"/>
    <w:rsid w:val="006A136B"/>
    <w:rsid w:val="006A144B"/>
    <w:rsid w:val="006A14A8"/>
    <w:rsid w:val="006A167F"/>
    <w:rsid w:val="006A1744"/>
    <w:rsid w:val="006A192F"/>
    <w:rsid w:val="006A1C85"/>
    <w:rsid w:val="006A1DA1"/>
    <w:rsid w:val="006A236A"/>
    <w:rsid w:val="006A24AA"/>
    <w:rsid w:val="006A268D"/>
    <w:rsid w:val="006A288A"/>
    <w:rsid w:val="006A2B03"/>
    <w:rsid w:val="006A2B2E"/>
    <w:rsid w:val="006A30A3"/>
    <w:rsid w:val="006A30D5"/>
    <w:rsid w:val="006A339A"/>
    <w:rsid w:val="006A3765"/>
    <w:rsid w:val="006A393D"/>
    <w:rsid w:val="006A3CD4"/>
    <w:rsid w:val="006A3E99"/>
    <w:rsid w:val="006A41FD"/>
    <w:rsid w:val="006A43F2"/>
    <w:rsid w:val="006A472E"/>
    <w:rsid w:val="006A4D9C"/>
    <w:rsid w:val="006A4FE0"/>
    <w:rsid w:val="006A5153"/>
    <w:rsid w:val="006A57F0"/>
    <w:rsid w:val="006A5C02"/>
    <w:rsid w:val="006A5CD7"/>
    <w:rsid w:val="006A60CE"/>
    <w:rsid w:val="006A65A6"/>
    <w:rsid w:val="006A68FC"/>
    <w:rsid w:val="006A6A8C"/>
    <w:rsid w:val="006A6C7C"/>
    <w:rsid w:val="006A6CE2"/>
    <w:rsid w:val="006A6FDB"/>
    <w:rsid w:val="006A7CD1"/>
    <w:rsid w:val="006B053B"/>
    <w:rsid w:val="006B0BE8"/>
    <w:rsid w:val="006B0E82"/>
    <w:rsid w:val="006B1BD0"/>
    <w:rsid w:val="006B1EF3"/>
    <w:rsid w:val="006B2026"/>
    <w:rsid w:val="006B2BE3"/>
    <w:rsid w:val="006B2DF6"/>
    <w:rsid w:val="006B3551"/>
    <w:rsid w:val="006B37F8"/>
    <w:rsid w:val="006B3BEF"/>
    <w:rsid w:val="006B3F65"/>
    <w:rsid w:val="006B45BD"/>
    <w:rsid w:val="006B4BA7"/>
    <w:rsid w:val="006B50C0"/>
    <w:rsid w:val="006B577C"/>
    <w:rsid w:val="006B6102"/>
    <w:rsid w:val="006B6209"/>
    <w:rsid w:val="006B65D0"/>
    <w:rsid w:val="006B6CB7"/>
    <w:rsid w:val="006B6EC5"/>
    <w:rsid w:val="006B7298"/>
    <w:rsid w:val="006B777D"/>
    <w:rsid w:val="006B783F"/>
    <w:rsid w:val="006B793E"/>
    <w:rsid w:val="006B7A73"/>
    <w:rsid w:val="006C01B8"/>
    <w:rsid w:val="006C0305"/>
    <w:rsid w:val="006C051C"/>
    <w:rsid w:val="006C06F1"/>
    <w:rsid w:val="006C0C6D"/>
    <w:rsid w:val="006C0DD6"/>
    <w:rsid w:val="006C1656"/>
    <w:rsid w:val="006C1991"/>
    <w:rsid w:val="006C1E18"/>
    <w:rsid w:val="006C239D"/>
    <w:rsid w:val="006C2A9B"/>
    <w:rsid w:val="006C2BD6"/>
    <w:rsid w:val="006C307F"/>
    <w:rsid w:val="006C3353"/>
    <w:rsid w:val="006C33B8"/>
    <w:rsid w:val="006C3A43"/>
    <w:rsid w:val="006C3D9B"/>
    <w:rsid w:val="006C42B2"/>
    <w:rsid w:val="006C475D"/>
    <w:rsid w:val="006C47B9"/>
    <w:rsid w:val="006C498D"/>
    <w:rsid w:val="006C5537"/>
    <w:rsid w:val="006C5B43"/>
    <w:rsid w:val="006C6463"/>
    <w:rsid w:val="006C77DD"/>
    <w:rsid w:val="006C7B51"/>
    <w:rsid w:val="006D0016"/>
    <w:rsid w:val="006D0D30"/>
    <w:rsid w:val="006D14A7"/>
    <w:rsid w:val="006D16AA"/>
    <w:rsid w:val="006D22E6"/>
    <w:rsid w:val="006D2E36"/>
    <w:rsid w:val="006D2F6F"/>
    <w:rsid w:val="006D32FF"/>
    <w:rsid w:val="006D3D14"/>
    <w:rsid w:val="006D421F"/>
    <w:rsid w:val="006D45AE"/>
    <w:rsid w:val="006D497C"/>
    <w:rsid w:val="006D49C6"/>
    <w:rsid w:val="006D5BF6"/>
    <w:rsid w:val="006D5D18"/>
    <w:rsid w:val="006D5D19"/>
    <w:rsid w:val="006D5E07"/>
    <w:rsid w:val="006D5E94"/>
    <w:rsid w:val="006D5EB8"/>
    <w:rsid w:val="006D6302"/>
    <w:rsid w:val="006D6C8A"/>
    <w:rsid w:val="006D6D1A"/>
    <w:rsid w:val="006D6D3E"/>
    <w:rsid w:val="006D751D"/>
    <w:rsid w:val="006D7FCE"/>
    <w:rsid w:val="006E0377"/>
    <w:rsid w:val="006E0F8A"/>
    <w:rsid w:val="006E0FBB"/>
    <w:rsid w:val="006E12EF"/>
    <w:rsid w:val="006E1403"/>
    <w:rsid w:val="006E17D1"/>
    <w:rsid w:val="006E1C16"/>
    <w:rsid w:val="006E1C25"/>
    <w:rsid w:val="006E1D58"/>
    <w:rsid w:val="006E2752"/>
    <w:rsid w:val="006E2DB1"/>
    <w:rsid w:val="006E2EAE"/>
    <w:rsid w:val="006E33AD"/>
    <w:rsid w:val="006E34CB"/>
    <w:rsid w:val="006E372A"/>
    <w:rsid w:val="006E3BE9"/>
    <w:rsid w:val="006E3BFD"/>
    <w:rsid w:val="006E3D5D"/>
    <w:rsid w:val="006E3DC7"/>
    <w:rsid w:val="006E4336"/>
    <w:rsid w:val="006E4C41"/>
    <w:rsid w:val="006E4C5E"/>
    <w:rsid w:val="006E5096"/>
    <w:rsid w:val="006E52F0"/>
    <w:rsid w:val="006E54E1"/>
    <w:rsid w:val="006E58BA"/>
    <w:rsid w:val="006E6013"/>
    <w:rsid w:val="006E623A"/>
    <w:rsid w:val="006E65CC"/>
    <w:rsid w:val="006E6D81"/>
    <w:rsid w:val="006E7186"/>
    <w:rsid w:val="006E7998"/>
    <w:rsid w:val="006E7BDB"/>
    <w:rsid w:val="006E7E1B"/>
    <w:rsid w:val="006F02C4"/>
    <w:rsid w:val="006F0450"/>
    <w:rsid w:val="006F05D9"/>
    <w:rsid w:val="006F1313"/>
    <w:rsid w:val="006F18CE"/>
    <w:rsid w:val="006F2306"/>
    <w:rsid w:val="006F2CA5"/>
    <w:rsid w:val="006F2D9A"/>
    <w:rsid w:val="006F2E68"/>
    <w:rsid w:val="006F2EEA"/>
    <w:rsid w:val="006F3051"/>
    <w:rsid w:val="006F3127"/>
    <w:rsid w:val="006F34C3"/>
    <w:rsid w:val="006F37C3"/>
    <w:rsid w:val="006F400E"/>
    <w:rsid w:val="006F42CC"/>
    <w:rsid w:val="006F4924"/>
    <w:rsid w:val="006F49A9"/>
    <w:rsid w:val="006F52A0"/>
    <w:rsid w:val="006F55F1"/>
    <w:rsid w:val="006F597D"/>
    <w:rsid w:val="006F5A86"/>
    <w:rsid w:val="006F5B4A"/>
    <w:rsid w:val="006F5DE6"/>
    <w:rsid w:val="006F5FE4"/>
    <w:rsid w:val="006F63FF"/>
    <w:rsid w:val="006F6D8E"/>
    <w:rsid w:val="006F7077"/>
    <w:rsid w:val="006F73BE"/>
    <w:rsid w:val="006F74DB"/>
    <w:rsid w:val="006F7566"/>
    <w:rsid w:val="006F79B4"/>
    <w:rsid w:val="00700D04"/>
    <w:rsid w:val="00700F30"/>
    <w:rsid w:val="00701541"/>
    <w:rsid w:val="00701DB0"/>
    <w:rsid w:val="00701FDD"/>
    <w:rsid w:val="00702C2F"/>
    <w:rsid w:val="00702D3E"/>
    <w:rsid w:val="00702DC0"/>
    <w:rsid w:val="00703072"/>
    <w:rsid w:val="00703095"/>
    <w:rsid w:val="007030B1"/>
    <w:rsid w:val="007031A2"/>
    <w:rsid w:val="0070370D"/>
    <w:rsid w:val="00703B84"/>
    <w:rsid w:val="00703E09"/>
    <w:rsid w:val="00703EE9"/>
    <w:rsid w:val="0070466B"/>
    <w:rsid w:val="00704964"/>
    <w:rsid w:val="007049FB"/>
    <w:rsid w:val="00704A49"/>
    <w:rsid w:val="0070509E"/>
    <w:rsid w:val="007050BA"/>
    <w:rsid w:val="0070589F"/>
    <w:rsid w:val="007059FA"/>
    <w:rsid w:val="00705AC6"/>
    <w:rsid w:val="00705AEF"/>
    <w:rsid w:val="007061B5"/>
    <w:rsid w:val="0070625D"/>
    <w:rsid w:val="007062A7"/>
    <w:rsid w:val="00706525"/>
    <w:rsid w:val="00706AEC"/>
    <w:rsid w:val="00706B95"/>
    <w:rsid w:val="00706ECF"/>
    <w:rsid w:val="00707226"/>
    <w:rsid w:val="007072A8"/>
    <w:rsid w:val="0070734F"/>
    <w:rsid w:val="00707403"/>
    <w:rsid w:val="007075C9"/>
    <w:rsid w:val="00707781"/>
    <w:rsid w:val="00710007"/>
    <w:rsid w:val="0071023B"/>
    <w:rsid w:val="00710341"/>
    <w:rsid w:val="00710343"/>
    <w:rsid w:val="007109ED"/>
    <w:rsid w:val="00710BFD"/>
    <w:rsid w:val="00710CFE"/>
    <w:rsid w:val="00710E8A"/>
    <w:rsid w:val="00710EF7"/>
    <w:rsid w:val="00710F79"/>
    <w:rsid w:val="007110CA"/>
    <w:rsid w:val="0071124A"/>
    <w:rsid w:val="007112AA"/>
    <w:rsid w:val="007113E8"/>
    <w:rsid w:val="00711929"/>
    <w:rsid w:val="00712730"/>
    <w:rsid w:val="00712A7D"/>
    <w:rsid w:val="00712ABF"/>
    <w:rsid w:val="00712B63"/>
    <w:rsid w:val="00712F30"/>
    <w:rsid w:val="007134A2"/>
    <w:rsid w:val="00714837"/>
    <w:rsid w:val="00714BF9"/>
    <w:rsid w:val="00714C54"/>
    <w:rsid w:val="00715237"/>
    <w:rsid w:val="0071577E"/>
    <w:rsid w:val="00715E76"/>
    <w:rsid w:val="00715EE5"/>
    <w:rsid w:val="00716148"/>
    <w:rsid w:val="007169DE"/>
    <w:rsid w:val="00717418"/>
    <w:rsid w:val="00717B57"/>
    <w:rsid w:val="00720369"/>
    <w:rsid w:val="0072036F"/>
    <w:rsid w:val="00720A9F"/>
    <w:rsid w:val="00720E37"/>
    <w:rsid w:val="0072105E"/>
    <w:rsid w:val="007212D2"/>
    <w:rsid w:val="007216AC"/>
    <w:rsid w:val="00721A73"/>
    <w:rsid w:val="00721BAE"/>
    <w:rsid w:val="0072218E"/>
    <w:rsid w:val="00722B08"/>
    <w:rsid w:val="00723973"/>
    <w:rsid w:val="00723A18"/>
    <w:rsid w:val="00723BD5"/>
    <w:rsid w:val="0072400F"/>
    <w:rsid w:val="00724255"/>
    <w:rsid w:val="0072431F"/>
    <w:rsid w:val="00724821"/>
    <w:rsid w:val="0072487A"/>
    <w:rsid w:val="00724880"/>
    <w:rsid w:val="00724940"/>
    <w:rsid w:val="00725114"/>
    <w:rsid w:val="007255AF"/>
    <w:rsid w:val="00725BD4"/>
    <w:rsid w:val="00725FD0"/>
    <w:rsid w:val="00726267"/>
    <w:rsid w:val="0072626E"/>
    <w:rsid w:val="00726828"/>
    <w:rsid w:val="00726C4C"/>
    <w:rsid w:val="00726CAD"/>
    <w:rsid w:val="007270DA"/>
    <w:rsid w:val="00727420"/>
    <w:rsid w:val="007276E0"/>
    <w:rsid w:val="007278C0"/>
    <w:rsid w:val="00727A1E"/>
    <w:rsid w:val="00727A9C"/>
    <w:rsid w:val="00727E36"/>
    <w:rsid w:val="0073001F"/>
    <w:rsid w:val="00730532"/>
    <w:rsid w:val="00730F3F"/>
    <w:rsid w:val="00731043"/>
    <w:rsid w:val="007313E3"/>
    <w:rsid w:val="007318A8"/>
    <w:rsid w:val="007318AD"/>
    <w:rsid w:val="00731ADA"/>
    <w:rsid w:val="007320CF"/>
    <w:rsid w:val="00732172"/>
    <w:rsid w:val="00733239"/>
    <w:rsid w:val="0073366B"/>
    <w:rsid w:val="00733A28"/>
    <w:rsid w:val="00733A30"/>
    <w:rsid w:val="00733A56"/>
    <w:rsid w:val="00733A61"/>
    <w:rsid w:val="00733B8E"/>
    <w:rsid w:val="00734152"/>
    <w:rsid w:val="00734160"/>
    <w:rsid w:val="0073441F"/>
    <w:rsid w:val="0073448D"/>
    <w:rsid w:val="0073458C"/>
    <w:rsid w:val="00734649"/>
    <w:rsid w:val="007347B2"/>
    <w:rsid w:val="00734D48"/>
    <w:rsid w:val="00734F76"/>
    <w:rsid w:val="00735441"/>
    <w:rsid w:val="0073626E"/>
    <w:rsid w:val="00736306"/>
    <w:rsid w:val="00736652"/>
    <w:rsid w:val="007368CF"/>
    <w:rsid w:val="00736AA7"/>
    <w:rsid w:val="00737481"/>
    <w:rsid w:val="00737834"/>
    <w:rsid w:val="00737B0D"/>
    <w:rsid w:val="00740245"/>
    <w:rsid w:val="0074062F"/>
    <w:rsid w:val="007409E0"/>
    <w:rsid w:val="0074124B"/>
    <w:rsid w:val="00741378"/>
    <w:rsid w:val="007415CD"/>
    <w:rsid w:val="0074160B"/>
    <w:rsid w:val="00741FC9"/>
    <w:rsid w:val="0074232F"/>
    <w:rsid w:val="007427C3"/>
    <w:rsid w:val="0074280B"/>
    <w:rsid w:val="00743390"/>
    <w:rsid w:val="00743B75"/>
    <w:rsid w:val="00743FBA"/>
    <w:rsid w:val="0074438E"/>
    <w:rsid w:val="00744915"/>
    <w:rsid w:val="00744F84"/>
    <w:rsid w:val="0074541E"/>
    <w:rsid w:val="0074551E"/>
    <w:rsid w:val="0074561B"/>
    <w:rsid w:val="0074566A"/>
    <w:rsid w:val="00745E20"/>
    <w:rsid w:val="00745E4B"/>
    <w:rsid w:val="0074643C"/>
    <w:rsid w:val="00747157"/>
    <w:rsid w:val="00747714"/>
    <w:rsid w:val="00747B32"/>
    <w:rsid w:val="00747C7A"/>
    <w:rsid w:val="00747E24"/>
    <w:rsid w:val="007503EE"/>
    <w:rsid w:val="00750654"/>
    <w:rsid w:val="007507ED"/>
    <w:rsid w:val="007508E4"/>
    <w:rsid w:val="00750CC6"/>
    <w:rsid w:val="0075156E"/>
    <w:rsid w:val="0075168C"/>
    <w:rsid w:val="00751790"/>
    <w:rsid w:val="00751996"/>
    <w:rsid w:val="0075208F"/>
    <w:rsid w:val="007534FF"/>
    <w:rsid w:val="007537B1"/>
    <w:rsid w:val="00753CAE"/>
    <w:rsid w:val="00754011"/>
    <w:rsid w:val="0075410B"/>
    <w:rsid w:val="00754894"/>
    <w:rsid w:val="007549F7"/>
    <w:rsid w:val="00754ADE"/>
    <w:rsid w:val="00755ABA"/>
    <w:rsid w:val="007560BF"/>
    <w:rsid w:val="00756359"/>
    <w:rsid w:val="00756818"/>
    <w:rsid w:val="007569C1"/>
    <w:rsid w:val="00756C8C"/>
    <w:rsid w:val="00757809"/>
    <w:rsid w:val="00757836"/>
    <w:rsid w:val="00757A4E"/>
    <w:rsid w:val="00757C4D"/>
    <w:rsid w:val="00760710"/>
    <w:rsid w:val="00760C4C"/>
    <w:rsid w:val="00761989"/>
    <w:rsid w:val="00761AB6"/>
    <w:rsid w:val="00761B1F"/>
    <w:rsid w:val="00761B58"/>
    <w:rsid w:val="0076215E"/>
    <w:rsid w:val="00762E89"/>
    <w:rsid w:val="00762F88"/>
    <w:rsid w:val="0076329B"/>
    <w:rsid w:val="00763E0A"/>
    <w:rsid w:val="0076430A"/>
    <w:rsid w:val="007647C8"/>
    <w:rsid w:val="00764871"/>
    <w:rsid w:val="00764B27"/>
    <w:rsid w:val="007655F0"/>
    <w:rsid w:val="00765A82"/>
    <w:rsid w:val="00765AF9"/>
    <w:rsid w:val="00765B11"/>
    <w:rsid w:val="00765D04"/>
    <w:rsid w:val="007661A9"/>
    <w:rsid w:val="0076636D"/>
    <w:rsid w:val="0076661F"/>
    <w:rsid w:val="00766A3D"/>
    <w:rsid w:val="00766D22"/>
    <w:rsid w:val="00766E2A"/>
    <w:rsid w:val="007671F0"/>
    <w:rsid w:val="0076768A"/>
    <w:rsid w:val="007678E8"/>
    <w:rsid w:val="00767C9A"/>
    <w:rsid w:val="00767D67"/>
    <w:rsid w:val="00767D80"/>
    <w:rsid w:val="00767F7F"/>
    <w:rsid w:val="00770EB4"/>
    <w:rsid w:val="00771C67"/>
    <w:rsid w:val="00771F85"/>
    <w:rsid w:val="007725DA"/>
    <w:rsid w:val="00772EDC"/>
    <w:rsid w:val="007731B5"/>
    <w:rsid w:val="0077324F"/>
    <w:rsid w:val="007733CB"/>
    <w:rsid w:val="00773583"/>
    <w:rsid w:val="0077392C"/>
    <w:rsid w:val="00774994"/>
    <w:rsid w:val="007758C6"/>
    <w:rsid w:val="00775921"/>
    <w:rsid w:val="00775BF0"/>
    <w:rsid w:val="00776111"/>
    <w:rsid w:val="00776174"/>
    <w:rsid w:val="007762CA"/>
    <w:rsid w:val="007763E2"/>
    <w:rsid w:val="007766F9"/>
    <w:rsid w:val="007768C0"/>
    <w:rsid w:val="00777229"/>
    <w:rsid w:val="00777ED4"/>
    <w:rsid w:val="00780180"/>
    <w:rsid w:val="00780811"/>
    <w:rsid w:val="00780B1F"/>
    <w:rsid w:val="00780E3C"/>
    <w:rsid w:val="00780E64"/>
    <w:rsid w:val="007811E3"/>
    <w:rsid w:val="0078137A"/>
    <w:rsid w:val="00781B83"/>
    <w:rsid w:val="00781D72"/>
    <w:rsid w:val="00781ED0"/>
    <w:rsid w:val="00782052"/>
    <w:rsid w:val="00782279"/>
    <w:rsid w:val="007830F4"/>
    <w:rsid w:val="0078378E"/>
    <w:rsid w:val="00783A2B"/>
    <w:rsid w:val="00784178"/>
    <w:rsid w:val="00784217"/>
    <w:rsid w:val="007850C1"/>
    <w:rsid w:val="007854AF"/>
    <w:rsid w:val="00785721"/>
    <w:rsid w:val="00785B99"/>
    <w:rsid w:val="0078603C"/>
    <w:rsid w:val="00786096"/>
    <w:rsid w:val="0078609A"/>
    <w:rsid w:val="00786185"/>
    <w:rsid w:val="00786197"/>
    <w:rsid w:val="00786709"/>
    <w:rsid w:val="00786DB5"/>
    <w:rsid w:val="007879FC"/>
    <w:rsid w:val="0079053C"/>
    <w:rsid w:val="0079073D"/>
    <w:rsid w:val="00790A9D"/>
    <w:rsid w:val="00790FEB"/>
    <w:rsid w:val="007917ED"/>
    <w:rsid w:val="007918A2"/>
    <w:rsid w:val="00791FBF"/>
    <w:rsid w:val="0079200B"/>
    <w:rsid w:val="00792047"/>
    <w:rsid w:val="0079234B"/>
    <w:rsid w:val="007924B3"/>
    <w:rsid w:val="00792956"/>
    <w:rsid w:val="00792E58"/>
    <w:rsid w:val="007932AB"/>
    <w:rsid w:val="00793371"/>
    <w:rsid w:val="007942E8"/>
    <w:rsid w:val="00794659"/>
    <w:rsid w:val="00794975"/>
    <w:rsid w:val="00794B3F"/>
    <w:rsid w:val="00794F44"/>
    <w:rsid w:val="007952F5"/>
    <w:rsid w:val="00795753"/>
    <w:rsid w:val="0079622F"/>
    <w:rsid w:val="00796498"/>
    <w:rsid w:val="00796B87"/>
    <w:rsid w:val="00796F9F"/>
    <w:rsid w:val="007974C9"/>
    <w:rsid w:val="007A0290"/>
    <w:rsid w:val="007A048B"/>
    <w:rsid w:val="007A0591"/>
    <w:rsid w:val="007A0870"/>
    <w:rsid w:val="007A176A"/>
    <w:rsid w:val="007A1970"/>
    <w:rsid w:val="007A19BA"/>
    <w:rsid w:val="007A202A"/>
    <w:rsid w:val="007A203B"/>
    <w:rsid w:val="007A2052"/>
    <w:rsid w:val="007A2440"/>
    <w:rsid w:val="007A24BE"/>
    <w:rsid w:val="007A273D"/>
    <w:rsid w:val="007A29FC"/>
    <w:rsid w:val="007A3256"/>
    <w:rsid w:val="007A3CC5"/>
    <w:rsid w:val="007A3D55"/>
    <w:rsid w:val="007A3D91"/>
    <w:rsid w:val="007A3E20"/>
    <w:rsid w:val="007A43A2"/>
    <w:rsid w:val="007A44B3"/>
    <w:rsid w:val="007A47FE"/>
    <w:rsid w:val="007A4860"/>
    <w:rsid w:val="007A4AAB"/>
    <w:rsid w:val="007A4BEC"/>
    <w:rsid w:val="007A4D0D"/>
    <w:rsid w:val="007A60C0"/>
    <w:rsid w:val="007A6CED"/>
    <w:rsid w:val="007A70E5"/>
    <w:rsid w:val="007A7134"/>
    <w:rsid w:val="007A72B6"/>
    <w:rsid w:val="007A732D"/>
    <w:rsid w:val="007A777D"/>
    <w:rsid w:val="007A798D"/>
    <w:rsid w:val="007A7FE0"/>
    <w:rsid w:val="007B01AA"/>
    <w:rsid w:val="007B0718"/>
    <w:rsid w:val="007B0F0B"/>
    <w:rsid w:val="007B1234"/>
    <w:rsid w:val="007B143C"/>
    <w:rsid w:val="007B1BC5"/>
    <w:rsid w:val="007B2A8A"/>
    <w:rsid w:val="007B2C90"/>
    <w:rsid w:val="007B3701"/>
    <w:rsid w:val="007B3738"/>
    <w:rsid w:val="007B3C53"/>
    <w:rsid w:val="007B438B"/>
    <w:rsid w:val="007B46B6"/>
    <w:rsid w:val="007B5030"/>
    <w:rsid w:val="007B58DE"/>
    <w:rsid w:val="007B59A4"/>
    <w:rsid w:val="007B6337"/>
    <w:rsid w:val="007B6546"/>
    <w:rsid w:val="007B6E28"/>
    <w:rsid w:val="007B7B9D"/>
    <w:rsid w:val="007C0374"/>
    <w:rsid w:val="007C0753"/>
    <w:rsid w:val="007C07AD"/>
    <w:rsid w:val="007C0832"/>
    <w:rsid w:val="007C09B1"/>
    <w:rsid w:val="007C0C44"/>
    <w:rsid w:val="007C0C58"/>
    <w:rsid w:val="007C0DF5"/>
    <w:rsid w:val="007C0E8C"/>
    <w:rsid w:val="007C0F4D"/>
    <w:rsid w:val="007C1745"/>
    <w:rsid w:val="007C1ADA"/>
    <w:rsid w:val="007C2882"/>
    <w:rsid w:val="007C2CD2"/>
    <w:rsid w:val="007C30DA"/>
    <w:rsid w:val="007C311F"/>
    <w:rsid w:val="007C368F"/>
    <w:rsid w:val="007C3728"/>
    <w:rsid w:val="007C3B92"/>
    <w:rsid w:val="007C3CD2"/>
    <w:rsid w:val="007C3EA5"/>
    <w:rsid w:val="007C3F9A"/>
    <w:rsid w:val="007C3FC0"/>
    <w:rsid w:val="007C44B1"/>
    <w:rsid w:val="007C4C37"/>
    <w:rsid w:val="007C5219"/>
    <w:rsid w:val="007C5762"/>
    <w:rsid w:val="007C6ABC"/>
    <w:rsid w:val="007C73DB"/>
    <w:rsid w:val="007C7F2A"/>
    <w:rsid w:val="007D0548"/>
    <w:rsid w:val="007D083C"/>
    <w:rsid w:val="007D0B38"/>
    <w:rsid w:val="007D0CA7"/>
    <w:rsid w:val="007D146F"/>
    <w:rsid w:val="007D1EC9"/>
    <w:rsid w:val="007D22A9"/>
    <w:rsid w:val="007D2380"/>
    <w:rsid w:val="007D2787"/>
    <w:rsid w:val="007D280E"/>
    <w:rsid w:val="007D287D"/>
    <w:rsid w:val="007D2B1A"/>
    <w:rsid w:val="007D324E"/>
    <w:rsid w:val="007D35FF"/>
    <w:rsid w:val="007D3CD1"/>
    <w:rsid w:val="007D3D4F"/>
    <w:rsid w:val="007D3EBC"/>
    <w:rsid w:val="007D40A0"/>
    <w:rsid w:val="007D4157"/>
    <w:rsid w:val="007D4A99"/>
    <w:rsid w:val="007D4BDF"/>
    <w:rsid w:val="007D55A9"/>
    <w:rsid w:val="007D5D6D"/>
    <w:rsid w:val="007D61BE"/>
    <w:rsid w:val="007D6949"/>
    <w:rsid w:val="007D7049"/>
    <w:rsid w:val="007D742C"/>
    <w:rsid w:val="007D76E1"/>
    <w:rsid w:val="007D786F"/>
    <w:rsid w:val="007D7CEB"/>
    <w:rsid w:val="007E0457"/>
    <w:rsid w:val="007E0475"/>
    <w:rsid w:val="007E0C57"/>
    <w:rsid w:val="007E143B"/>
    <w:rsid w:val="007E191E"/>
    <w:rsid w:val="007E1ADA"/>
    <w:rsid w:val="007E1C01"/>
    <w:rsid w:val="007E1E1F"/>
    <w:rsid w:val="007E2152"/>
    <w:rsid w:val="007E28E7"/>
    <w:rsid w:val="007E3142"/>
    <w:rsid w:val="007E33B1"/>
    <w:rsid w:val="007E4E4F"/>
    <w:rsid w:val="007E4ECC"/>
    <w:rsid w:val="007E5BD8"/>
    <w:rsid w:val="007E61A9"/>
    <w:rsid w:val="007E64D9"/>
    <w:rsid w:val="007E67E7"/>
    <w:rsid w:val="007E6A95"/>
    <w:rsid w:val="007E6BAB"/>
    <w:rsid w:val="007E6F88"/>
    <w:rsid w:val="007E7599"/>
    <w:rsid w:val="007E7816"/>
    <w:rsid w:val="007E7AD1"/>
    <w:rsid w:val="007E7CC5"/>
    <w:rsid w:val="007F06B1"/>
    <w:rsid w:val="007F0879"/>
    <w:rsid w:val="007F108E"/>
    <w:rsid w:val="007F1372"/>
    <w:rsid w:val="007F146F"/>
    <w:rsid w:val="007F1509"/>
    <w:rsid w:val="007F1821"/>
    <w:rsid w:val="007F1914"/>
    <w:rsid w:val="007F1A1D"/>
    <w:rsid w:val="007F1D60"/>
    <w:rsid w:val="007F294E"/>
    <w:rsid w:val="007F2BF3"/>
    <w:rsid w:val="007F33AC"/>
    <w:rsid w:val="007F3963"/>
    <w:rsid w:val="007F3A2D"/>
    <w:rsid w:val="007F3F9D"/>
    <w:rsid w:val="007F4451"/>
    <w:rsid w:val="007F4512"/>
    <w:rsid w:val="007F4540"/>
    <w:rsid w:val="007F47BE"/>
    <w:rsid w:val="007F4CE7"/>
    <w:rsid w:val="007F4CFD"/>
    <w:rsid w:val="007F508A"/>
    <w:rsid w:val="007F5ADF"/>
    <w:rsid w:val="007F6205"/>
    <w:rsid w:val="007F6CC7"/>
    <w:rsid w:val="007F7E1C"/>
    <w:rsid w:val="0080024F"/>
    <w:rsid w:val="008005B8"/>
    <w:rsid w:val="008013E0"/>
    <w:rsid w:val="00801620"/>
    <w:rsid w:val="00801B4E"/>
    <w:rsid w:val="00801D7E"/>
    <w:rsid w:val="00801ED3"/>
    <w:rsid w:val="008021F5"/>
    <w:rsid w:val="008022F1"/>
    <w:rsid w:val="00802BFC"/>
    <w:rsid w:val="00803942"/>
    <w:rsid w:val="00803BFB"/>
    <w:rsid w:val="00804118"/>
    <w:rsid w:val="008041C6"/>
    <w:rsid w:val="00804681"/>
    <w:rsid w:val="008046DD"/>
    <w:rsid w:val="00804785"/>
    <w:rsid w:val="00804C73"/>
    <w:rsid w:val="00804DBB"/>
    <w:rsid w:val="00805046"/>
    <w:rsid w:val="00805517"/>
    <w:rsid w:val="0080558C"/>
    <w:rsid w:val="00805B57"/>
    <w:rsid w:val="00805E79"/>
    <w:rsid w:val="008070B5"/>
    <w:rsid w:val="008072E0"/>
    <w:rsid w:val="00807454"/>
    <w:rsid w:val="00810845"/>
    <w:rsid w:val="00811052"/>
    <w:rsid w:val="0081169F"/>
    <w:rsid w:val="00811FAC"/>
    <w:rsid w:val="00812F6B"/>
    <w:rsid w:val="00813313"/>
    <w:rsid w:val="00813383"/>
    <w:rsid w:val="008133AD"/>
    <w:rsid w:val="008133C0"/>
    <w:rsid w:val="00813573"/>
    <w:rsid w:val="0081371D"/>
    <w:rsid w:val="008139F1"/>
    <w:rsid w:val="00813C98"/>
    <w:rsid w:val="00813F5B"/>
    <w:rsid w:val="00814308"/>
    <w:rsid w:val="008144EA"/>
    <w:rsid w:val="00814A9E"/>
    <w:rsid w:val="00814ADA"/>
    <w:rsid w:val="00814DD3"/>
    <w:rsid w:val="00814E07"/>
    <w:rsid w:val="00814F99"/>
    <w:rsid w:val="00815713"/>
    <w:rsid w:val="00815DB8"/>
    <w:rsid w:val="008162C2"/>
    <w:rsid w:val="008165F8"/>
    <w:rsid w:val="00816B98"/>
    <w:rsid w:val="008171FF"/>
    <w:rsid w:val="00817265"/>
    <w:rsid w:val="0081742C"/>
    <w:rsid w:val="00817B37"/>
    <w:rsid w:val="00820043"/>
    <w:rsid w:val="00820ECE"/>
    <w:rsid w:val="0082172F"/>
    <w:rsid w:val="00821840"/>
    <w:rsid w:val="0082200F"/>
    <w:rsid w:val="00822223"/>
    <w:rsid w:val="008222B9"/>
    <w:rsid w:val="008223AD"/>
    <w:rsid w:val="00822530"/>
    <w:rsid w:val="0082305E"/>
    <w:rsid w:val="0082311F"/>
    <w:rsid w:val="0082351C"/>
    <w:rsid w:val="00823696"/>
    <w:rsid w:val="00823899"/>
    <w:rsid w:val="008240CF"/>
    <w:rsid w:val="008249CD"/>
    <w:rsid w:val="008249FD"/>
    <w:rsid w:val="00825817"/>
    <w:rsid w:val="00825F93"/>
    <w:rsid w:val="0082602A"/>
    <w:rsid w:val="0082619E"/>
    <w:rsid w:val="008261E2"/>
    <w:rsid w:val="008265E3"/>
    <w:rsid w:val="00826E86"/>
    <w:rsid w:val="00826EE2"/>
    <w:rsid w:val="00827006"/>
    <w:rsid w:val="00827410"/>
    <w:rsid w:val="008277BC"/>
    <w:rsid w:val="00827A6F"/>
    <w:rsid w:val="00827C88"/>
    <w:rsid w:val="00830464"/>
    <w:rsid w:val="008308D8"/>
    <w:rsid w:val="0083128E"/>
    <w:rsid w:val="00831291"/>
    <w:rsid w:val="00831B19"/>
    <w:rsid w:val="00831E96"/>
    <w:rsid w:val="00831F49"/>
    <w:rsid w:val="00832F2D"/>
    <w:rsid w:val="008339F4"/>
    <w:rsid w:val="00833D0E"/>
    <w:rsid w:val="0083428A"/>
    <w:rsid w:val="00834D3F"/>
    <w:rsid w:val="00834F8C"/>
    <w:rsid w:val="008354AB"/>
    <w:rsid w:val="008358DB"/>
    <w:rsid w:val="00835C32"/>
    <w:rsid w:val="00835C88"/>
    <w:rsid w:val="00835D67"/>
    <w:rsid w:val="0083624E"/>
    <w:rsid w:val="008366C2"/>
    <w:rsid w:val="008367E7"/>
    <w:rsid w:val="00837A53"/>
    <w:rsid w:val="00837D35"/>
    <w:rsid w:val="008402ED"/>
    <w:rsid w:val="0084098C"/>
    <w:rsid w:val="00840BEE"/>
    <w:rsid w:val="00840F06"/>
    <w:rsid w:val="0084136F"/>
    <w:rsid w:val="0084158F"/>
    <w:rsid w:val="0084163B"/>
    <w:rsid w:val="00841B48"/>
    <w:rsid w:val="0084240C"/>
    <w:rsid w:val="00842CC9"/>
    <w:rsid w:val="0084314C"/>
    <w:rsid w:val="008431D3"/>
    <w:rsid w:val="0084346A"/>
    <w:rsid w:val="0084360D"/>
    <w:rsid w:val="00843732"/>
    <w:rsid w:val="00843E8A"/>
    <w:rsid w:val="00844397"/>
    <w:rsid w:val="008443FA"/>
    <w:rsid w:val="00844401"/>
    <w:rsid w:val="008444FB"/>
    <w:rsid w:val="00844A3A"/>
    <w:rsid w:val="00844EE9"/>
    <w:rsid w:val="0084516D"/>
    <w:rsid w:val="00845437"/>
    <w:rsid w:val="00845863"/>
    <w:rsid w:val="00845AD9"/>
    <w:rsid w:val="00845DBF"/>
    <w:rsid w:val="008461A2"/>
    <w:rsid w:val="00846B39"/>
    <w:rsid w:val="00846B82"/>
    <w:rsid w:val="00847404"/>
    <w:rsid w:val="008506ED"/>
    <w:rsid w:val="008507DA"/>
    <w:rsid w:val="00850B6C"/>
    <w:rsid w:val="00850CA3"/>
    <w:rsid w:val="00850D87"/>
    <w:rsid w:val="008515FF"/>
    <w:rsid w:val="008516CA"/>
    <w:rsid w:val="0085170B"/>
    <w:rsid w:val="00851786"/>
    <w:rsid w:val="008517DC"/>
    <w:rsid w:val="00851A02"/>
    <w:rsid w:val="0085219A"/>
    <w:rsid w:val="008521B2"/>
    <w:rsid w:val="00852D66"/>
    <w:rsid w:val="00852F81"/>
    <w:rsid w:val="00853023"/>
    <w:rsid w:val="00853399"/>
    <w:rsid w:val="0085372F"/>
    <w:rsid w:val="00853BF3"/>
    <w:rsid w:val="00853EE8"/>
    <w:rsid w:val="00854DD7"/>
    <w:rsid w:val="008556A0"/>
    <w:rsid w:val="008558FE"/>
    <w:rsid w:val="00855964"/>
    <w:rsid w:val="008561E4"/>
    <w:rsid w:val="00856349"/>
    <w:rsid w:val="00856431"/>
    <w:rsid w:val="00856435"/>
    <w:rsid w:val="00857384"/>
    <w:rsid w:val="00860159"/>
    <w:rsid w:val="0086041F"/>
    <w:rsid w:val="00860574"/>
    <w:rsid w:val="008605AA"/>
    <w:rsid w:val="0086072D"/>
    <w:rsid w:val="00860E04"/>
    <w:rsid w:val="00860E48"/>
    <w:rsid w:val="00861062"/>
    <w:rsid w:val="00861160"/>
    <w:rsid w:val="00861312"/>
    <w:rsid w:val="0086175B"/>
    <w:rsid w:val="00861C91"/>
    <w:rsid w:val="00861E7A"/>
    <w:rsid w:val="0086202D"/>
    <w:rsid w:val="00862074"/>
    <w:rsid w:val="008623B1"/>
    <w:rsid w:val="00862A3A"/>
    <w:rsid w:val="00862B2B"/>
    <w:rsid w:val="00862E8C"/>
    <w:rsid w:val="00863055"/>
    <w:rsid w:val="00863196"/>
    <w:rsid w:val="008637D6"/>
    <w:rsid w:val="00863E9E"/>
    <w:rsid w:val="00863F7F"/>
    <w:rsid w:val="0086405F"/>
    <w:rsid w:val="008645A5"/>
    <w:rsid w:val="00864762"/>
    <w:rsid w:val="00864D52"/>
    <w:rsid w:val="00865311"/>
    <w:rsid w:val="0086564F"/>
    <w:rsid w:val="00865E2E"/>
    <w:rsid w:val="00865FB5"/>
    <w:rsid w:val="008660EE"/>
    <w:rsid w:val="008667E3"/>
    <w:rsid w:val="008669D3"/>
    <w:rsid w:val="00866EC7"/>
    <w:rsid w:val="008671E7"/>
    <w:rsid w:val="008672E3"/>
    <w:rsid w:val="00867A99"/>
    <w:rsid w:val="00867BAB"/>
    <w:rsid w:val="00867C33"/>
    <w:rsid w:val="00867F1E"/>
    <w:rsid w:val="008700E3"/>
    <w:rsid w:val="0087012A"/>
    <w:rsid w:val="00870839"/>
    <w:rsid w:val="00870B35"/>
    <w:rsid w:val="0087102D"/>
    <w:rsid w:val="008713B2"/>
    <w:rsid w:val="008717A3"/>
    <w:rsid w:val="00871972"/>
    <w:rsid w:val="00871D54"/>
    <w:rsid w:val="00871DE0"/>
    <w:rsid w:val="00872657"/>
    <w:rsid w:val="00872B84"/>
    <w:rsid w:val="00872F22"/>
    <w:rsid w:val="00873B31"/>
    <w:rsid w:val="00873FE5"/>
    <w:rsid w:val="008742B5"/>
    <w:rsid w:val="00874588"/>
    <w:rsid w:val="00874B89"/>
    <w:rsid w:val="00874D34"/>
    <w:rsid w:val="00874DED"/>
    <w:rsid w:val="0087514F"/>
    <w:rsid w:val="008753D1"/>
    <w:rsid w:val="00875524"/>
    <w:rsid w:val="00875AA1"/>
    <w:rsid w:val="00875E3F"/>
    <w:rsid w:val="008761B0"/>
    <w:rsid w:val="00876510"/>
    <w:rsid w:val="008768B2"/>
    <w:rsid w:val="00876AE8"/>
    <w:rsid w:val="00876DF9"/>
    <w:rsid w:val="00876F22"/>
    <w:rsid w:val="0087742F"/>
    <w:rsid w:val="008778B8"/>
    <w:rsid w:val="0087799B"/>
    <w:rsid w:val="00877C59"/>
    <w:rsid w:val="008803C9"/>
    <w:rsid w:val="0088085F"/>
    <w:rsid w:val="00880A49"/>
    <w:rsid w:val="00880BA9"/>
    <w:rsid w:val="00880EC8"/>
    <w:rsid w:val="00881525"/>
    <w:rsid w:val="00881A1B"/>
    <w:rsid w:val="00881C38"/>
    <w:rsid w:val="0088247B"/>
    <w:rsid w:val="008824DC"/>
    <w:rsid w:val="0088284D"/>
    <w:rsid w:val="00882A02"/>
    <w:rsid w:val="00883592"/>
    <w:rsid w:val="008835A1"/>
    <w:rsid w:val="008835B2"/>
    <w:rsid w:val="0088392B"/>
    <w:rsid w:val="00883A33"/>
    <w:rsid w:val="00883DC1"/>
    <w:rsid w:val="00883E8F"/>
    <w:rsid w:val="00884FDE"/>
    <w:rsid w:val="0088555A"/>
    <w:rsid w:val="00885D67"/>
    <w:rsid w:val="00885EE1"/>
    <w:rsid w:val="008860DC"/>
    <w:rsid w:val="00886294"/>
    <w:rsid w:val="008862FF"/>
    <w:rsid w:val="008865E2"/>
    <w:rsid w:val="00886880"/>
    <w:rsid w:val="0088734F"/>
    <w:rsid w:val="008876CF"/>
    <w:rsid w:val="008901A6"/>
    <w:rsid w:val="008904FB"/>
    <w:rsid w:val="00891537"/>
    <w:rsid w:val="008915A8"/>
    <w:rsid w:val="008918CC"/>
    <w:rsid w:val="00891F8F"/>
    <w:rsid w:val="008925E1"/>
    <w:rsid w:val="008928F1"/>
    <w:rsid w:val="00892E52"/>
    <w:rsid w:val="00893B07"/>
    <w:rsid w:val="00893E6A"/>
    <w:rsid w:val="00893F99"/>
    <w:rsid w:val="008948EC"/>
    <w:rsid w:val="00894A53"/>
    <w:rsid w:val="00894C19"/>
    <w:rsid w:val="00894DBA"/>
    <w:rsid w:val="00895181"/>
    <w:rsid w:val="00895454"/>
    <w:rsid w:val="00895D75"/>
    <w:rsid w:val="00895FE3"/>
    <w:rsid w:val="0089616F"/>
    <w:rsid w:val="008963B7"/>
    <w:rsid w:val="008966C0"/>
    <w:rsid w:val="0089703C"/>
    <w:rsid w:val="00897400"/>
    <w:rsid w:val="008974C2"/>
    <w:rsid w:val="00897756"/>
    <w:rsid w:val="008A02A1"/>
    <w:rsid w:val="008A09E8"/>
    <w:rsid w:val="008A19F8"/>
    <w:rsid w:val="008A1A08"/>
    <w:rsid w:val="008A1DCF"/>
    <w:rsid w:val="008A1EED"/>
    <w:rsid w:val="008A20B7"/>
    <w:rsid w:val="008A2496"/>
    <w:rsid w:val="008A24AF"/>
    <w:rsid w:val="008A2573"/>
    <w:rsid w:val="008A2812"/>
    <w:rsid w:val="008A2855"/>
    <w:rsid w:val="008A2CD5"/>
    <w:rsid w:val="008A2DD6"/>
    <w:rsid w:val="008A3246"/>
    <w:rsid w:val="008A36D7"/>
    <w:rsid w:val="008A4237"/>
    <w:rsid w:val="008A4ACB"/>
    <w:rsid w:val="008A4B50"/>
    <w:rsid w:val="008A5736"/>
    <w:rsid w:val="008A58A7"/>
    <w:rsid w:val="008A5C11"/>
    <w:rsid w:val="008A6327"/>
    <w:rsid w:val="008A65FB"/>
    <w:rsid w:val="008A6717"/>
    <w:rsid w:val="008A6C7F"/>
    <w:rsid w:val="008A6D76"/>
    <w:rsid w:val="008A6E9C"/>
    <w:rsid w:val="008A7674"/>
    <w:rsid w:val="008A79D7"/>
    <w:rsid w:val="008A7B89"/>
    <w:rsid w:val="008A7F09"/>
    <w:rsid w:val="008A7F4C"/>
    <w:rsid w:val="008B01D5"/>
    <w:rsid w:val="008B039B"/>
    <w:rsid w:val="008B04AF"/>
    <w:rsid w:val="008B06A6"/>
    <w:rsid w:val="008B0809"/>
    <w:rsid w:val="008B0B52"/>
    <w:rsid w:val="008B10EE"/>
    <w:rsid w:val="008B12FF"/>
    <w:rsid w:val="008B1665"/>
    <w:rsid w:val="008B1C6D"/>
    <w:rsid w:val="008B1E7E"/>
    <w:rsid w:val="008B20B9"/>
    <w:rsid w:val="008B23B0"/>
    <w:rsid w:val="008B25BD"/>
    <w:rsid w:val="008B25EA"/>
    <w:rsid w:val="008B3584"/>
    <w:rsid w:val="008B38AE"/>
    <w:rsid w:val="008B3E50"/>
    <w:rsid w:val="008B3F1B"/>
    <w:rsid w:val="008B4130"/>
    <w:rsid w:val="008B4817"/>
    <w:rsid w:val="008B4D82"/>
    <w:rsid w:val="008B54EF"/>
    <w:rsid w:val="008B6088"/>
    <w:rsid w:val="008B6205"/>
    <w:rsid w:val="008B6B58"/>
    <w:rsid w:val="008B6C26"/>
    <w:rsid w:val="008B7355"/>
    <w:rsid w:val="008B7410"/>
    <w:rsid w:val="008B762F"/>
    <w:rsid w:val="008B78D2"/>
    <w:rsid w:val="008B7C70"/>
    <w:rsid w:val="008C0809"/>
    <w:rsid w:val="008C14E0"/>
    <w:rsid w:val="008C18DF"/>
    <w:rsid w:val="008C19AA"/>
    <w:rsid w:val="008C1CCB"/>
    <w:rsid w:val="008C2168"/>
    <w:rsid w:val="008C24A3"/>
    <w:rsid w:val="008C259A"/>
    <w:rsid w:val="008C3811"/>
    <w:rsid w:val="008C3C76"/>
    <w:rsid w:val="008C4DEE"/>
    <w:rsid w:val="008C4FA5"/>
    <w:rsid w:val="008C5497"/>
    <w:rsid w:val="008C55D4"/>
    <w:rsid w:val="008C570D"/>
    <w:rsid w:val="008C589E"/>
    <w:rsid w:val="008C5EFA"/>
    <w:rsid w:val="008C5F90"/>
    <w:rsid w:val="008C60E1"/>
    <w:rsid w:val="008C67B8"/>
    <w:rsid w:val="008C701A"/>
    <w:rsid w:val="008C723B"/>
    <w:rsid w:val="008C7807"/>
    <w:rsid w:val="008C78B9"/>
    <w:rsid w:val="008C7955"/>
    <w:rsid w:val="008C7A8B"/>
    <w:rsid w:val="008C7A96"/>
    <w:rsid w:val="008C7FF7"/>
    <w:rsid w:val="008D095E"/>
    <w:rsid w:val="008D22CF"/>
    <w:rsid w:val="008D2716"/>
    <w:rsid w:val="008D312E"/>
    <w:rsid w:val="008D327D"/>
    <w:rsid w:val="008D3A2A"/>
    <w:rsid w:val="008D3F9D"/>
    <w:rsid w:val="008D4438"/>
    <w:rsid w:val="008D45A6"/>
    <w:rsid w:val="008D48D7"/>
    <w:rsid w:val="008D4960"/>
    <w:rsid w:val="008D4D4B"/>
    <w:rsid w:val="008D5576"/>
    <w:rsid w:val="008D5B6A"/>
    <w:rsid w:val="008D5E08"/>
    <w:rsid w:val="008D6079"/>
    <w:rsid w:val="008D62F0"/>
    <w:rsid w:val="008D6DE1"/>
    <w:rsid w:val="008D6E24"/>
    <w:rsid w:val="008D6EEB"/>
    <w:rsid w:val="008D6F05"/>
    <w:rsid w:val="008D711D"/>
    <w:rsid w:val="008D74F6"/>
    <w:rsid w:val="008D76B0"/>
    <w:rsid w:val="008D7C08"/>
    <w:rsid w:val="008D7E10"/>
    <w:rsid w:val="008E02CD"/>
    <w:rsid w:val="008E03DF"/>
    <w:rsid w:val="008E0539"/>
    <w:rsid w:val="008E078F"/>
    <w:rsid w:val="008E10D8"/>
    <w:rsid w:val="008E12E1"/>
    <w:rsid w:val="008E1A09"/>
    <w:rsid w:val="008E1AA4"/>
    <w:rsid w:val="008E1B2C"/>
    <w:rsid w:val="008E276D"/>
    <w:rsid w:val="008E27C7"/>
    <w:rsid w:val="008E2ECA"/>
    <w:rsid w:val="008E2FE9"/>
    <w:rsid w:val="008E315C"/>
    <w:rsid w:val="008E3681"/>
    <w:rsid w:val="008E4329"/>
    <w:rsid w:val="008E44F9"/>
    <w:rsid w:val="008E4BAE"/>
    <w:rsid w:val="008E542F"/>
    <w:rsid w:val="008E576B"/>
    <w:rsid w:val="008E5D23"/>
    <w:rsid w:val="008E61E4"/>
    <w:rsid w:val="008E6591"/>
    <w:rsid w:val="008E6D22"/>
    <w:rsid w:val="008E6EB6"/>
    <w:rsid w:val="008E6F40"/>
    <w:rsid w:val="008E7493"/>
    <w:rsid w:val="008E7695"/>
    <w:rsid w:val="008E76AD"/>
    <w:rsid w:val="008E7BC5"/>
    <w:rsid w:val="008F04F4"/>
    <w:rsid w:val="008F0556"/>
    <w:rsid w:val="008F1309"/>
    <w:rsid w:val="008F1505"/>
    <w:rsid w:val="008F1BD4"/>
    <w:rsid w:val="008F23AA"/>
    <w:rsid w:val="008F2908"/>
    <w:rsid w:val="008F2E82"/>
    <w:rsid w:val="008F2FA1"/>
    <w:rsid w:val="008F30D6"/>
    <w:rsid w:val="008F352C"/>
    <w:rsid w:val="008F3BB7"/>
    <w:rsid w:val="008F468B"/>
    <w:rsid w:val="008F4772"/>
    <w:rsid w:val="008F4EC7"/>
    <w:rsid w:val="008F4F48"/>
    <w:rsid w:val="008F635D"/>
    <w:rsid w:val="008F67F7"/>
    <w:rsid w:val="008F6AC4"/>
    <w:rsid w:val="008F6C5B"/>
    <w:rsid w:val="008F7A90"/>
    <w:rsid w:val="00900112"/>
    <w:rsid w:val="00900409"/>
    <w:rsid w:val="0090068C"/>
    <w:rsid w:val="00900719"/>
    <w:rsid w:val="009007F9"/>
    <w:rsid w:val="00900895"/>
    <w:rsid w:val="00900C6C"/>
    <w:rsid w:val="009010EF"/>
    <w:rsid w:val="00901183"/>
    <w:rsid w:val="0090154B"/>
    <w:rsid w:val="00901621"/>
    <w:rsid w:val="009017C7"/>
    <w:rsid w:val="009019CF"/>
    <w:rsid w:val="009026A1"/>
    <w:rsid w:val="00902726"/>
    <w:rsid w:val="009028BC"/>
    <w:rsid w:val="00902AB6"/>
    <w:rsid w:val="00903198"/>
    <w:rsid w:val="009031C2"/>
    <w:rsid w:val="009040B8"/>
    <w:rsid w:val="009043AB"/>
    <w:rsid w:val="009045A4"/>
    <w:rsid w:val="0090489D"/>
    <w:rsid w:val="0090496E"/>
    <w:rsid w:val="00904B5C"/>
    <w:rsid w:val="00904C85"/>
    <w:rsid w:val="00904D31"/>
    <w:rsid w:val="00904F3E"/>
    <w:rsid w:val="009054DB"/>
    <w:rsid w:val="00905614"/>
    <w:rsid w:val="00905906"/>
    <w:rsid w:val="00905A16"/>
    <w:rsid w:val="00906EF3"/>
    <w:rsid w:val="009078BF"/>
    <w:rsid w:val="00907911"/>
    <w:rsid w:val="00910306"/>
    <w:rsid w:val="009104D2"/>
    <w:rsid w:val="009107DA"/>
    <w:rsid w:val="0091085D"/>
    <w:rsid w:val="00910C70"/>
    <w:rsid w:val="00910D66"/>
    <w:rsid w:val="00910EAC"/>
    <w:rsid w:val="00910FCE"/>
    <w:rsid w:val="0091138D"/>
    <w:rsid w:val="0091142C"/>
    <w:rsid w:val="009115A0"/>
    <w:rsid w:val="00911763"/>
    <w:rsid w:val="00911A05"/>
    <w:rsid w:val="00911C1C"/>
    <w:rsid w:val="009120C5"/>
    <w:rsid w:val="0091300D"/>
    <w:rsid w:val="00913991"/>
    <w:rsid w:val="009141B5"/>
    <w:rsid w:val="00914261"/>
    <w:rsid w:val="00914641"/>
    <w:rsid w:val="009159EC"/>
    <w:rsid w:val="00915AF8"/>
    <w:rsid w:val="00915D4A"/>
    <w:rsid w:val="00916145"/>
    <w:rsid w:val="00916522"/>
    <w:rsid w:val="00916735"/>
    <w:rsid w:val="0091710C"/>
    <w:rsid w:val="009171CF"/>
    <w:rsid w:val="009173DB"/>
    <w:rsid w:val="00917687"/>
    <w:rsid w:val="00920066"/>
    <w:rsid w:val="009201F7"/>
    <w:rsid w:val="00920CEF"/>
    <w:rsid w:val="00920ECF"/>
    <w:rsid w:val="00921152"/>
    <w:rsid w:val="0092148E"/>
    <w:rsid w:val="009214DE"/>
    <w:rsid w:val="00921D1E"/>
    <w:rsid w:val="0092254F"/>
    <w:rsid w:val="009229EE"/>
    <w:rsid w:val="00922CB6"/>
    <w:rsid w:val="00923592"/>
    <w:rsid w:val="009236D5"/>
    <w:rsid w:val="009237E1"/>
    <w:rsid w:val="0092384D"/>
    <w:rsid w:val="00923EC4"/>
    <w:rsid w:val="009246D5"/>
    <w:rsid w:val="00924BD4"/>
    <w:rsid w:val="009255B6"/>
    <w:rsid w:val="00925CB6"/>
    <w:rsid w:val="00925F61"/>
    <w:rsid w:val="00926402"/>
    <w:rsid w:val="00926C76"/>
    <w:rsid w:val="009272DC"/>
    <w:rsid w:val="0092734A"/>
    <w:rsid w:val="009275E7"/>
    <w:rsid w:val="0092778B"/>
    <w:rsid w:val="00927A46"/>
    <w:rsid w:val="009300EE"/>
    <w:rsid w:val="00930895"/>
    <w:rsid w:val="00930FE3"/>
    <w:rsid w:val="00930FEF"/>
    <w:rsid w:val="00930FFA"/>
    <w:rsid w:val="00931D73"/>
    <w:rsid w:val="009322C9"/>
    <w:rsid w:val="00932326"/>
    <w:rsid w:val="00932514"/>
    <w:rsid w:val="00932F5C"/>
    <w:rsid w:val="00933465"/>
    <w:rsid w:val="00933761"/>
    <w:rsid w:val="009338E2"/>
    <w:rsid w:val="00933C36"/>
    <w:rsid w:val="0093423F"/>
    <w:rsid w:val="0093430A"/>
    <w:rsid w:val="0093464E"/>
    <w:rsid w:val="0093464F"/>
    <w:rsid w:val="009346C3"/>
    <w:rsid w:val="00934D84"/>
    <w:rsid w:val="009354F1"/>
    <w:rsid w:val="009357C4"/>
    <w:rsid w:val="009358BA"/>
    <w:rsid w:val="0093594C"/>
    <w:rsid w:val="0093643D"/>
    <w:rsid w:val="0093691A"/>
    <w:rsid w:val="00936FB5"/>
    <w:rsid w:val="00937251"/>
    <w:rsid w:val="009372F7"/>
    <w:rsid w:val="009375BD"/>
    <w:rsid w:val="00937A08"/>
    <w:rsid w:val="00937D04"/>
    <w:rsid w:val="0094008D"/>
    <w:rsid w:val="00940240"/>
    <w:rsid w:val="009405D8"/>
    <w:rsid w:val="009409DC"/>
    <w:rsid w:val="00940C68"/>
    <w:rsid w:val="00941480"/>
    <w:rsid w:val="00941798"/>
    <w:rsid w:val="00941B4B"/>
    <w:rsid w:val="00941D68"/>
    <w:rsid w:val="00942204"/>
    <w:rsid w:val="0094233C"/>
    <w:rsid w:val="009427A3"/>
    <w:rsid w:val="00942B61"/>
    <w:rsid w:val="009433E9"/>
    <w:rsid w:val="00943E2E"/>
    <w:rsid w:val="00943FBA"/>
    <w:rsid w:val="009440A7"/>
    <w:rsid w:val="00944476"/>
    <w:rsid w:val="0094449F"/>
    <w:rsid w:val="00944746"/>
    <w:rsid w:val="00944BE8"/>
    <w:rsid w:val="00944DA7"/>
    <w:rsid w:val="00945117"/>
    <w:rsid w:val="009459BC"/>
    <w:rsid w:val="00945EE8"/>
    <w:rsid w:val="00945F85"/>
    <w:rsid w:val="00946372"/>
    <w:rsid w:val="009465BA"/>
    <w:rsid w:val="009466AA"/>
    <w:rsid w:val="00946AF9"/>
    <w:rsid w:val="00946D0B"/>
    <w:rsid w:val="00946FE3"/>
    <w:rsid w:val="00947CC6"/>
    <w:rsid w:val="00947D56"/>
    <w:rsid w:val="00947DED"/>
    <w:rsid w:val="0095007C"/>
    <w:rsid w:val="00950648"/>
    <w:rsid w:val="0095080B"/>
    <w:rsid w:val="00950838"/>
    <w:rsid w:val="009509F1"/>
    <w:rsid w:val="00951185"/>
    <w:rsid w:val="0095131D"/>
    <w:rsid w:val="0095155E"/>
    <w:rsid w:val="00951B0F"/>
    <w:rsid w:val="009520A1"/>
    <w:rsid w:val="00952680"/>
    <w:rsid w:val="00952A2E"/>
    <w:rsid w:val="0095335F"/>
    <w:rsid w:val="00953737"/>
    <w:rsid w:val="0095379A"/>
    <w:rsid w:val="009537DB"/>
    <w:rsid w:val="00953AA3"/>
    <w:rsid w:val="00953F30"/>
    <w:rsid w:val="0095415E"/>
    <w:rsid w:val="009542EE"/>
    <w:rsid w:val="009543C0"/>
    <w:rsid w:val="0095476F"/>
    <w:rsid w:val="0095482E"/>
    <w:rsid w:val="00954C21"/>
    <w:rsid w:val="00954CF4"/>
    <w:rsid w:val="009555A1"/>
    <w:rsid w:val="00955839"/>
    <w:rsid w:val="00956773"/>
    <w:rsid w:val="00956CCA"/>
    <w:rsid w:val="009570E7"/>
    <w:rsid w:val="00957251"/>
    <w:rsid w:val="00957AA7"/>
    <w:rsid w:val="0096052E"/>
    <w:rsid w:val="009605EC"/>
    <w:rsid w:val="00960BDD"/>
    <w:rsid w:val="00960E9A"/>
    <w:rsid w:val="00960F34"/>
    <w:rsid w:val="00961058"/>
    <w:rsid w:val="00961A8D"/>
    <w:rsid w:val="00961F6D"/>
    <w:rsid w:val="0096235A"/>
    <w:rsid w:val="009627DB"/>
    <w:rsid w:val="00962BED"/>
    <w:rsid w:val="00962D59"/>
    <w:rsid w:val="0096351B"/>
    <w:rsid w:val="00963B08"/>
    <w:rsid w:val="00963CB3"/>
    <w:rsid w:val="00963D93"/>
    <w:rsid w:val="00964486"/>
    <w:rsid w:val="00964523"/>
    <w:rsid w:val="009645A7"/>
    <w:rsid w:val="0096461B"/>
    <w:rsid w:val="00964623"/>
    <w:rsid w:val="00964BF6"/>
    <w:rsid w:val="00964EC4"/>
    <w:rsid w:val="0096530D"/>
    <w:rsid w:val="009653C4"/>
    <w:rsid w:val="009653C5"/>
    <w:rsid w:val="00965668"/>
    <w:rsid w:val="009656CA"/>
    <w:rsid w:val="00965F1D"/>
    <w:rsid w:val="009668B7"/>
    <w:rsid w:val="00966FC5"/>
    <w:rsid w:val="00967102"/>
    <w:rsid w:val="00967831"/>
    <w:rsid w:val="00970337"/>
    <w:rsid w:val="0097061E"/>
    <w:rsid w:val="00970872"/>
    <w:rsid w:val="0097097C"/>
    <w:rsid w:val="00970D85"/>
    <w:rsid w:val="00970DDE"/>
    <w:rsid w:val="00971744"/>
    <w:rsid w:val="00971F42"/>
    <w:rsid w:val="00972726"/>
    <w:rsid w:val="00972CB1"/>
    <w:rsid w:val="00973555"/>
    <w:rsid w:val="009735A4"/>
    <w:rsid w:val="009737FA"/>
    <w:rsid w:val="009739E7"/>
    <w:rsid w:val="009743E7"/>
    <w:rsid w:val="009744A7"/>
    <w:rsid w:val="009749C7"/>
    <w:rsid w:val="00974C6D"/>
    <w:rsid w:val="00974EBD"/>
    <w:rsid w:val="00975A2C"/>
    <w:rsid w:val="00975A59"/>
    <w:rsid w:val="00976316"/>
    <w:rsid w:val="0097634A"/>
    <w:rsid w:val="009767F5"/>
    <w:rsid w:val="00976CB2"/>
    <w:rsid w:val="00980071"/>
    <w:rsid w:val="00980104"/>
    <w:rsid w:val="009808C0"/>
    <w:rsid w:val="00980A4D"/>
    <w:rsid w:val="0098141E"/>
    <w:rsid w:val="0098179E"/>
    <w:rsid w:val="00982256"/>
    <w:rsid w:val="00982742"/>
    <w:rsid w:val="0098277B"/>
    <w:rsid w:val="009827C4"/>
    <w:rsid w:val="00982831"/>
    <w:rsid w:val="009828C0"/>
    <w:rsid w:val="00982DE2"/>
    <w:rsid w:val="00982F0D"/>
    <w:rsid w:val="00982FE1"/>
    <w:rsid w:val="00983120"/>
    <w:rsid w:val="0098365B"/>
    <w:rsid w:val="00983959"/>
    <w:rsid w:val="0098424C"/>
    <w:rsid w:val="00984360"/>
    <w:rsid w:val="00984968"/>
    <w:rsid w:val="00984A62"/>
    <w:rsid w:val="00985180"/>
    <w:rsid w:val="00985523"/>
    <w:rsid w:val="00985895"/>
    <w:rsid w:val="009859FE"/>
    <w:rsid w:val="00985C91"/>
    <w:rsid w:val="00985F94"/>
    <w:rsid w:val="00986672"/>
    <w:rsid w:val="00986688"/>
    <w:rsid w:val="00987332"/>
    <w:rsid w:val="00990406"/>
    <w:rsid w:val="00990620"/>
    <w:rsid w:val="009909AF"/>
    <w:rsid w:val="00990D75"/>
    <w:rsid w:val="00990DC5"/>
    <w:rsid w:val="00990EBA"/>
    <w:rsid w:val="009913E3"/>
    <w:rsid w:val="00991542"/>
    <w:rsid w:val="00991573"/>
    <w:rsid w:val="009918AD"/>
    <w:rsid w:val="00991A28"/>
    <w:rsid w:val="00991B8A"/>
    <w:rsid w:val="009927AF"/>
    <w:rsid w:val="00992957"/>
    <w:rsid w:val="00992A10"/>
    <w:rsid w:val="00992BD4"/>
    <w:rsid w:val="0099325F"/>
    <w:rsid w:val="009939F2"/>
    <w:rsid w:val="00993FB3"/>
    <w:rsid w:val="009941FA"/>
    <w:rsid w:val="00994205"/>
    <w:rsid w:val="00994215"/>
    <w:rsid w:val="00994610"/>
    <w:rsid w:val="0099533F"/>
    <w:rsid w:val="00995E08"/>
    <w:rsid w:val="0099629F"/>
    <w:rsid w:val="00996363"/>
    <w:rsid w:val="00996A99"/>
    <w:rsid w:val="00996CB5"/>
    <w:rsid w:val="009976E8"/>
    <w:rsid w:val="00997A6C"/>
    <w:rsid w:val="00997ACF"/>
    <w:rsid w:val="009A03F0"/>
    <w:rsid w:val="009A0647"/>
    <w:rsid w:val="009A06B3"/>
    <w:rsid w:val="009A0940"/>
    <w:rsid w:val="009A10DC"/>
    <w:rsid w:val="009A123E"/>
    <w:rsid w:val="009A14AC"/>
    <w:rsid w:val="009A1CEB"/>
    <w:rsid w:val="009A1F89"/>
    <w:rsid w:val="009A24A0"/>
    <w:rsid w:val="009A2571"/>
    <w:rsid w:val="009A293A"/>
    <w:rsid w:val="009A2E8E"/>
    <w:rsid w:val="009A2E95"/>
    <w:rsid w:val="009A326E"/>
    <w:rsid w:val="009A3446"/>
    <w:rsid w:val="009A36E7"/>
    <w:rsid w:val="009A3953"/>
    <w:rsid w:val="009A3B33"/>
    <w:rsid w:val="009A3B5C"/>
    <w:rsid w:val="009A4591"/>
    <w:rsid w:val="009A4C4E"/>
    <w:rsid w:val="009A5006"/>
    <w:rsid w:val="009A5127"/>
    <w:rsid w:val="009A6337"/>
    <w:rsid w:val="009A6457"/>
    <w:rsid w:val="009A683D"/>
    <w:rsid w:val="009A6A3D"/>
    <w:rsid w:val="009A6BB4"/>
    <w:rsid w:val="009A7209"/>
    <w:rsid w:val="009A7DAC"/>
    <w:rsid w:val="009B02F9"/>
    <w:rsid w:val="009B09D5"/>
    <w:rsid w:val="009B131C"/>
    <w:rsid w:val="009B14DD"/>
    <w:rsid w:val="009B16C7"/>
    <w:rsid w:val="009B19A2"/>
    <w:rsid w:val="009B1DDD"/>
    <w:rsid w:val="009B1F36"/>
    <w:rsid w:val="009B27F6"/>
    <w:rsid w:val="009B2A73"/>
    <w:rsid w:val="009B2AE4"/>
    <w:rsid w:val="009B2C97"/>
    <w:rsid w:val="009B2F6A"/>
    <w:rsid w:val="009B3363"/>
    <w:rsid w:val="009B37C6"/>
    <w:rsid w:val="009B45FF"/>
    <w:rsid w:val="009B462E"/>
    <w:rsid w:val="009B4679"/>
    <w:rsid w:val="009B4A2B"/>
    <w:rsid w:val="009B4B13"/>
    <w:rsid w:val="009B5372"/>
    <w:rsid w:val="009B5425"/>
    <w:rsid w:val="009B5A65"/>
    <w:rsid w:val="009B5E68"/>
    <w:rsid w:val="009B5F0D"/>
    <w:rsid w:val="009B6049"/>
    <w:rsid w:val="009B6544"/>
    <w:rsid w:val="009B6757"/>
    <w:rsid w:val="009B6851"/>
    <w:rsid w:val="009B6BB0"/>
    <w:rsid w:val="009B6BC4"/>
    <w:rsid w:val="009B6D1F"/>
    <w:rsid w:val="009B6ECF"/>
    <w:rsid w:val="009B71AB"/>
    <w:rsid w:val="009B78A3"/>
    <w:rsid w:val="009B7C71"/>
    <w:rsid w:val="009C0489"/>
    <w:rsid w:val="009C13F1"/>
    <w:rsid w:val="009C1709"/>
    <w:rsid w:val="009C2122"/>
    <w:rsid w:val="009C285A"/>
    <w:rsid w:val="009C29FA"/>
    <w:rsid w:val="009C2EB1"/>
    <w:rsid w:val="009C2FAF"/>
    <w:rsid w:val="009C311A"/>
    <w:rsid w:val="009C32A0"/>
    <w:rsid w:val="009C396C"/>
    <w:rsid w:val="009C3BAD"/>
    <w:rsid w:val="009C3C71"/>
    <w:rsid w:val="009C48A2"/>
    <w:rsid w:val="009C4BBD"/>
    <w:rsid w:val="009C56EF"/>
    <w:rsid w:val="009C5B0B"/>
    <w:rsid w:val="009C5BC5"/>
    <w:rsid w:val="009C62BC"/>
    <w:rsid w:val="009C6FA9"/>
    <w:rsid w:val="009C7141"/>
    <w:rsid w:val="009C7308"/>
    <w:rsid w:val="009C7763"/>
    <w:rsid w:val="009C77DD"/>
    <w:rsid w:val="009C7DC0"/>
    <w:rsid w:val="009C7E8C"/>
    <w:rsid w:val="009C7F5E"/>
    <w:rsid w:val="009D01CD"/>
    <w:rsid w:val="009D048E"/>
    <w:rsid w:val="009D0549"/>
    <w:rsid w:val="009D0A2D"/>
    <w:rsid w:val="009D0BC2"/>
    <w:rsid w:val="009D1283"/>
    <w:rsid w:val="009D1D66"/>
    <w:rsid w:val="009D1E3A"/>
    <w:rsid w:val="009D2059"/>
    <w:rsid w:val="009D2062"/>
    <w:rsid w:val="009D238D"/>
    <w:rsid w:val="009D24D7"/>
    <w:rsid w:val="009D2967"/>
    <w:rsid w:val="009D2AC8"/>
    <w:rsid w:val="009D2BCA"/>
    <w:rsid w:val="009D2E33"/>
    <w:rsid w:val="009D2E85"/>
    <w:rsid w:val="009D3200"/>
    <w:rsid w:val="009D39CB"/>
    <w:rsid w:val="009D3A6B"/>
    <w:rsid w:val="009D3A96"/>
    <w:rsid w:val="009D3BD9"/>
    <w:rsid w:val="009D4426"/>
    <w:rsid w:val="009D462E"/>
    <w:rsid w:val="009D511D"/>
    <w:rsid w:val="009D51EF"/>
    <w:rsid w:val="009D5A98"/>
    <w:rsid w:val="009D5DE3"/>
    <w:rsid w:val="009D5F06"/>
    <w:rsid w:val="009D6386"/>
    <w:rsid w:val="009D6655"/>
    <w:rsid w:val="009D6814"/>
    <w:rsid w:val="009D6D4D"/>
    <w:rsid w:val="009D710E"/>
    <w:rsid w:val="009D75C3"/>
    <w:rsid w:val="009D7627"/>
    <w:rsid w:val="009D79DE"/>
    <w:rsid w:val="009D7E09"/>
    <w:rsid w:val="009E0282"/>
    <w:rsid w:val="009E0343"/>
    <w:rsid w:val="009E046B"/>
    <w:rsid w:val="009E0600"/>
    <w:rsid w:val="009E0CF1"/>
    <w:rsid w:val="009E0DB2"/>
    <w:rsid w:val="009E1530"/>
    <w:rsid w:val="009E1B96"/>
    <w:rsid w:val="009E1F2C"/>
    <w:rsid w:val="009E1F97"/>
    <w:rsid w:val="009E26D5"/>
    <w:rsid w:val="009E2B60"/>
    <w:rsid w:val="009E2E81"/>
    <w:rsid w:val="009E2E83"/>
    <w:rsid w:val="009E307D"/>
    <w:rsid w:val="009E344D"/>
    <w:rsid w:val="009E34E0"/>
    <w:rsid w:val="009E3526"/>
    <w:rsid w:val="009E3994"/>
    <w:rsid w:val="009E3A2D"/>
    <w:rsid w:val="009E3D36"/>
    <w:rsid w:val="009E3F20"/>
    <w:rsid w:val="009E467E"/>
    <w:rsid w:val="009E53A4"/>
    <w:rsid w:val="009E5501"/>
    <w:rsid w:val="009E5703"/>
    <w:rsid w:val="009E6518"/>
    <w:rsid w:val="009E66C4"/>
    <w:rsid w:val="009E677F"/>
    <w:rsid w:val="009E6E0B"/>
    <w:rsid w:val="009E71D3"/>
    <w:rsid w:val="009E792A"/>
    <w:rsid w:val="009E7C09"/>
    <w:rsid w:val="009F01E4"/>
    <w:rsid w:val="009F03BB"/>
    <w:rsid w:val="009F08A6"/>
    <w:rsid w:val="009F0C11"/>
    <w:rsid w:val="009F1BB0"/>
    <w:rsid w:val="009F1C47"/>
    <w:rsid w:val="009F1FE1"/>
    <w:rsid w:val="009F22D7"/>
    <w:rsid w:val="009F30A2"/>
    <w:rsid w:val="009F33CD"/>
    <w:rsid w:val="009F3DBA"/>
    <w:rsid w:val="009F3DCA"/>
    <w:rsid w:val="009F4402"/>
    <w:rsid w:val="009F4A70"/>
    <w:rsid w:val="009F4BB2"/>
    <w:rsid w:val="009F52E0"/>
    <w:rsid w:val="009F5701"/>
    <w:rsid w:val="009F578D"/>
    <w:rsid w:val="009F5B0E"/>
    <w:rsid w:val="009F5FDD"/>
    <w:rsid w:val="009F6847"/>
    <w:rsid w:val="009F69CF"/>
    <w:rsid w:val="009F6B46"/>
    <w:rsid w:val="009F7173"/>
    <w:rsid w:val="009F7206"/>
    <w:rsid w:val="009F7423"/>
    <w:rsid w:val="009F792B"/>
    <w:rsid w:val="009F793F"/>
    <w:rsid w:val="009F7BDD"/>
    <w:rsid w:val="00A00474"/>
    <w:rsid w:val="00A004A4"/>
    <w:rsid w:val="00A00613"/>
    <w:rsid w:val="00A0069A"/>
    <w:rsid w:val="00A01425"/>
    <w:rsid w:val="00A0161D"/>
    <w:rsid w:val="00A017E5"/>
    <w:rsid w:val="00A021A9"/>
    <w:rsid w:val="00A02351"/>
    <w:rsid w:val="00A0293D"/>
    <w:rsid w:val="00A02A81"/>
    <w:rsid w:val="00A02AE0"/>
    <w:rsid w:val="00A02B16"/>
    <w:rsid w:val="00A02BBF"/>
    <w:rsid w:val="00A02E71"/>
    <w:rsid w:val="00A03276"/>
    <w:rsid w:val="00A03A8D"/>
    <w:rsid w:val="00A03E0E"/>
    <w:rsid w:val="00A03E15"/>
    <w:rsid w:val="00A046CE"/>
    <w:rsid w:val="00A049E4"/>
    <w:rsid w:val="00A04F86"/>
    <w:rsid w:val="00A04FB0"/>
    <w:rsid w:val="00A0517F"/>
    <w:rsid w:val="00A051DD"/>
    <w:rsid w:val="00A05958"/>
    <w:rsid w:val="00A059FB"/>
    <w:rsid w:val="00A05AAB"/>
    <w:rsid w:val="00A05B6E"/>
    <w:rsid w:val="00A05E67"/>
    <w:rsid w:val="00A06381"/>
    <w:rsid w:val="00A064F0"/>
    <w:rsid w:val="00A06B5C"/>
    <w:rsid w:val="00A07280"/>
    <w:rsid w:val="00A0745D"/>
    <w:rsid w:val="00A074B9"/>
    <w:rsid w:val="00A07561"/>
    <w:rsid w:val="00A07703"/>
    <w:rsid w:val="00A0772E"/>
    <w:rsid w:val="00A079B0"/>
    <w:rsid w:val="00A07D92"/>
    <w:rsid w:val="00A1029E"/>
    <w:rsid w:val="00A10551"/>
    <w:rsid w:val="00A10974"/>
    <w:rsid w:val="00A10BE8"/>
    <w:rsid w:val="00A10E06"/>
    <w:rsid w:val="00A110FF"/>
    <w:rsid w:val="00A111C2"/>
    <w:rsid w:val="00A112D8"/>
    <w:rsid w:val="00A11613"/>
    <w:rsid w:val="00A11C6C"/>
    <w:rsid w:val="00A11CE3"/>
    <w:rsid w:val="00A11E1C"/>
    <w:rsid w:val="00A12308"/>
    <w:rsid w:val="00A12403"/>
    <w:rsid w:val="00A126D1"/>
    <w:rsid w:val="00A127FC"/>
    <w:rsid w:val="00A137E2"/>
    <w:rsid w:val="00A1387C"/>
    <w:rsid w:val="00A14AFF"/>
    <w:rsid w:val="00A14C75"/>
    <w:rsid w:val="00A1518E"/>
    <w:rsid w:val="00A151CF"/>
    <w:rsid w:val="00A1541F"/>
    <w:rsid w:val="00A1551F"/>
    <w:rsid w:val="00A15BA0"/>
    <w:rsid w:val="00A15E57"/>
    <w:rsid w:val="00A162B4"/>
    <w:rsid w:val="00A16987"/>
    <w:rsid w:val="00A16F2F"/>
    <w:rsid w:val="00A17476"/>
    <w:rsid w:val="00A175D1"/>
    <w:rsid w:val="00A178FC"/>
    <w:rsid w:val="00A17D8D"/>
    <w:rsid w:val="00A20981"/>
    <w:rsid w:val="00A209D1"/>
    <w:rsid w:val="00A20F5B"/>
    <w:rsid w:val="00A21088"/>
    <w:rsid w:val="00A21620"/>
    <w:rsid w:val="00A217F8"/>
    <w:rsid w:val="00A21F13"/>
    <w:rsid w:val="00A22450"/>
    <w:rsid w:val="00A229B1"/>
    <w:rsid w:val="00A22BF4"/>
    <w:rsid w:val="00A22C4F"/>
    <w:rsid w:val="00A23129"/>
    <w:rsid w:val="00A23319"/>
    <w:rsid w:val="00A23462"/>
    <w:rsid w:val="00A23731"/>
    <w:rsid w:val="00A23794"/>
    <w:rsid w:val="00A23B1C"/>
    <w:rsid w:val="00A23BCE"/>
    <w:rsid w:val="00A23C6C"/>
    <w:rsid w:val="00A23F5E"/>
    <w:rsid w:val="00A241F8"/>
    <w:rsid w:val="00A24324"/>
    <w:rsid w:val="00A251B5"/>
    <w:rsid w:val="00A256A4"/>
    <w:rsid w:val="00A261D5"/>
    <w:rsid w:val="00A2681B"/>
    <w:rsid w:val="00A268DB"/>
    <w:rsid w:val="00A26A4D"/>
    <w:rsid w:val="00A26AF8"/>
    <w:rsid w:val="00A26E88"/>
    <w:rsid w:val="00A272ED"/>
    <w:rsid w:val="00A2744A"/>
    <w:rsid w:val="00A27578"/>
    <w:rsid w:val="00A2767B"/>
    <w:rsid w:val="00A279E4"/>
    <w:rsid w:val="00A27A0B"/>
    <w:rsid w:val="00A27B11"/>
    <w:rsid w:val="00A27D5C"/>
    <w:rsid w:val="00A30B21"/>
    <w:rsid w:val="00A3103B"/>
    <w:rsid w:val="00A313DC"/>
    <w:rsid w:val="00A315BA"/>
    <w:rsid w:val="00A31AEB"/>
    <w:rsid w:val="00A31F07"/>
    <w:rsid w:val="00A31FE8"/>
    <w:rsid w:val="00A32169"/>
    <w:rsid w:val="00A328DF"/>
    <w:rsid w:val="00A32970"/>
    <w:rsid w:val="00A32BE5"/>
    <w:rsid w:val="00A32CFA"/>
    <w:rsid w:val="00A32FF0"/>
    <w:rsid w:val="00A330D2"/>
    <w:rsid w:val="00A33190"/>
    <w:rsid w:val="00A332DB"/>
    <w:rsid w:val="00A3384B"/>
    <w:rsid w:val="00A33942"/>
    <w:rsid w:val="00A33A9E"/>
    <w:rsid w:val="00A340C5"/>
    <w:rsid w:val="00A340DC"/>
    <w:rsid w:val="00A34D90"/>
    <w:rsid w:val="00A34E85"/>
    <w:rsid w:val="00A35412"/>
    <w:rsid w:val="00A358EA"/>
    <w:rsid w:val="00A35F13"/>
    <w:rsid w:val="00A35FC2"/>
    <w:rsid w:val="00A3609F"/>
    <w:rsid w:val="00A362F1"/>
    <w:rsid w:val="00A362FD"/>
    <w:rsid w:val="00A364EF"/>
    <w:rsid w:val="00A36AAF"/>
    <w:rsid w:val="00A37069"/>
    <w:rsid w:val="00A37C44"/>
    <w:rsid w:val="00A37C9F"/>
    <w:rsid w:val="00A4092C"/>
    <w:rsid w:val="00A40D90"/>
    <w:rsid w:val="00A41931"/>
    <w:rsid w:val="00A41B08"/>
    <w:rsid w:val="00A4223E"/>
    <w:rsid w:val="00A42906"/>
    <w:rsid w:val="00A42978"/>
    <w:rsid w:val="00A42EBA"/>
    <w:rsid w:val="00A430AD"/>
    <w:rsid w:val="00A43221"/>
    <w:rsid w:val="00A43421"/>
    <w:rsid w:val="00A43772"/>
    <w:rsid w:val="00A4424C"/>
    <w:rsid w:val="00A4449E"/>
    <w:rsid w:val="00A44A74"/>
    <w:rsid w:val="00A44ACC"/>
    <w:rsid w:val="00A45DEF"/>
    <w:rsid w:val="00A46A6B"/>
    <w:rsid w:val="00A46AD9"/>
    <w:rsid w:val="00A47017"/>
    <w:rsid w:val="00A47857"/>
    <w:rsid w:val="00A47AAD"/>
    <w:rsid w:val="00A47B0E"/>
    <w:rsid w:val="00A47DF4"/>
    <w:rsid w:val="00A47F03"/>
    <w:rsid w:val="00A50078"/>
    <w:rsid w:val="00A502F4"/>
    <w:rsid w:val="00A503FE"/>
    <w:rsid w:val="00A50669"/>
    <w:rsid w:val="00A5071F"/>
    <w:rsid w:val="00A509E4"/>
    <w:rsid w:val="00A50AE5"/>
    <w:rsid w:val="00A5128E"/>
    <w:rsid w:val="00A5166A"/>
    <w:rsid w:val="00A51899"/>
    <w:rsid w:val="00A51BAC"/>
    <w:rsid w:val="00A51F35"/>
    <w:rsid w:val="00A520C7"/>
    <w:rsid w:val="00A52199"/>
    <w:rsid w:val="00A52246"/>
    <w:rsid w:val="00A525B1"/>
    <w:rsid w:val="00A52A3D"/>
    <w:rsid w:val="00A534E3"/>
    <w:rsid w:val="00A53510"/>
    <w:rsid w:val="00A5374B"/>
    <w:rsid w:val="00A53B29"/>
    <w:rsid w:val="00A53B99"/>
    <w:rsid w:val="00A54892"/>
    <w:rsid w:val="00A54D84"/>
    <w:rsid w:val="00A553D5"/>
    <w:rsid w:val="00A5543C"/>
    <w:rsid w:val="00A559BD"/>
    <w:rsid w:val="00A5605E"/>
    <w:rsid w:val="00A5615B"/>
    <w:rsid w:val="00A56954"/>
    <w:rsid w:val="00A56A4E"/>
    <w:rsid w:val="00A56CC6"/>
    <w:rsid w:val="00A5714F"/>
    <w:rsid w:val="00A57480"/>
    <w:rsid w:val="00A576D7"/>
    <w:rsid w:val="00A578D0"/>
    <w:rsid w:val="00A579EA"/>
    <w:rsid w:val="00A57B82"/>
    <w:rsid w:val="00A6007A"/>
    <w:rsid w:val="00A60502"/>
    <w:rsid w:val="00A60588"/>
    <w:rsid w:val="00A60DD6"/>
    <w:rsid w:val="00A61602"/>
    <w:rsid w:val="00A61943"/>
    <w:rsid w:val="00A61D40"/>
    <w:rsid w:val="00A61ED5"/>
    <w:rsid w:val="00A620FF"/>
    <w:rsid w:val="00A6227B"/>
    <w:rsid w:val="00A6242E"/>
    <w:rsid w:val="00A62C92"/>
    <w:rsid w:val="00A62E5C"/>
    <w:rsid w:val="00A6315C"/>
    <w:rsid w:val="00A63456"/>
    <w:rsid w:val="00A6356B"/>
    <w:rsid w:val="00A638A0"/>
    <w:rsid w:val="00A63BEB"/>
    <w:rsid w:val="00A64C84"/>
    <w:rsid w:val="00A6513F"/>
    <w:rsid w:val="00A65281"/>
    <w:rsid w:val="00A65C9F"/>
    <w:rsid w:val="00A65DF0"/>
    <w:rsid w:val="00A66D42"/>
    <w:rsid w:val="00A66D91"/>
    <w:rsid w:val="00A66EDE"/>
    <w:rsid w:val="00A6749B"/>
    <w:rsid w:val="00A67FD7"/>
    <w:rsid w:val="00A7000B"/>
    <w:rsid w:val="00A70509"/>
    <w:rsid w:val="00A70563"/>
    <w:rsid w:val="00A70B19"/>
    <w:rsid w:val="00A70EC3"/>
    <w:rsid w:val="00A713D4"/>
    <w:rsid w:val="00A71605"/>
    <w:rsid w:val="00A7186F"/>
    <w:rsid w:val="00A71950"/>
    <w:rsid w:val="00A71CC6"/>
    <w:rsid w:val="00A721AE"/>
    <w:rsid w:val="00A72282"/>
    <w:rsid w:val="00A72410"/>
    <w:rsid w:val="00A726AE"/>
    <w:rsid w:val="00A7308E"/>
    <w:rsid w:val="00A731A3"/>
    <w:rsid w:val="00A737DB"/>
    <w:rsid w:val="00A73BCD"/>
    <w:rsid w:val="00A73D86"/>
    <w:rsid w:val="00A742BA"/>
    <w:rsid w:val="00A74692"/>
    <w:rsid w:val="00A74702"/>
    <w:rsid w:val="00A74799"/>
    <w:rsid w:val="00A74A5E"/>
    <w:rsid w:val="00A74F23"/>
    <w:rsid w:val="00A75340"/>
    <w:rsid w:val="00A75569"/>
    <w:rsid w:val="00A7587D"/>
    <w:rsid w:val="00A75CDF"/>
    <w:rsid w:val="00A76702"/>
    <w:rsid w:val="00A76706"/>
    <w:rsid w:val="00A76F2A"/>
    <w:rsid w:val="00A76FFF"/>
    <w:rsid w:val="00A77174"/>
    <w:rsid w:val="00A772B3"/>
    <w:rsid w:val="00A777ED"/>
    <w:rsid w:val="00A80144"/>
    <w:rsid w:val="00A80254"/>
    <w:rsid w:val="00A80B46"/>
    <w:rsid w:val="00A80C23"/>
    <w:rsid w:val="00A82125"/>
    <w:rsid w:val="00A8224D"/>
    <w:rsid w:val="00A823A0"/>
    <w:rsid w:val="00A8291F"/>
    <w:rsid w:val="00A82B97"/>
    <w:rsid w:val="00A82C48"/>
    <w:rsid w:val="00A83659"/>
    <w:rsid w:val="00A83C73"/>
    <w:rsid w:val="00A83D48"/>
    <w:rsid w:val="00A83DF9"/>
    <w:rsid w:val="00A83EF6"/>
    <w:rsid w:val="00A83F71"/>
    <w:rsid w:val="00A8448A"/>
    <w:rsid w:val="00A8522F"/>
    <w:rsid w:val="00A8573D"/>
    <w:rsid w:val="00A85957"/>
    <w:rsid w:val="00A860EA"/>
    <w:rsid w:val="00A86903"/>
    <w:rsid w:val="00A8737E"/>
    <w:rsid w:val="00A87404"/>
    <w:rsid w:val="00A8754F"/>
    <w:rsid w:val="00A87F02"/>
    <w:rsid w:val="00A9110E"/>
    <w:rsid w:val="00A91638"/>
    <w:rsid w:val="00A92061"/>
    <w:rsid w:val="00A9214B"/>
    <w:rsid w:val="00A922DB"/>
    <w:rsid w:val="00A92587"/>
    <w:rsid w:val="00A925FE"/>
    <w:rsid w:val="00A92648"/>
    <w:rsid w:val="00A92E71"/>
    <w:rsid w:val="00A92ECE"/>
    <w:rsid w:val="00A93207"/>
    <w:rsid w:val="00A93365"/>
    <w:rsid w:val="00A939FD"/>
    <w:rsid w:val="00A93C21"/>
    <w:rsid w:val="00A945EB"/>
    <w:rsid w:val="00A9465D"/>
    <w:rsid w:val="00A948A0"/>
    <w:rsid w:val="00A94C37"/>
    <w:rsid w:val="00A9642B"/>
    <w:rsid w:val="00A96A1D"/>
    <w:rsid w:val="00A96EA7"/>
    <w:rsid w:val="00A97002"/>
    <w:rsid w:val="00A977D6"/>
    <w:rsid w:val="00A97FD0"/>
    <w:rsid w:val="00AA21CA"/>
    <w:rsid w:val="00AA28DE"/>
    <w:rsid w:val="00AA3344"/>
    <w:rsid w:val="00AA33F1"/>
    <w:rsid w:val="00AA4958"/>
    <w:rsid w:val="00AA4B19"/>
    <w:rsid w:val="00AA51F1"/>
    <w:rsid w:val="00AA54ED"/>
    <w:rsid w:val="00AA575E"/>
    <w:rsid w:val="00AA6175"/>
    <w:rsid w:val="00AA622C"/>
    <w:rsid w:val="00AA629B"/>
    <w:rsid w:val="00AA65FA"/>
    <w:rsid w:val="00AA6796"/>
    <w:rsid w:val="00AA6F92"/>
    <w:rsid w:val="00AA7311"/>
    <w:rsid w:val="00AB0DFB"/>
    <w:rsid w:val="00AB0EDE"/>
    <w:rsid w:val="00AB0F61"/>
    <w:rsid w:val="00AB0F98"/>
    <w:rsid w:val="00AB12DD"/>
    <w:rsid w:val="00AB21C5"/>
    <w:rsid w:val="00AB2A3D"/>
    <w:rsid w:val="00AB2F4D"/>
    <w:rsid w:val="00AB3147"/>
    <w:rsid w:val="00AB338C"/>
    <w:rsid w:val="00AB3A9A"/>
    <w:rsid w:val="00AB4FFC"/>
    <w:rsid w:val="00AB509D"/>
    <w:rsid w:val="00AB5485"/>
    <w:rsid w:val="00AB57BA"/>
    <w:rsid w:val="00AB5836"/>
    <w:rsid w:val="00AB583C"/>
    <w:rsid w:val="00AB62EA"/>
    <w:rsid w:val="00AB6B35"/>
    <w:rsid w:val="00AB6F34"/>
    <w:rsid w:val="00AB7462"/>
    <w:rsid w:val="00AB7FAB"/>
    <w:rsid w:val="00AC0177"/>
    <w:rsid w:val="00AC0446"/>
    <w:rsid w:val="00AC0887"/>
    <w:rsid w:val="00AC0C1B"/>
    <w:rsid w:val="00AC0EAD"/>
    <w:rsid w:val="00AC0F47"/>
    <w:rsid w:val="00AC180D"/>
    <w:rsid w:val="00AC1813"/>
    <w:rsid w:val="00AC19FD"/>
    <w:rsid w:val="00AC1FD5"/>
    <w:rsid w:val="00AC2373"/>
    <w:rsid w:val="00AC25B5"/>
    <w:rsid w:val="00AC272F"/>
    <w:rsid w:val="00AC2A6A"/>
    <w:rsid w:val="00AC2B5E"/>
    <w:rsid w:val="00AC3506"/>
    <w:rsid w:val="00AC35D7"/>
    <w:rsid w:val="00AC3714"/>
    <w:rsid w:val="00AC3D72"/>
    <w:rsid w:val="00AC3E9B"/>
    <w:rsid w:val="00AC4170"/>
    <w:rsid w:val="00AC43AD"/>
    <w:rsid w:val="00AC4525"/>
    <w:rsid w:val="00AC4742"/>
    <w:rsid w:val="00AC4A23"/>
    <w:rsid w:val="00AC5A9E"/>
    <w:rsid w:val="00AC60F4"/>
    <w:rsid w:val="00AC617E"/>
    <w:rsid w:val="00AC638C"/>
    <w:rsid w:val="00AC6411"/>
    <w:rsid w:val="00AC6DFC"/>
    <w:rsid w:val="00AC701E"/>
    <w:rsid w:val="00AC7250"/>
    <w:rsid w:val="00AC730D"/>
    <w:rsid w:val="00AC73B3"/>
    <w:rsid w:val="00AC782C"/>
    <w:rsid w:val="00AC79C6"/>
    <w:rsid w:val="00AC79E4"/>
    <w:rsid w:val="00AD01E0"/>
    <w:rsid w:val="00AD041D"/>
    <w:rsid w:val="00AD0517"/>
    <w:rsid w:val="00AD08E4"/>
    <w:rsid w:val="00AD096C"/>
    <w:rsid w:val="00AD0B7E"/>
    <w:rsid w:val="00AD11C3"/>
    <w:rsid w:val="00AD14B2"/>
    <w:rsid w:val="00AD164D"/>
    <w:rsid w:val="00AD1956"/>
    <w:rsid w:val="00AD1B8F"/>
    <w:rsid w:val="00AD217B"/>
    <w:rsid w:val="00AD21E7"/>
    <w:rsid w:val="00AD22BA"/>
    <w:rsid w:val="00AD26BA"/>
    <w:rsid w:val="00AD325B"/>
    <w:rsid w:val="00AD36AB"/>
    <w:rsid w:val="00AD3C59"/>
    <w:rsid w:val="00AD410E"/>
    <w:rsid w:val="00AD4A16"/>
    <w:rsid w:val="00AD4AD2"/>
    <w:rsid w:val="00AD4FB8"/>
    <w:rsid w:val="00AD5232"/>
    <w:rsid w:val="00AD560D"/>
    <w:rsid w:val="00AD568B"/>
    <w:rsid w:val="00AD5FB2"/>
    <w:rsid w:val="00AD61F6"/>
    <w:rsid w:val="00AD68E7"/>
    <w:rsid w:val="00AD6980"/>
    <w:rsid w:val="00AD6C1C"/>
    <w:rsid w:val="00AD73AE"/>
    <w:rsid w:val="00AD74AD"/>
    <w:rsid w:val="00AD757D"/>
    <w:rsid w:val="00AD7BBE"/>
    <w:rsid w:val="00AE0ADC"/>
    <w:rsid w:val="00AE0FE6"/>
    <w:rsid w:val="00AE1879"/>
    <w:rsid w:val="00AE1E9B"/>
    <w:rsid w:val="00AE23C6"/>
    <w:rsid w:val="00AE23CB"/>
    <w:rsid w:val="00AE2EE0"/>
    <w:rsid w:val="00AE3298"/>
    <w:rsid w:val="00AE345E"/>
    <w:rsid w:val="00AE3E34"/>
    <w:rsid w:val="00AE4B5A"/>
    <w:rsid w:val="00AE4C88"/>
    <w:rsid w:val="00AE507B"/>
    <w:rsid w:val="00AE5423"/>
    <w:rsid w:val="00AE5B95"/>
    <w:rsid w:val="00AE6407"/>
    <w:rsid w:val="00AE65CB"/>
    <w:rsid w:val="00AE6A58"/>
    <w:rsid w:val="00AE6B66"/>
    <w:rsid w:val="00AE6EAA"/>
    <w:rsid w:val="00AE6FBB"/>
    <w:rsid w:val="00AE70B6"/>
    <w:rsid w:val="00AE75BD"/>
    <w:rsid w:val="00AF00C6"/>
    <w:rsid w:val="00AF012D"/>
    <w:rsid w:val="00AF067D"/>
    <w:rsid w:val="00AF0DBD"/>
    <w:rsid w:val="00AF0EAC"/>
    <w:rsid w:val="00AF1162"/>
    <w:rsid w:val="00AF1275"/>
    <w:rsid w:val="00AF1767"/>
    <w:rsid w:val="00AF35E8"/>
    <w:rsid w:val="00AF38CD"/>
    <w:rsid w:val="00AF399A"/>
    <w:rsid w:val="00AF3CC7"/>
    <w:rsid w:val="00AF3F60"/>
    <w:rsid w:val="00AF47DF"/>
    <w:rsid w:val="00AF4853"/>
    <w:rsid w:val="00AF4E65"/>
    <w:rsid w:val="00AF5A6F"/>
    <w:rsid w:val="00AF5B4A"/>
    <w:rsid w:val="00AF62E9"/>
    <w:rsid w:val="00AF69C4"/>
    <w:rsid w:val="00AF6D80"/>
    <w:rsid w:val="00AF7040"/>
    <w:rsid w:val="00AF714F"/>
    <w:rsid w:val="00AF7527"/>
    <w:rsid w:val="00AF7597"/>
    <w:rsid w:val="00B00022"/>
    <w:rsid w:val="00B00085"/>
    <w:rsid w:val="00B0008B"/>
    <w:rsid w:val="00B00116"/>
    <w:rsid w:val="00B011C5"/>
    <w:rsid w:val="00B01235"/>
    <w:rsid w:val="00B013A4"/>
    <w:rsid w:val="00B0145B"/>
    <w:rsid w:val="00B015DE"/>
    <w:rsid w:val="00B01E82"/>
    <w:rsid w:val="00B0204F"/>
    <w:rsid w:val="00B0216D"/>
    <w:rsid w:val="00B02DF4"/>
    <w:rsid w:val="00B03295"/>
    <w:rsid w:val="00B0346D"/>
    <w:rsid w:val="00B0352B"/>
    <w:rsid w:val="00B035F6"/>
    <w:rsid w:val="00B03970"/>
    <w:rsid w:val="00B03D5B"/>
    <w:rsid w:val="00B03E88"/>
    <w:rsid w:val="00B044AD"/>
    <w:rsid w:val="00B0488D"/>
    <w:rsid w:val="00B04A05"/>
    <w:rsid w:val="00B04C97"/>
    <w:rsid w:val="00B04F5F"/>
    <w:rsid w:val="00B04FD4"/>
    <w:rsid w:val="00B054BF"/>
    <w:rsid w:val="00B055A8"/>
    <w:rsid w:val="00B0575C"/>
    <w:rsid w:val="00B05AF6"/>
    <w:rsid w:val="00B05D58"/>
    <w:rsid w:val="00B05DEC"/>
    <w:rsid w:val="00B06AAD"/>
    <w:rsid w:val="00B06F90"/>
    <w:rsid w:val="00B074C8"/>
    <w:rsid w:val="00B074DC"/>
    <w:rsid w:val="00B07B1B"/>
    <w:rsid w:val="00B07F6A"/>
    <w:rsid w:val="00B10529"/>
    <w:rsid w:val="00B10646"/>
    <w:rsid w:val="00B1093B"/>
    <w:rsid w:val="00B10A4F"/>
    <w:rsid w:val="00B10BFE"/>
    <w:rsid w:val="00B10D56"/>
    <w:rsid w:val="00B10EE9"/>
    <w:rsid w:val="00B11059"/>
    <w:rsid w:val="00B11096"/>
    <w:rsid w:val="00B11520"/>
    <w:rsid w:val="00B12500"/>
    <w:rsid w:val="00B1266A"/>
    <w:rsid w:val="00B129E1"/>
    <w:rsid w:val="00B12F6C"/>
    <w:rsid w:val="00B130E5"/>
    <w:rsid w:val="00B13BDC"/>
    <w:rsid w:val="00B13BFA"/>
    <w:rsid w:val="00B1492B"/>
    <w:rsid w:val="00B14FF4"/>
    <w:rsid w:val="00B151AC"/>
    <w:rsid w:val="00B15349"/>
    <w:rsid w:val="00B154D9"/>
    <w:rsid w:val="00B1550C"/>
    <w:rsid w:val="00B1559D"/>
    <w:rsid w:val="00B15607"/>
    <w:rsid w:val="00B159C6"/>
    <w:rsid w:val="00B15B16"/>
    <w:rsid w:val="00B15E70"/>
    <w:rsid w:val="00B16C19"/>
    <w:rsid w:val="00B16E3F"/>
    <w:rsid w:val="00B17142"/>
    <w:rsid w:val="00B177E9"/>
    <w:rsid w:val="00B17915"/>
    <w:rsid w:val="00B17CDD"/>
    <w:rsid w:val="00B2006F"/>
    <w:rsid w:val="00B202D9"/>
    <w:rsid w:val="00B2032A"/>
    <w:rsid w:val="00B2043C"/>
    <w:rsid w:val="00B206E8"/>
    <w:rsid w:val="00B214B6"/>
    <w:rsid w:val="00B2189B"/>
    <w:rsid w:val="00B21E61"/>
    <w:rsid w:val="00B21E6C"/>
    <w:rsid w:val="00B21E9C"/>
    <w:rsid w:val="00B22286"/>
    <w:rsid w:val="00B22844"/>
    <w:rsid w:val="00B23012"/>
    <w:rsid w:val="00B230BF"/>
    <w:rsid w:val="00B23123"/>
    <w:rsid w:val="00B234A9"/>
    <w:rsid w:val="00B23CA9"/>
    <w:rsid w:val="00B23E09"/>
    <w:rsid w:val="00B2448D"/>
    <w:rsid w:val="00B2459D"/>
    <w:rsid w:val="00B246EC"/>
    <w:rsid w:val="00B24CF5"/>
    <w:rsid w:val="00B255DE"/>
    <w:rsid w:val="00B25FAA"/>
    <w:rsid w:val="00B260B6"/>
    <w:rsid w:val="00B2620F"/>
    <w:rsid w:val="00B26305"/>
    <w:rsid w:val="00B26306"/>
    <w:rsid w:val="00B2669C"/>
    <w:rsid w:val="00B266B2"/>
    <w:rsid w:val="00B26A40"/>
    <w:rsid w:val="00B2751D"/>
    <w:rsid w:val="00B27888"/>
    <w:rsid w:val="00B27DCF"/>
    <w:rsid w:val="00B300A7"/>
    <w:rsid w:val="00B30252"/>
    <w:rsid w:val="00B303E6"/>
    <w:rsid w:val="00B30EA4"/>
    <w:rsid w:val="00B312AC"/>
    <w:rsid w:val="00B317FE"/>
    <w:rsid w:val="00B318FD"/>
    <w:rsid w:val="00B3193C"/>
    <w:rsid w:val="00B31B18"/>
    <w:rsid w:val="00B31D3E"/>
    <w:rsid w:val="00B32251"/>
    <w:rsid w:val="00B324E5"/>
    <w:rsid w:val="00B328CA"/>
    <w:rsid w:val="00B329A5"/>
    <w:rsid w:val="00B32A8B"/>
    <w:rsid w:val="00B32B3A"/>
    <w:rsid w:val="00B32CA8"/>
    <w:rsid w:val="00B32D3A"/>
    <w:rsid w:val="00B3330C"/>
    <w:rsid w:val="00B33468"/>
    <w:rsid w:val="00B33827"/>
    <w:rsid w:val="00B3383C"/>
    <w:rsid w:val="00B339BA"/>
    <w:rsid w:val="00B33BF3"/>
    <w:rsid w:val="00B33C3E"/>
    <w:rsid w:val="00B342B9"/>
    <w:rsid w:val="00B34511"/>
    <w:rsid w:val="00B3469B"/>
    <w:rsid w:val="00B347B6"/>
    <w:rsid w:val="00B34B77"/>
    <w:rsid w:val="00B34EAB"/>
    <w:rsid w:val="00B3556C"/>
    <w:rsid w:val="00B35DBF"/>
    <w:rsid w:val="00B35E1D"/>
    <w:rsid w:val="00B35F88"/>
    <w:rsid w:val="00B3601D"/>
    <w:rsid w:val="00B36129"/>
    <w:rsid w:val="00B366B1"/>
    <w:rsid w:val="00B36810"/>
    <w:rsid w:val="00B36B60"/>
    <w:rsid w:val="00B36C10"/>
    <w:rsid w:val="00B36F7E"/>
    <w:rsid w:val="00B370FF"/>
    <w:rsid w:val="00B372D3"/>
    <w:rsid w:val="00B3784A"/>
    <w:rsid w:val="00B40619"/>
    <w:rsid w:val="00B40A02"/>
    <w:rsid w:val="00B40BD3"/>
    <w:rsid w:val="00B41161"/>
    <w:rsid w:val="00B41481"/>
    <w:rsid w:val="00B4169E"/>
    <w:rsid w:val="00B418CC"/>
    <w:rsid w:val="00B419AD"/>
    <w:rsid w:val="00B419DA"/>
    <w:rsid w:val="00B41C8B"/>
    <w:rsid w:val="00B427A3"/>
    <w:rsid w:val="00B42BCC"/>
    <w:rsid w:val="00B42CDC"/>
    <w:rsid w:val="00B43243"/>
    <w:rsid w:val="00B4356D"/>
    <w:rsid w:val="00B43DE8"/>
    <w:rsid w:val="00B447D4"/>
    <w:rsid w:val="00B450BF"/>
    <w:rsid w:val="00B45137"/>
    <w:rsid w:val="00B4550D"/>
    <w:rsid w:val="00B45AE4"/>
    <w:rsid w:val="00B45C9B"/>
    <w:rsid w:val="00B45F00"/>
    <w:rsid w:val="00B46945"/>
    <w:rsid w:val="00B46C76"/>
    <w:rsid w:val="00B471B1"/>
    <w:rsid w:val="00B473CB"/>
    <w:rsid w:val="00B473F4"/>
    <w:rsid w:val="00B47638"/>
    <w:rsid w:val="00B47D2D"/>
    <w:rsid w:val="00B502B4"/>
    <w:rsid w:val="00B5074B"/>
    <w:rsid w:val="00B50E7F"/>
    <w:rsid w:val="00B51018"/>
    <w:rsid w:val="00B5145C"/>
    <w:rsid w:val="00B51777"/>
    <w:rsid w:val="00B51898"/>
    <w:rsid w:val="00B5255D"/>
    <w:rsid w:val="00B52A5D"/>
    <w:rsid w:val="00B52A71"/>
    <w:rsid w:val="00B52D0F"/>
    <w:rsid w:val="00B52D3F"/>
    <w:rsid w:val="00B52F14"/>
    <w:rsid w:val="00B52F16"/>
    <w:rsid w:val="00B5311A"/>
    <w:rsid w:val="00B5318F"/>
    <w:rsid w:val="00B53279"/>
    <w:rsid w:val="00B5344B"/>
    <w:rsid w:val="00B539B6"/>
    <w:rsid w:val="00B539E6"/>
    <w:rsid w:val="00B53AE1"/>
    <w:rsid w:val="00B53B40"/>
    <w:rsid w:val="00B53D71"/>
    <w:rsid w:val="00B53DBC"/>
    <w:rsid w:val="00B53E5E"/>
    <w:rsid w:val="00B54D67"/>
    <w:rsid w:val="00B556EC"/>
    <w:rsid w:val="00B55AC6"/>
    <w:rsid w:val="00B55F11"/>
    <w:rsid w:val="00B56203"/>
    <w:rsid w:val="00B56C5F"/>
    <w:rsid w:val="00B56F90"/>
    <w:rsid w:val="00B57054"/>
    <w:rsid w:val="00B57399"/>
    <w:rsid w:val="00B576AE"/>
    <w:rsid w:val="00B57DB5"/>
    <w:rsid w:val="00B60906"/>
    <w:rsid w:val="00B60E49"/>
    <w:rsid w:val="00B60E53"/>
    <w:rsid w:val="00B6107A"/>
    <w:rsid w:val="00B62205"/>
    <w:rsid w:val="00B622B9"/>
    <w:rsid w:val="00B62604"/>
    <w:rsid w:val="00B6263E"/>
    <w:rsid w:val="00B62998"/>
    <w:rsid w:val="00B62A6F"/>
    <w:rsid w:val="00B63284"/>
    <w:rsid w:val="00B633C6"/>
    <w:rsid w:val="00B63B57"/>
    <w:rsid w:val="00B63E8E"/>
    <w:rsid w:val="00B64658"/>
    <w:rsid w:val="00B64E3F"/>
    <w:rsid w:val="00B65490"/>
    <w:rsid w:val="00B65963"/>
    <w:rsid w:val="00B65A4F"/>
    <w:rsid w:val="00B65E02"/>
    <w:rsid w:val="00B6612F"/>
    <w:rsid w:val="00B66315"/>
    <w:rsid w:val="00B666F8"/>
    <w:rsid w:val="00B67323"/>
    <w:rsid w:val="00B6741B"/>
    <w:rsid w:val="00B674D5"/>
    <w:rsid w:val="00B6751A"/>
    <w:rsid w:val="00B67586"/>
    <w:rsid w:val="00B67B22"/>
    <w:rsid w:val="00B67E3D"/>
    <w:rsid w:val="00B7040F"/>
    <w:rsid w:val="00B70BD5"/>
    <w:rsid w:val="00B71118"/>
    <w:rsid w:val="00B71B53"/>
    <w:rsid w:val="00B72121"/>
    <w:rsid w:val="00B7273B"/>
    <w:rsid w:val="00B73751"/>
    <w:rsid w:val="00B74699"/>
    <w:rsid w:val="00B75515"/>
    <w:rsid w:val="00B75D3C"/>
    <w:rsid w:val="00B760AE"/>
    <w:rsid w:val="00B76223"/>
    <w:rsid w:val="00B7667C"/>
    <w:rsid w:val="00B76774"/>
    <w:rsid w:val="00B76AF3"/>
    <w:rsid w:val="00B76B76"/>
    <w:rsid w:val="00B77E0B"/>
    <w:rsid w:val="00B80326"/>
    <w:rsid w:val="00B80339"/>
    <w:rsid w:val="00B803BC"/>
    <w:rsid w:val="00B806F4"/>
    <w:rsid w:val="00B80A93"/>
    <w:rsid w:val="00B81B60"/>
    <w:rsid w:val="00B81D63"/>
    <w:rsid w:val="00B81D91"/>
    <w:rsid w:val="00B81F0F"/>
    <w:rsid w:val="00B82779"/>
    <w:rsid w:val="00B8288E"/>
    <w:rsid w:val="00B82BBB"/>
    <w:rsid w:val="00B82DA4"/>
    <w:rsid w:val="00B82EB3"/>
    <w:rsid w:val="00B83227"/>
    <w:rsid w:val="00B8393C"/>
    <w:rsid w:val="00B844B3"/>
    <w:rsid w:val="00B84589"/>
    <w:rsid w:val="00B8459F"/>
    <w:rsid w:val="00B85068"/>
    <w:rsid w:val="00B85331"/>
    <w:rsid w:val="00B853C5"/>
    <w:rsid w:val="00B856CC"/>
    <w:rsid w:val="00B85908"/>
    <w:rsid w:val="00B8596D"/>
    <w:rsid w:val="00B85DC2"/>
    <w:rsid w:val="00B85ED4"/>
    <w:rsid w:val="00B86081"/>
    <w:rsid w:val="00B865A3"/>
    <w:rsid w:val="00B86862"/>
    <w:rsid w:val="00B86C9A"/>
    <w:rsid w:val="00B87847"/>
    <w:rsid w:val="00B87849"/>
    <w:rsid w:val="00B87FCC"/>
    <w:rsid w:val="00B901A4"/>
    <w:rsid w:val="00B90661"/>
    <w:rsid w:val="00B916FE"/>
    <w:rsid w:val="00B91D56"/>
    <w:rsid w:val="00B91E44"/>
    <w:rsid w:val="00B91ECA"/>
    <w:rsid w:val="00B92194"/>
    <w:rsid w:val="00B9230C"/>
    <w:rsid w:val="00B9280F"/>
    <w:rsid w:val="00B92914"/>
    <w:rsid w:val="00B92BB0"/>
    <w:rsid w:val="00B92E0E"/>
    <w:rsid w:val="00B92E10"/>
    <w:rsid w:val="00B9312B"/>
    <w:rsid w:val="00B932A7"/>
    <w:rsid w:val="00B93707"/>
    <w:rsid w:val="00B93C32"/>
    <w:rsid w:val="00B93FF8"/>
    <w:rsid w:val="00B951D7"/>
    <w:rsid w:val="00B954EC"/>
    <w:rsid w:val="00B9569F"/>
    <w:rsid w:val="00B9586C"/>
    <w:rsid w:val="00B9590D"/>
    <w:rsid w:val="00B961E1"/>
    <w:rsid w:val="00B96EF3"/>
    <w:rsid w:val="00B976D1"/>
    <w:rsid w:val="00BA04C1"/>
    <w:rsid w:val="00BA0B07"/>
    <w:rsid w:val="00BA0CAC"/>
    <w:rsid w:val="00BA1284"/>
    <w:rsid w:val="00BA19D9"/>
    <w:rsid w:val="00BA1AE1"/>
    <w:rsid w:val="00BA1C4B"/>
    <w:rsid w:val="00BA2B80"/>
    <w:rsid w:val="00BA2E3B"/>
    <w:rsid w:val="00BA32DA"/>
    <w:rsid w:val="00BA3926"/>
    <w:rsid w:val="00BA3B94"/>
    <w:rsid w:val="00BA3E5A"/>
    <w:rsid w:val="00BA3F70"/>
    <w:rsid w:val="00BA4097"/>
    <w:rsid w:val="00BA42A5"/>
    <w:rsid w:val="00BA45C8"/>
    <w:rsid w:val="00BA4642"/>
    <w:rsid w:val="00BA49F3"/>
    <w:rsid w:val="00BA4ACD"/>
    <w:rsid w:val="00BA5198"/>
    <w:rsid w:val="00BA53FF"/>
    <w:rsid w:val="00BA54D3"/>
    <w:rsid w:val="00BA5DE7"/>
    <w:rsid w:val="00BA5E96"/>
    <w:rsid w:val="00BA6652"/>
    <w:rsid w:val="00BA67B6"/>
    <w:rsid w:val="00BA6D9B"/>
    <w:rsid w:val="00BA7386"/>
    <w:rsid w:val="00BA7C14"/>
    <w:rsid w:val="00BA7D88"/>
    <w:rsid w:val="00BB03CB"/>
    <w:rsid w:val="00BB04DB"/>
    <w:rsid w:val="00BB0827"/>
    <w:rsid w:val="00BB09B1"/>
    <w:rsid w:val="00BB0F21"/>
    <w:rsid w:val="00BB1AC4"/>
    <w:rsid w:val="00BB21C8"/>
    <w:rsid w:val="00BB2C35"/>
    <w:rsid w:val="00BB311B"/>
    <w:rsid w:val="00BB32FE"/>
    <w:rsid w:val="00BB3430"/>
    <w:rsid w:val="00BB38F8"/>
    <w:rsid w:val="00BB3A70"/>
    <w:rsid w:val="00BB3BEF"/>
    <w:rsid w:val="00BB4113"/>
    <w:rsid w:val="00BB41C2"/>
    <w:rsid w:val="00BB435D"/>
    <w:rsid w:val="00BB4B32"/>
    <w:rsid w:val="00BB5B84"/>
    <w:rsid w:val="00BB6B78"/>
    <w:rsid w:val="00BB7484"/>
    <w:rsid w:val="00BB76B5"/>
    <w:rsid w:val="00BB7EAA"/>
    <w:rsid w:val="00BC036D"/>
    <w:rsid w:val="00BC04BB"/>
    <w:rsid w:val="00BC05CB"/>
    <w:rsid w:val="00BC0A76"/>
    <w:rsid w:val="00BC125A"/>
    <w:rsid w:val="00BC1391"/>
    <w:rsid w:val="00BC16E1"/>
    <w:rsid w:val="00BC1846"/>
    <w:rsid w:val="00BC18EE"/>
    <w:rsid w:val="00BC241E"/>
    <w:rsid w:val="00BC264B"/>
    <w:rsid w:val="00BC2A8A"/>
    <w:rsid w:val="00BC2CDB"/>
    <w:rsid w:val="00BC30B8"/>
    <w:rsid w:val="00BC3644"/>
    <w:rsid w:val="00BC403C"/>
    <w:rsid w:val="00BC411B"/>
    <w:rsid w:val="00BC4275"/>
    <w:rsid w:val="00BC42B6"/>
    <w:rsid w:val="00BC4488"/>
    <w:rsid w:val="00BC448B"/>
    <w:rsid w:val="00BC4497"/>
    <w:rsid w:val="00BC498F"/>
    <w:rsid w:val="00BC4E2F"/>
    <w:rsid w:val="00BC4FEB"/>
    <w:rsid w:val="00BC56F7"/>
    <w:rsid w:val="00BC6145"/>
    <w:rsid w:val="00BC626C"/>
    <w:rsid w:val="00BC6418"/>
    <w:rsid w:val="00BC6571"/>
    <w:rsid w:val="00BC6AA5"/>
    <w:rsid w:val="00BC6F9A"/>
    <w:rsid w:val="00BC6FCD"/>
    <w:rsid w:val="00BC7BFF"/>
    <w:rsid w:val="00BC7D8D"/>
    <w:rsid w:val="00BC7D92"/>
    <w:rsid w:val="00BC7E15"/>
    <w:rsid w:val="00BD09B0"/>
    <w:rsid w:val="00BD0E9F"/>
    <w:rsid w:val="00BD1063"/>
    <w:rsid w:val="00BD1F63"/>
    <w:rsid w:val="00BD1FAF"/>
    <w:rsid w:val="00BD2430"/>
    <w:rsid w:val="00BD266C"/>
    <w:rsid w:val="00BD2C12"/>
    <w:rsid w:val="00BD314E"/>
    <w:rsid w:val="00BD31ED"/>
    <w:rsid w:val="00BD3879"/>
    <w:rsid w:val="00BD3C88"/>
    <w:rsid w:val="00BD3C9E"/>
    <w:rsid w:val="00BD3E01"/>
    <w:rsid w:val="00BD4355"/>
    <w:rsid w:val="00BD45CB"/>
    <w:rsid w:val="00BD4AB6"/>
    <w:rsid w:val="00BD4E69"/>
    <w:rsid w:val="00BD4F63"/>
    <w:rsid w:val="00BD574C"/>
    <w:rsid w:val="00BD5C0B"/>
    <w:rsid w:val="00BD5CF0"/>
    <w:rsid w:val="00BD5CF7"/>
    <w:rsid w:val="00BD64A7"/>
    <w:rsid w:val="00BD6596"/>
    <w:rsid w:val="00BD6CD1"/>
    <w:rsid w:val="00BD767C"/>
    <w:rsid w:val="00BD770A"/>
    <w:rsid w:val="00BD7F39"/>
    <w:rsid w:val="00BE0004"/>
    <w:rsid w:val="00BE00A8"/>
    <w:rsid w:val="00BE0248"/>
    <w:rsid w:val="00BE0431"/>
    <w:rsid w:val="00BE08EC"/>
    <w:rsid w:val="00BE0920"/>
    <w:rsid w:val="00BE09EF"/>
    <w:rsid w:val="00BE0E25"/>
    <w:rsid w:val="00BE1405"/>
    <w:rsid w:val="00BE1485"/>
    <w:rsid w:val="00BE1706"/>
    <w:rsid w:val="00BE187D"/>
    <w:rsid w:val="00BE1B39"/>
    <w:rsid w:val="00BE1FA4"/>
    <w:rsid w:val="00BE27FB"/>
    <w:rsid w:val="00BE2A6C"/>
    <w:rsid w:val="00BE2BBD"/>
    <w:rsid w:val="00BE34FA"/>
    <w:rsid w:val="00BE35D6"/>
    <w:rsid w:val="00BE38DD"/>
    <w:rsid w:val="00BE3A9C"/>
    <w:rsid w:val="00BE490A"/>
    <w:rsid w:val="00BE4A0E"/>
    <w:rsid w:val="00BE5217"/>
    <w:rsid w:val="00BE6181"/>
    <w:rsid w:val="00BE638A"/>
    <w:rsid w:val="00BE63F9"/>
    <w:rsid w:val="00BE6BA7"/>
    <w:rsid w:val="00BE70DA"/>
    <w:rsid w:val="00BE712E"/>
    <w:rsid w:val="00BE7846"/>
    <w:rsid w:val="00BE7B47"/>
    <w:rsid w:val="00BE7B96"/>
    <w:rsid w:val="00BF00DF"/>
    <w:rsid w:val="00BF01D4"/>
    <w:rsid w:val="00BF0A99"/>
    <w:rsid w:val="00BF0CF4"/>
    <w:rsid w:val="00BF1AEA"/>
    <w:rsid w:val="00BF1FCD"/>
    <w:rsid w:val="00BF2E5A"/>
    <w:rsid w:val="00BF2E87"/>
    <w:rsid w:val="00BF2F0C"/>
    <w:rsid w:val="00BF31E9"/>
    <w:rsid w:val="00BF3563"/>
    <w:rsid w:val="00BF3834"/>
    <w:rsid w:val="00BF3AB7"/>
    <w:rsid w:val="00BF3D84"/>
    <w:rsid w:val="00BF44B6"/>
    <w:rsid w:val="00BF469C"/>
    <w:rsid w:val="00BF47B5"/>
    <w:rsid w:val="00BF4EFF"/>
    <w:rsid w:val="00BF5678"/>
    <w:rsid w:val="00BF579C"/>
    <w:rsid w:val="00BF5BA0"/>
    <w:rsid w:val="00BF624F"/>
    <w:rsid w:val="00BF68FD"/>
    <w:rsid w:val="00BF696F"/>
    <w:rsid w:val="00BF6B67"/>
    <w:rsid w:val="00BF7204"/>
    <w:rsid w:val="00BF72A7"/>
    <w:rsid w:val="00BF7518"/>
    <w:rsid w:val="00BF7692"/>
    <w:rsid w:val="00BF7803"/>
    <w:rsid w:val="00BF784C"/>
    <w:rsid w:val="00BF7967"/>
    <w:rsid w:val="00BF7B7E"/>
    <w:rsid w:val="00C000DA"/>
    <w:rsid w:val="00C000E3"/>
    <w:rsid w:val="00C003B4"/>
    <w:rsid w:val="00C004B3"/>
    <w:rsid w:val="00C012E2"/>
    <w:rsid w:val="00C0143D"/>
    <w:rsid w:val="00C01F1F"/>
    <w:rsid w:val="00C020A0"/>
    <w:rsid w:val="00C020C0"/>
    <w:rsid w:val="00C0214C"/>
    <w:rsid w:val="00C021B4"/>
    <w:rsid w:val="00C024A7"/>
    <w:rsid w:val="00C02E63"/>
    <w:rsid w:val="00C0303F"/>
    <w:rsid w:val="00C034F8"/>
    <w:rsid w:val="00C0351E"/>
    <w:rsid w:val="00C03DE5"/>
    <w:rsid w:val="00C04279"/>
    <w:rsid w:val="00C0473D"/>
    <w:rsid w:val="00C04B0E"/>
    <w:rsid w:val="00C04BC5"/>
    <w:rsid w:val="00C04F4A"/>
    <w:rsid w:val="00C05508"/>
    <w:rsid w:val="00C0657B"/>
    <w:rsid w:val="00C06A59"/>
    <w:rsid w:val="00C06E91"/>
    <w:rsid w:val="00C07923"/>
    <w:rsid w:val="00C07DF9"/>
    <w:rsid w:val="00C1068E"/>
    <w:rsid w:val="00C1082D"/>
    <w:rsid w:val="00C1089A"/>
    <w:rsid w:val="00C10F1A"/>
    <w:rsid w:val="00C1189B"/>
    <w:rsid w:val="00C11BA0"/>
    <w:rsid w:val="00C12549"/>
    <w:rsid w:val="00C12654"/>
    <w:rsid w:val="00C12C26"/>
    <w:rsid w:val="00C12C3D"/>
    <w:rsid w:val="00C13613"/>
    <w:rsid w:val="00C13A1A"/>
    <w:rsid w:val="00C142F1"/>
    <w:rsid w:val="00C15083"/>
    <w:rsid w:val="00C15373"/>
    <w:rsid w:val="00C15569"/>
    <w:rsid w:val="00C15812"/>
    <w:rsid w:val="00C15CD8"/>
    <w:rsid w:val="00C16301"/>
    <w:rsid w:val="00C16AB3"/>
    <w:rsid w:val="00C16D12"/>
    <w:rsid w:val="00C16F78"/>
    <w:rsid w:val="00C16FA5"/>
    <w:rsid w:val="00C17162"/>
    <w:rsid w:val="00C17C52"/>
    <w:rsid w:val="00C17E7A"/>
    <w:rsid w:val="00C2086C"/>
    <w:rsid w:val="00C20968"/>
    <w:rsid w:val="00C20B48"/>
    <w:rsid w:val="00C20C2A"/>
    <w:rsid w:val="00C2161E"/>
    <w:rsid w:val="00C222C6"/>
    <w:rsid w:val="00C224E9"/>
    <w:rsid w:val="00C22CC7"/>
    <w:rsid w:val="00C22FA5"/>
    <w:rsid w:val="00C2305C"/>
    <w:rsid w:val="00C23302"/>
    <w:rsid w:val="00C23659"/>
    <w:rsid w:val="00C241E3"/>
    <w:rsid w:val="00C24781"/>
    <w:rsid w:val="00C24AEE"/>
    <w:rsid w:val="00C24D2F"/>
    <w:rsid w:val="00C25156"/>
    <w:rsid w:val="00C252B5"/>
    <w:rsid w:val="00C255D7"/>
    <w:rsid w:val="00C256EB"/>
    <w:rsid w:val="00C25850"/>
    <w:rsid w:val="00C25A5D"/>
    <w:rsid w:val="00C25A9C"/>
    <w:rsid w:val="00C25BC7"/>
    <w:rsid w:val="00C2603D"/>
    <w:rsid w:val="00C2621F"/>
    <w:rsid w:val="00C2654A"/>
    <w:rsid w:val="00C2669C"/>
    <w:rsid w:val="00C26E31"/>
    <w:rsid w:val="00C26EA0"/>
    <w:rsid w:val="00C27C0E"/>
    <w:rsid w:val="00C27E0E"/>
    <w:rsid w:val="00C30409"/>
    <w:rsid w:val="00C304C9"/>
    <w:rsid w:val="00C308A0"/>
    <w:rsid w:val="00C30CCA"/>
    <w:rsid w:val="00C30E64"/>
    <w:rsid w:val="00C30EB4"/>
    <w:rsid w:val="00C30EEB"/>
    <w:rsid w:val="00C310F2"/>
    <w:rsid w:val="00C31420"/>
    <w:rsid w:val="00C317C8"/>
    <w:rsid w:val="00C31C78"/>
    <w:rsid w:val="00C31D31"/>
    <w:rsid w:val="00C31FA4"/>
    <w:rsid w:val="00C323A1"/>
    <w:rsid w:val="00C324AC"/>
    <w:rsid w:val="00C3301E"/>
    <w:rsid w:val="00C33160"/>
    <w:rsid w:val="00C3335D"/>
    <w:rsid w:val="00C336AF"/>
    <w:rsid w:val="00C33A99"/>
    <w:rsid w:val="00C33DFD"/>
    <w:rsid w:val="00C341FA"/>
    <w:rsid w:val="00C34373"/>
    <w:rsid w:val="00C344F9"/>
    <w:rsid w:val="00C34595"/>
    <w:rsid w:val="00C3459F"/>
    <w:rsid w:val="00C34B9D"/>
    <w:rsid w:val="00C34D7C"/>
    <w:rsid w:val="00C352A3"/>
    <w:rsid w:val="00C35976"/>
    <w:rsid w:val="00C359D3"/>
    <w:rsid w:val="00C35D60"/>
    <w:rsid w:val="00C35E40"/>
    <w:rsid w:val="00C360C0"/>
    <w:rsid w:val="00C3623B"/>
    <w:rsid w:val="00C36D2B"/>
    <w:rsid w:val="00C37094"/>
    <w:rsid w:val="00C371AF"/>
    <w:rsid w:val="00C371C4"/>
    <w:rsid w:val="00C372D8"/>
    <w:rsid w:val="00C377E5"/>
    <w:rsid w:val="00C37903"/>
    <w:rsid w:val="00C4025A"/>
    <w:rsid w:val="00C40432"/>
    <w:rsid w:val="00C40657"/>
    <w:rsid w:val="00C406CA"/>
    <w:rsid w:val="00C4073E"/>
    <w:rsid w:val="00C41488"/>
    <w:rsid w:val="00C42EF9"/>
    <w:rsid w:val="00C43188"/>
    <w:rsid w:val="00C435EB"/>
    <w:rsid w:val="00C43643"/>
    <w:rsid w:val="00C43890"/>
    <w:rsid w:val="00C440D7"/>
    <w:rsid w:val="00C442C2"/>
    <w:rsid w:val="00C44755"/>
    <w:rsid w:val="00C449C9"/>
    <w:rsid w:val="00C44AAE"/>
    <w:rsid w:val="00C45C9D"/>
    <w:rsid w:val="00C45DFA"/>
    <w:rsid w:val="00C45FE9"/>
    <w:rsid w:val="00C471D2"/>
    <w:rsid w:val="00C47298"/>
    <w:rsid w:val="00C473A9"/>
    <w:rsid w:val="00C478BA"/>
    <w:rsid w:val="00C479EB"/>
    <w:rsid w:val="00C47CF8"/>
    <w:rsid w:val="00C47D12"/>
    <w:rsid w:val="00C47E50"/>
    <w:rsid w:val="00C47F07"/>
    <w:rsid w:val="00C50A08"/>
    <w:rsid w:val="00C51282"/>
    <w:rsid w:val="00C5147A"/>
    <w:rsid w:val="00C51BBA"/>
    <w:rsid w:val="00C51FFA"/>
    <w:rsid w:val="00C523E1"/>
    <w:rsid w:val="00C52796"/>
    <w:rsid w:val="00C52A04"/>
    <w:rsid w:val="00C52EF3"/>
    <w:rsid w:val="00C5309A"/>
    <w:rsid w:val="00C5330B"/>
    <w:rsid w:val="00C538CE"/>
    <w:rsid w:val="00C539C1"/>
    <w:rsid w:val="00C551FA"/>
    <w:rsid w:val="00C559FA"/>
    <w:rsid w:val="00C55A5A"/>
    <w:rsid w:val="00C55B03"/>
    <w:rsid w:val="00C5734A"/>
    <w:rsid w:val="00C573FA"/>
    <w:rsid w:val="00C57474"/>
    <w:rsid w:val="00C57E4A"/>
    <w:rsid w:val="00C60628"/>
    <w:rsid w:val="00C607AD"/>
    <w:rsid w:val="00C609AB"/>
    <w:rsid w:val="00C61CA7"/>
    <w:rsid w:val="00C61F1D"/>
    <w:rsid w:val="00C623A1"/>
    <w:rsid w:val="00C6282A"/>
    <w:rsid w:val="00C62A8A"/>
    <w:rsid w:val="00C62BF0"/>
    <w:rsid w:val="00C62FEC"/>
    <w:rsid w:val="00C633BC"/>
    <w:rsid w:val="00C6366B"/>
    <w:rsid w:val="00C6376A"/>
    <w:rsid w:val="00C63776"/>
    <w:rsid w:val="00C638EC"/>
    <w:rsid w:val="00C63AC8"/>
    <w:rsid w:val="00C64579"/>
    <w:rsid w:val="00C647D8"/>
    <w:rsid w:val="00C6520A"/>
    <w:rsid w:val="00C6543B"/>
    <w:rsid w:val="00C654E0"/>
    <w:rsid w:val="00C6552C"/>
    <w:rsid w:val="00C657AD"/>
    <w:rsid w:val="00C65883"/>
    <w:rsid w:val="00C65E4C"/>
    <w:rsid w:val="00C6629B"/>
    <w:rsid w:val="00C6681A"/>
    <w:rsid w:val="00C66C9A"/>
    <w:rsid w:val="00C6737F"/>
    <w:rsid w:val="00C67BC0"/>
    <w:rsid w:val="00C67E50"/>
    <w:rsid w:val="00C704A8"/>
    <w:rsid w:val="00C719A8"/>
    <w:rsid w:val="00C71BBD"/>
    <w:rsid w:val="00C7322C"/>
    <w:rsid w:val="00C7324D"/>
    <w:rsid w:val="00C7382F"/>
    <w:rsid w:val="00C73ED3"/>
    <w:rsid w:val="00C7413C"/>
    <w:rsid w:val="00C74379"/>
    <w:rsid w:val="00C74620"/>
    <w:rsid w:val="00C749C9"/>
    <w:rsid w:val="00C74D41"/>
    <w:rsid w:val="00C74D5D"/>
    <w:rsid w:val="00C74E08"/>
    <w:rsid w:val="00C75055"/>
    <w:rsid w:val="00C75F87"/>
    <w:rsid w:val="00C76571"/>
    <w:rsid w:val="00C76871"/>
    <w:rsid w:val="00C7688D"/>
    <w:rsid w:val="00C77352"/>
    <w:rsid w:val="00C77C52"/>
    <w:rsid w:val="00C77C94"/>
    <w:rsid w:val="00C77DB5"/>
    <w:rsid w:val="00C77F85"/>
    <w:rsid w:val="00C8002B"/>
    <w:rsid w:val="00C804B0"/>
    <w:rsid w:val="00C8159E"/>
    <w:rsid w:val="00C816C9"/>
    <w:rsid w:val="00C8172E"/>
    <w:rsid w:val="00C8179A"/>
    <w:rsid w:val="00C81AC5"/>
    <w:rsid w:val="00C81E90"/>
    <w:rsid w:val="00C820A2"/>
    <w:rsid w:val="00C8222A"/>
    <w:rsid w:val="00C82299"/>
    <w:rsid w:val="00C82700"/>
    <w:rsid w:val="00C83A1A"/>
    <w:rsid w:val="00C83C7A"/>
    <w:rsid w:val="00C83F83"/>
    <w:rsid w:val="00C84BDA"/>
    <w:rsid w:val="00C84C7B"/>
    <w:rsid w:val="00C84DB6"/>
    <w:rsid w:val="00C853AC"/>
    <w:rsid w:val="00C8548D"/>
    <w:rsid w:val="00C854FF"/>
    <w:rsid w:val="00C856DD"/>
    <w:rsid w:val="00C856FA"/>
    <w:rsid w:val="00C857AD"/>
    <w:rsid w:val="00C85ED5"/>
    <w:rsid w:val="00C85F88"/>
    <w:rsid w:val="00C8600F"/>
    <w:rsid w:val="00C86535"/>
    <w:rsid w:val="00C86562"/>
    <w:rsid w:val="00C86582"/>
    <w:rsid w:val="00C86A35"/>
    <w:rsid w:val="00C87F44"/>
    <w:rsid w:val="00C87F7B"/>
    <w:rsid w:val="00C904EB"/>
    <w:rsid w:val="00C90724"/>
    <w:rsid w:val="00C90B04"/>
    <w:rsid w:val="00C91964"/>
    <w:rsid w:val="00C92133"/>
    <w:rsid w:val="00C92D98"/>
    <w:rsid w:val="00C9311C"/>
    <w:rsid w:val="00C9333C"/>
    <w:rsid w:val="00C93C68"/>
    <w:rsid w:val="00C93ED5"/>
    <w:rsid w:val="00C94192"/>
    <w:rsid w:val="00C9430A"/>
    <w:rsid w:val="00C945F7"/>
    <w:rsid w:val="00C9477A"/>
    <w:rsid w:val="00C948E9"/>
    <w:rsid w:val="00C9492A"/>
    <w:rsid w:val="00C94BB6"/>
    <w:rsid w:val="00C951E4"/>
    <w:rsid w:val="00C95A15"/>
    <w:rsid w:val="00C961D9"/>
    <w:rsid w:val="00C972E7"/>
    <w:rsid w:val="00C97422"/>
    <w:rsid w:val="00C9748D"/>
    <w:rsid w:val="00C9797A"/>
    <w:rsid w:val="00C97C17"/>
    <w:rsid w:val="00C97CD9"/>
    <w:rsid w:val="00C97FD7"/>
    <w:rsid w:val="00CA0199"/>
    <w:rsid w:val="00CA033F"/>
    <w:rsid w:val="00CA0B46"/>
    <w:rsid w:val="00CA1612"/>
    <w:rsid w:val="00CA2263"/>
    <w:rsid w:val="00CA2533"/>
    <w:rsid w:val="00CA2C83"/>
    <w:rsid w:val="00CA308E"/>
    <w:rsid w:val="00CA3409"/>
    <w:rsid w:val="00CA36C8"/>
    <w:rsid w:val="00CA3777"/>
    <w:rsid w:val="00CA382F"/>
    <w:rsid w:val="00CA3EA3"/>
    <w:rsid w:val="00CA47A7"/>
    <w:rsid w:val="00CA4BAC"/>
    <w:rsid w:val="00CA4D1A"/>
    <w:rsid w:val="00CA5110"/>
    <w:rsid w:val="00CA543F"/>
    <w:rsid w:val="00CA5E52"/>
    <w:rsid w:val="00CA602F"/>
    <w:rsid w:val="00CA617C"/>
    <w:rsid w:val="00CA658A"/>
    <w:rsid w:val="00CA6AF9"/>
    <w:rsid w:val="00CA6FF8"/>
    <w:rsid w:val="00CA7338"/>
    <w:rsid w:val="00CA75BF"/>
    <w:rsid w:val="00CA7606"/>
    <w:rsid w:val="00CA7B10"/>
    <w:rsid w:val="00CB005D"/>
    <w:rsid w:val="00CB0542"/>
    <w:rsid w:val="00CB05B7"/>
    <w:rsid w:val="00CB0869"/>
    <w:rsid w:val="00CB0E09"/>
    <w:rsid w:val="00CB0FD7"/>
    <w:rsid w:val="00CB1016"/>
    <w:rsid w:val="00CB1078"/>
    <w:rsid w:val="00CB1337"/>
    <w:rsid w:val="00CB206C"/>
    <w:rsid w:val="00CB2083"/>
    <w:rsid w:val="00CB209C"/>
    <w:rsid w:val="00CB2109"/>
    <w:rsid w:val="00CB321B"/>
    <w:rsid w:val="00CB32BA"/>
    <w:rsid w:val="00CB3A1C"/>
    <w:rsid w:val="00CB3ECB"/>
    <w:rsid w:val="00CB410F"/>
    <w:rsid w:val="00CB4126"/>
    <w:rsid w:val="00CB42A4"/>
    <w:rsid w:val="00CB4653"/>
    <w:rsid w:val="00CB562B"/>
    <w:rsid w:val="00CB57E8"/>
    <w:rsid w:val="00CB62C6"/>
    <w:rsid w:val="00CB685A"/>
    <w:rsid w:val="00CB693F"/>
    <w:rsid w:val="00CB6B84"/>
    <w:rsid w:val="00CB72BD"/>
    <w:rsid w:val="00CB7A39"/>
    <w:rsid w:val="00CB7A47"/>
    <w:rsid w:val="00CC009F"/>
    <w:rsid w:val="00CC0456"/>
    <w:rsid w:val="00CC0F39"/>
    <w:rsid w:val="00CC0F7C"/>
    <w:rsid w:val="00CC1025"/>
    <w:rsid w:val="00CC10B0"/>
    <w:rsid w:val="00CC166B"/>
    <w:rsid w:val="00CC1778"/>
    <w:rsid w:val="00CC17E1"/>
    <w:rsid w:val="00CC2649"/>
    <w:rsid w:val="00CC291F"/>
    <w:rsid w:val="00CC3593"/>
    <w:rsid w:val="00CC3E53"/>
    <w:rsid w:val="00CC3FAB"/>
    <w:rsid w:val="00CC41F3"/>
    <w:rsid w:val="00CC4B25"/>
    <w:rsid w:val="00CC55CE"/>
    <w:rsid w:val="00CC5AE5"/>
    <w:rsid w:val="00CC5CC6"/>
    <w:rsid w:val="00CC606E"/>
    <w:rsid w:val="00CC6AEF"/>
    <w:rsid w:val="00CC6E49"/>
    <w:rsid w:val="00CC7412"/>
    <w:rsid w:val="00CD0218"/>
    <w:rsid w:val="00CD02E1"/>
    <w:rsid w:val="00CD0419"/>
    <w:rsid w:val="00CD04E3"/>
    <w:rsid w:val="00CD0B39"/>
    <w:rsid w:val="00CD0B84"/>
    <w:rsid w:val="00CD22F3"/>
    <w:rsid w:val="00CD325B"/>
    <w:rsid w:val="00CD356E"/>
    <w:rsid w:val="00CD35C6"/>
    <w:rsid w:val="00CD37A7"/>
    <w:rsid w:val="00CD3B3E"/>
    <w:rsid w:val="00CD5EDB"/>
    <w:rsid w:val="00CD6341"/>
    <w:rsid w:val="00CD69ED"/>
    <w:rsid w:val="00CD6A4B"/>
    <w:rsid w:val="00CD6C26"/>
    <w:rsid w:val="00CD6D41"/>
    <w:rsid w:val="00CD6DF7"/>
    <w:rsid w:val="00CD6F8F"/>
    <w:rsid w:val="00CD7361"/>
    <w:rsid w:val="00CD73AE"/>
    <w:rsid w:val="00CD7846"/>
    <w:rsid w:val="00CD7D37"/>
    <w:rsid w:val="00CD7D68"/>
    <w:rsid w:val="00CE0291"/>
    <w:rsid w:val="00CE09B6"/>
    <w:rsid w:val="00CE0E28"/>
    <w:rsid w:val="00CE152C"/>
    <w:rsid w:val="00CE157D"/>
    <w:rsid w:val="00CE1643"/>
    <w:rsid w:val="00CE215A"/>
    <w:rsid w:val="00CE21A7"/>
    <w:rsid w:val="00CE229B"/>
    <w:rsid w:val="00CE23D1"/>
    <w:rsid w:val="00CE28FA"/>
    <w:rsid w:val="00CE2B68"/>
    <w:rsid w:val="00CE2B78"/>
    <w:rsid w:val="00CE2DB1"/>
    <w:rsid w:val="00CE36A9"/>
    <w:rsid w:val="00CE3790"/>
    <w:rsid w:val="00CE3DC6"/>
    <w:rsid w:val="00CE3F80"/>
    <w:rsid w:val="00CE4444"/>
    <w:rsid w:val="00CE471B"/>
    <w:rsid w:val="00CE4A0C"/>
    <w:rsid w:val="00CE4B0F"/>
    <w:rsid w:val="00CE4F89"/>
    <w:rsid w:val="00CE5060"/>
    <w:rsid w:val="00CE5196"/>
    <w:rsid w:val="00CE5201"/>
    <w:rsid w:val="00CE5315"/>
    <w:rsid w:val="00CE5369"/>
    <w:rsid w:val="00CE54FC"/>
    <w:rsid w:val="00CE558F"/>
    <w:rsid w:val="00CE5926"/>
    <w:rsid w:val="00CE5C46"/>
    <w:rsid w:val="00CE5D18"/>
    <w:rsid w:val="00CE5F73"/>
    <w:rsid w:val="00CE7078"/>
    <w:rsid w:val="00CE7202"/>
    <w:rsid w:val="00CE7297"/>
    <w:rsid w:val="00CE748D"/>
    <w:rsid w:val="00CE755E"/>
    <w:rsid w:val="00CE77AC"/>
    <w:rsid w:val="00CE7C8C"/>
    <w:rsid w:val="00CF035C"/>
    <w:rsid w:val="00CF0796"/>
    <w:rsid w:val="00CF0BBC"/>
    <w:rsid w:val="00CF21A7"/>
    <w:rsid w:val="00CF2450"/>
    <w:rsid w:val="00CF2D3F"/>
    <w:rsid w:val="00CF2D4B"/>
    <w:rsid w:val="00CF3131"/>
    <w:rsid w:val="00CF32C5"/>
    <w:rsid w:val="00CF335D"/>
    <w:rsid w:val="00CF3447"/>
    <w:rsid w:val="00CF3458"/>
    <w:rsid w:val="00CF3577"/>
    <w:rsid w:val="00CF3685"/>
    <w:rsid w:val="00CF3A1D"/>
    <w:rsid w:val="00CF43C3"/>
    <w:rsid w:val="00CF4AEE"/>
    <w:rsid w:val="00CF4C16"/>
    <w:rsid w:val="00CF53AA"/>
    <w:rsid w:val="00CF5512"/>
    <w:rsid w:val="00CF5D25"/>
    <w:rsid w:val="00CF6749"/>
    <w:rsid w:val="00CF684E"/>
    <w:rsid w:val="00CF695E"/>
    <w:rsid w:val="00CF6B07"/>
    <w:rsid w:val="00CF7154"/>
    <w:rsid w:val="00CF767A"/>
    <w:rsid w:val="00D00375"/>
    <w:rsid w:val="00D0067B"/>
    <w:rsid w:val="00D00763"/>
    <w:rsid w:val="00D00B55"/>
    <w:rsid w:val="00D00D4D"/>
    <w:rsid w:val="00D01046"/>
    <w:rsid w:val="00D01229"/>
    <w:rsid w:val="00D01650"/>
    <w:rsid w:val="00D01983"/>
    <w:rsid w:val="00D01C08"/>
    <w:rsid w:val="00D02DB8"/>
    <w:rsid w:val="00D032D0"/>
    <w:rsid w:val="00D03AC8"/>
    <w:rsid w:val="00D04633"/>
    <w:rsid w:val="00D04869"/>
    <w:rsid w:val="00D04B07"/>
    <w:rsid w:val="00D04C4A"/>
    <w:rsid w:val="00D05221"/>
    <w:rsid w:val="00D0579F"/>
    <w:rsid w:val="00D05BDD"/>
    <w:rsid w:val="00D05CE8"/>
    <w:rsid w:val="00D060A2"/>
    <w:rsid w:val="00D0610E"/>
    <w:rsid w:val="00D06191"/>
    <w:rsid w:val="00D078B7"/>
    <w:rsid w:val="00D1050B"/>
    <w:rsid w:val="00D10C18"/>
    <w:rsid w:val="00D10CFD"/>
    <w:rsid w:val="00D10F80"/>
    <w:rsid w:val="00D10F91"/>
    <w:rsid w:val="00D11161"/>
    <w:rsid w:val="00D11333"/>
    <w:rsid w:val="00D116DB"/>
    <w:rsid w:val="00D1200A"/>
    <w:rsid w:val="00D1218D"/>
    <w:rsid w:val="00D124D8"/>
    <w:rsid w:val="00D12B2C"/>
    <w:rsid w:val="00D136B7"/>
    <w:rsid w:val="00D13F9E"/>
    <w:rsid w:val="00D141A1"/>
    <w:rsid w:val="00D1434E"/>
    <w:rsid w:val="00D14819"/>
    <w:rsid w:val="00D14F3F"/>
    <w:rsid w:val="00D14F63"/>
    <w:rsid w:val="00D15306"/>
    <w:rsid w:val="00D15E51"/>
    <w:rsid w:val="00D16062"/>
    <w:rsid w:val="00D160B0"/>
    <w:rsid w:val="00D16193"/>
    <w:rsid w:val="00D163BF"/>
    <w:rsid w:val="00D164D2"/>
    <w:rsid w:val="00D165FC"/>
    <w:rsid w:val="00D16764"/>
    <w:rsid w:val="00D16958"/>
    <w:rsid w:val="00D17417"/>
    <w:rsid w:val="00D17A8F"/>
    <w:rsid w:val="00D17AA1"/>
    <w:rsid w:val="00D17BF8"/>
    <w:rsid w:val="00D20769"/>
    <w:rsid w:val="00D20A21"/>
    <w:rsid w:val="00D20B3A"/>
    <w:rsid w:val="00D20C13"/>
    <w:rsid w:val="00D20DA8"/>
    <w:rsid w:val="00D21374"/>
    <w:rsid w:val="00D21BCA"/>
    <w:rsid w:val="00D21D71"/>
    <w:rsid w:val="00D22150"/>
    <w:rsid w:val="00D224BD"/>
    <w:rsid w:val="00D22850"/>
    <w:rsid w:val="00D22C7D"/>
    <w:rsid w:val="00D22FEC"/>
    <w:rsid w:val="00D23031"/>
    <w:rsid w:val="00D232C7"/>
    <w:rsid w:val="00D237E8"/>
    <w:rsid w:val="00D23A39"/>
    <w:rsid w:val="00D23B0F"/>
    <w:rsid w:val="00D23FE8"/>
    <w:rsid w:val="00D23FFB"/>
    <w:rsid w:val="00D24DB7"/>
    <w:rsid w:val="00D24F5C"/>
    <w:rsid w:val="00D25369"/>
    <w:rsid w:val="00D2594B"/>
    <w:rsid w:val="00D26054"/>
    <w:rsid w:val="00D260F5"/>
    <w:rsid w:val="00D261CA"/>
    <w:rsid w:val="00D26803"/>
    <w:rsid w:val="00D26922"/>
    <w:rsid w:val="00D26A0E"/>
    <w:rsid w:val="00D27EF7"/>
    <w:rsid w:val="00D30445"/>
    <w:rsid w:val="00D30A52"/>
    <w:rsid w:val="00D30AA6"/>
    <w:rsid w:val="00D30BFF"/>
    <w:rsid w:val="00D3208C"/>
    <w:rsid w:val="00D32132"/>
    <w:rsid w:val="00D322B5"/>
    <w:rsid w:val="00D32577"/>
    <w:rsid w:val="00D32CAB"/>
    <w:rsid w:val="00D32F9B"/>
    <w:rsid w:val="00D332C2"/>
    <w:rsid w:val="00D33324"/>
    <w:rsid w:val="00D347A0"/>
    <w:rsid w:val="00D34805"/>
    <w:rsid w:val="00D34AD4"/>
    <w:rsid w:val="00D34E0A"/>
    <w:rsid w:val="00D34FB3"/>
    <w:rsid w:val="00D35158"/>
    <w:rsid w:val="00D352E6"/>
    <w:rsid w:val="00D353D2"/>
    <w:rsid w:val="00D356F4"/>
    <w:rsid w:val="00D3588F"/>
    <w:rsid w:val="00D35C4B"/>
    <w:rsid w:val="00D35C9C"/>
    <w:rsid w:val="00D363CE"/>
    <w:rsid w:val="00D36C07"/>
    <w:rsid w:val="00D36D0B"/>
    <w:rsid w:val="00D371C7"/>
    <w:rsid w:val="00D37327"/>
    <w:rsid w:val="00D37B9D"/>
    <w:rsid w:val="00D400C4"/>
    <w:rsid w:val="00D400F1"/>
    <w:rsid w:val="00D4059F"/>
    <w:rsid w:val="00D407FD"/>
    <w:rsid w:val="00D40D29"/>
    <w:rsid w:val="00D41A4C"/>
    <w:rsid w:val="00D41D71"/>
    <w:rsid w:val="00D42249"/>
    <w:rsid w:val="00D429AE"/>
    <w:rsid w:val="00D431EF"/>
    <w:rsid w:val="00D4358E"/>
    <w:rsid w:val="00D4364F"/>
    <w:rsid w:val="00D43987"/>
    <w:rsid w:val="00D43A41"/>
    <w:rsid w:val="00D43AFB"/>
    <w:rsid w:val="00D447FE"/>
    <w:rsid w:val="00D44961"/>
    <w:rsid w:val="00D450FA"/>
    <w:rsid w:val="00D46059"/>
    <w:rsid w:val="00D462DA"/>
    <w:rsid w:val="00D46BD5"/>
    <w:rsid w:val="00D46F26"/>
    <w:rsid w:val="00D470B7"/>
    <w:rsid w:val="00D47387"/>
    <w:rsid w:val="00D475A8"/>
    <w:rsid w:val="00D4776B"/>
    <w:rsid w:val="00D5173E"/>
    <w:rsid w:val="00D5180C"/>
    <w:rsid w:val="00D51927"/>
    <w:rsid w:val="00D51C20"/>
    <w:rsid w:val="00D51F6D"/>
    <w:rsid w:val="00D52584"/>
    <w:rsid w:val="00D525B5"/>
    <w:rsid w:val="00D52658"/>
    <w:rsid w:val="00D52BCE"/>
    <w:rsid w:val="00D52D3B"/>
    <w:rsid w:val="00D5364E"/>
    <w:rsid w:val="00D53A52"/>
    <w:rsid w:val="00D53E4C"/>
    <w:rsid w:val="00D541E9"/>
    <w:rsid w:val="00D5451D"/>
    <w:rsid w:val="00D54891"/>
    <w:rsid w:val="00D54AC2"/>
    <w:rsid w:val="00D54C5E"/>
    <w:rsid w:val="00D54FDF"/>
    <w:rsid w:val="00D55134"/>
    <w:rsid w:val="00D55885"/>
    <w:rsid w:val="00D55AC2"/>
    <w:rsid w:val="00D55E81"/>
    <w:rsid w:val="00D56090"/>
    <w:rsid w:val="00D56627"/>
    <w:rsid w:val="00D56C77"/>
    <w:rsid w:val="00D5705C"/>
    <w:rsid w:val="00D57623"/>
    <w:rsid w:val="00D5763A"/>
    <w:rsid w:val="00D577FA"/>
    <w:rsid w:val="00D6023A"/>
    <w:rsid w:val="00D602EC"/>
    <w:rsid w:val="00D60EB5"/>
    <w:rsid w:val="00D61115"/>
    <w:rsid w:val="00D61908"/>
    <w:rsid w:val="00D61DCB"/>
    <w:rsid w:val="00D61E37"/>
    <w:rsid w:val="00D61FB5"/>
    <w:rsid w:val="00D6254B"/>
    <w:rsid w:val="00D629F2"/>
    <w:rsid w:val="00D62B7F"/>
    <w:rsid w:val="00D62C9E"/>
    <w:rsid w:val="00D630F0"/>
    <w:rsid w:val="00D63C31"/>
    <w:rsid w:val="00D63CEF"/>
    <w:rsid w:val="00D6430B"/>
    <w:rsid w:val="00D643B0"/>
    <w:rsid w:val="00D64640"/>
    <w:rsid w:val="00D652EA"/>
    <w:rsid w:val="00D6551A"/>
    <w:rsid w:val="00D65525"/>
    <w:rsid w:val="00D6566D"/>
    <w:rsid w:val="00D6583F"/>
    <w:rsid w:val="00D6611C"/>
    <w:rsid w:val="00D664B6"/>
    <w:rsid w:val="00D66807"/>
    <w:rsid w:val="00D668F1"/>
    <w:rsid w:val="00D66903"/>
    <w:rsid w:val="00D66D5D"/>
    <w:rsid w:val="00D674FA"/>
    <w:rsid w:val="00D67655"/>
    <w:rsid w:val="00D679E7"/>
    <w:rsid w:val="00D700BF"/>
    <w:rsid w:val="00D709D2"/>
    <w:rsid w:val="00D7118E"/>
    <w:rsid w:val="00D714BB"/>
    <w:rsid w:val="00D7199B"/>
    <w:rsid w:val="00D719BC"/>
    <w:rsid w:val="00D71AA5"/>
    <w:rsid w:val="00D7235E"/>
    <w:rsid w:val="00D726E7"/>
    <w:rsid w:val="00D72B53"/>
    <w:rsid w:val="00D72FBB"/>
    <w:rsid w:val="00D73011"/>
    <w:rsid w:val="00D731AD"/>
    <w:rsid w:val="00D7350B"/>
    <w:rsid w:val="00D7375A"/>
    <w:rsid w:val="00D73954"/>
    <w:rsid w:val="00D73E9D"/>
    <w:rsid w:val="00D73FA6"/>
    <w:rsid w:val="00D74736"/>
    <w:rsid w:val="00D74880"/>
    <w:rsid w:val="00D74957"/>
    <w:rsid w:val="00D74994"/>
    <w:rsid w:val="00D74E8D"/>
    <w:rsid w:val="00D7558B"/>
    <w:rsid w:val="00D75E46"/>
    <w:rsid w:val="00D75F7E"/>
    <w:rsid w:val="00D76195"/>
    <w:rsid w:val="00D761E6"/>
    <w:rsid w:val="00D763E7"/>
    <w:rsid w:val="00D76725"/>
    <w:rsid w:val="00D76CAF"/>
    <w:rsid w:val="00D7730E"/>
    <w:rsid w:val="00D77456"/>
    <w:rsid w:val="00D776A4"/>
    <w:rsid w:val="00D77E24"/>
    <w:rsid w:val="00D77F20"/>
    <w:rsid w:val="00D77F45"/>
    <w:rsid w:val="00D80154"/>
    <w:rsid w:val="00D801DC"/>
    <w:rsid w:val="00D80276"/>
    <w:rsid w:val="00D8053E"/>
    <w:rsid w:val="00D80A56"/>
    <w:rsid w:val="00D80BD9"/>
    <w:rsid w:val="00D80DF4"/>
    <w:rsid w:val="00D8125B"/>
    <w:rsid w:val="00D82AFB"/>
    <w:rsid w:val="00D82D43"/>
    <w:rsid w:val="00D82F23"/>
    <w:rsid w:val="00D83057"/>
    <w:rsid w:val="00D844F5"/>
    <w:rsid w:val="00D85C15"/>
    <w:rsid w:val="00D85E9F"/>
    <w:rsid w:val="00D8631D"/>
    <w:rsid w:val="00D865B6"/>
    <w:rsid w:val="00D86740"/>
    <w:rsid w:val="00D86C43"/>
    <w:rsid w:val="00D87A1D"/>
    <w:rsid w:val="00D90315"/>
    <w:rsid w:val="00D903AB"/>
    <w:rsid w:val="00D90B37"/>
    <w:rsid w:val="00D90B40"/>
    <w:rsid w:val="00D90CD2"/>
    <w:rsid w:val="00D90DA1"/>
    <w:rsid w:val="00D9127A"/>
    <w:rsid w:val="00D912A6"/>
    <w:rsid w:val="00D912D8"/>
    <w:rsid w:val="00D9142C"/>
    <w:rsid w:val="00D914FC"/>
    <w:rsid w:val="00D91B7B"/>
    <w:rsid w:val="00D91DC1"/>
    <w:rsid w:val="00D9243F"/>
    <w:rsid w:val="00D92CA8"/>
    <w:rsid w:val="00D92FD9"/>
    <w:rsid w:val="00D93002"/>
    <w:rsid w:val="00D93749"/>
    <w:rsid w:val="00D93F3B"/>
    <w:rsid w:val="00D9478A"/>
    <w:rsid w:val="00D94988"/>
    <w:rsid w:val="00D94A50"/>
    <w:rsid w:val="00D94DB4"/>
    <w:rsid w:val="00D95261"/>
    <w:rsid w:val="00D95B07"/>
    <w:rsid w:val="00D95BE8"/>
    <w:rsid w:val="00D96383"/>
    <w:rsid w:val="00D96986"/>
    <w:rsid w:val="00D96EE6"/>
    <w:rsid w:val="00D97384"/>
    <w:rsid w:val="00D97529"/>
    <w:rsid w:val="00D9790D"/>
    <w:rsid w:val="00D97EFF"/>
    <w:rsid w:val="00D97F0E"/>
    <w:rsid w:val="00DA0200"/>
    <w:rsid w:val="00DA0715"/>
    <w:rsid w:val="00DA1536"/>
    <w:rsid w:val="00DA1BED"/>
    <w:rsid w:val="00DA1DF0"/>
    <w:rsid w:val="00DA1FBA"/>
    <w:rsid w:val="00DA2229"/>
    <w:rsid w:val="00DA24C3"/>
    <w:rsid w:val="00DA2C4A"/>
    <w:rsid w:val="00DA2C91"/>
    <w:rsid w:val="00DA3E1B"/>
    <w:rsid w:val="00DA40D8"/>
    <w:rsid w:val="00DA432B"/>
    <w:rsid w:val="00DA46DE"/>
    <w:rsid w:val="00DA48DD"/>
    <w:rsid w:val="00DA4915"/>
    <w:rsid w:val="00DA4A77"/>
    <w:rsid w:val="00DA4CB3"/>
    <w:rsid w:val="00DA6CB3"/>
    <w:rsid w:val="00DA7222"/>
    <w:rsid w:val="00DA73D8"/>
    <w:rsid w:val="00DA7D8C"/>
    <w:rsid w:val="00DA7ECE"/>
    <w:rsid w:val="00DB0CB3"/>
    <w:rsid w:val="00DB1241"/>
    <w:rsid w:val="00DB1437"/>
    <w:rsid w:val="00DB18D0"/>
    <w:rsid w:val="00DB234D"/>
    <w:rsid w:val="00DB2520"/>
    <w:rsid w:val="00DB2696"/>
    <w:rsid w:val="00DB2F5F"/>
    <w:rsid w:val="00DB3866"/>
    <w:rsid w:val="00DB3CF7"/>
    <w:rsid w:val="00DB3E62"/>
    <w:rsid w:val="00DB3F1C"/>
    <w:rsid w:val="00DB4179"/>
    <w:rsid w:val="00DB489F"/>
    <w:rsid w:val="00DB4AF3"/>
    <w:rsid w:val="00DB5244"/>
    <w:rsid w:val="00DB5B26"/>
    <w:rsid w:val="00DB6A41"/>
    <w:rsid w:val="00DB7539"/>
    <w:rsid w:val="00DB7804"/>
    <w:rsid w:val="00DB7946"/>
    <w:rsid w:val="00DC07A5"/>
    <w:rsid w:val="00DC0F68"/>
    <w:rsid w:val="00DC112A"/>
    <w:rsid w:val="00DC11A8"/>
    <w:rsid w:val="00DC1207"/>
    <w:rsid w:val="00DC2BD1"/>
    <w:rsid w:val="00DC2D12"/>
    <w:rsid w:val="00DC2D4A"/>
    <w:rsid w:val="00DC3D47"/>
    <w:rsid w:val="00DC4412"/>
    <w:rsid w:val="00DC4BE6"/>
    <w:rsid w:val="00DC50FB"/>
    <w:rsid w:val="00DC539B"/>
    <w:rsid w:val="00DC58B0"/>
    <w:rsid w:val="00DC5F0C"/>
    <w:rsid w:val="00DC636F"/>
    <w:rsid w:val="00DC6DB6"/>
    <w:rsid w:val="00DC72F4"/>
    <w:rsid w:val="00DC736C"/>
    <w:rsid w:val="00DC7F05"/>
    <w:rsid w:val="00DD067F"/>
    <w:rsid w:val="00DD072A"/>
    <w:rsid w:val="00DD075E"/>
    <w:rsid w:val="00DD0864"/>
    <w:rsid w:val="00DD08CD"/>
    <w:rsid w:val="00DD0A51"/>
    <w:rsid w:val="00DD1075"/>
    <w:rsid w:val="00DD1141"/>
    <w:rsid w:val="00DD2E2C"/>
    <w:rsid w:val="00DD3285"/>
    <w:rsid w:val="00DD32EE"/>
    <w:rsid w:val="00DD33D7"/>
    <w:rsid w:val="00DD34CB"/>
    <w:rsid w:val="00DD36FA"/>
    <w:rsid w:val="00DD4027"/>
    <w:rsid w:val="00DD43D7"/>
    <w:rsid w:val="00DD4B21"/>
    <w:rsid w:val="00DD4CE4"/>
    <w:rsid w:val="00DD4EE0"/>
    <w:rsid w:val="00DD4F74"/>
    <w:rsid w:val="00DD5096"/>
    <w:rsid w:val="00DD5C31"/>
    <w:rsid w:val="00DD6121"/>
    <w:rsid w:val="00DD6B2B"/>
    <w:rsid w:val="00DD6DC2"/>
    <w:rsid w:val="00DD6F1B"/>
    <w:rsid w:val="00DD70FC"/>
    <w:rsid w:val="00DD7AC3"/>
    <w:rsid w:val="00DE00D8"/>
    <w:rsid w:val="00DE01CB"/>
    <w:rsid w:val="00DE02F0"/>
    <w:rsid w:val="00DE02F6"/>
    <w:rsid w:val="00DE0D07"/>
    <w:rsid w:val="00DE1464"/>
    <w:rsid w:val="00DE14E9"/>
    <w:rsid w:val="00DE14F3"/>
    <w:rsid w:val="00DE171B"/>
    <w:rsid w:val="00DE19CC"/>
    <w:rsid w:val="00DE1AC3"/>
    <w:rsid w:val="00DE1BA2"/>
    <w:rsid w:val="00DE2296"/>
    <w:rsid w:val="00DE23E8"/>
    <w:rsid w:val="00DE2ECD"/>
    <w:rsid w:val="00DE2F1C"/>
    <w:rsid w:val="00DE316F"/>
    <w:rsid w:val="00DE336B"/>
    <w:rsid w:val="00DE39AE"/>
    <w:rsid w:val="00DE3AD2"/>
    <w:rsid w:val="00DE3D27"/>
    <w:rsid w:val="00DE416E"/>
    <w:rsid w:val="00DE4547"/>
    <w:rsid w:val="00DE471A"/>
    <w:rsid w:val="00DE47E6"/>
    <w:rsid w:val="00DE4EAB"/>
    <w:rsid w:val="00DE5891"/>
    <w:rsid w:val="00DE626C"/>
    <w:rsid w:val="00DE6B79"/>
    <w:rsid w:val="00DE6CEA"/>
    <w:rsid w:val="00DE6EC1"/>
    <w:rsid w:val="00DE6F45"/>
    <w:rsid w:val="00DE74B6"/>
    <w:rsid w:val="00DE77AD"/>
    <w:rsid w:val="00DE79EC"/>
    <w:rsid w:val="00DE7A89"/>
    <w:rsid w:val="00DE7AEB"/>
    <w:rsid w:val="00DE7BC6"/>
    <w:rsid w:val="00DE7F5D"/>
    <w:rsid w:val="00DF0678"/>
    <w:rsid w:val="00DF0A3F"/>
    <w:rsid w:val="00DF0A82"/>
    <w:rsid w:val="00DF0BE9"/>
    <w:rsid w:val="00DF0FCB"/>
    <w:rsid w:val="00DF16F6"/>
    <w:rsid w:val="00DF1A31"/>
    <w:rsid w:val="00DF1A4A"/>
    <w:rsid w:val="00DF21F5"/>
    <w:rsid w:val="00DF2533"/>
    <w:rsid w:val="00DF2BE4"/>
    <w:rsid w:val="00DF349F"/>
    <w:rsid w:val="00DF361F"/>
    <w:rsid w:val="00DF36E0"/>
    <w:rsid w:val="00DF3AB7"/>
    <w:rsid w:val="00DF4095"/>
    <w:rsid w:val="00DF4174"/>
    <w:rsid w:val="00DF4736"/>
    <w:rsid w:val="00DF4CEB"/>
    <w:rsid w:val="00DF4E8C"/>
    <w:rsid w:val="00DF5046"/>
    <w:rsid w:val="00DF51F4"/>
    <w:rsid w:val="00DF5539"/>
    <w:rsid w:val="00DF569C"/>
    <w:rsid w:val="00DF5837"/>
    <w:rsid w:val="00DF5D17"/>
    <w:rsid w:val="00DF5D27"/>
    <w:rsid w:val="00DF615A"/>
    <w:rsid w:val="00DF76A4"/>
    <w:rsid w:val="00DF7E56"/>
    <w:rsid w:val="00E010C1"/>
    <w:rsid w:val="00E01780"/>
    <w:rsid w:val="00E017A3"/>
    <w:rsid w:val="00E01A42"/>
    <w:rsid w:val="00E01F38"/>
    <w:rsid w:val="00E0228D"/>
    <w:rsid w:val="00E026A5"/>
    <w:rsid w:val="00E027F1"/>
    <w:rsid w:val="00E02C55"/>
    <w:rsid w:val="00E02E6F"/>
    <w:rsid w:val="00E02F4F"/>
    <w:rsid w:val="00E03470"/>
    <w:rsid w:val="00E0387A"/>
    <w:rsid w:val="00E03BC6"/>
    <w:rsid w:val="00E03E3F"/>
    <w:rsid w:val="00E03E68"/>
    <w:rsid w:val="00E03EC0"/>
    <w:rsid w:val="00E04069"/>
    <w:rsid w:val="00E0449C"/>
    <w:rsid w:val="00E04F06"/>
    <w:rsid w:val="00E04FF2"/>
    <w:rsid w:val="00E05653"/>
    <w:rsid w:val="00E05716"/>
    <w:rsid w:val="00E05A67"/>
    <w:rsid w:val="00E060B1"/>
    <w:rsid w:val="00E06603"/>
    <w:rsid w:val="00E06626"/>
    <w:rsid w:val="00E06AFA"/>
    <w:rsid w:val="00E071BE"/>
    <w:rsid w:val="00E0722A"/>
    <w:rsid w:val="00E07B67"/>
    <w:rsid w:val="00E10031"/>
    <w:rsid w:val="00E102CD"/>
    <w:rsid w:val="00E10FD9"/>
    <w:rsid w:val="00E11057"/>
    <w:rsid w:val="00E111AC"/>
    <w:rsid w:val="00E11DC6"/>
    <w:rsid w:val="00E12097"/>
    <w:rsid w:val="00E120C3"/>
    <w:rsid w:val="00E123CB"/>
    <w:rsid w:val="00E125A0"/>
    <w:rsid w:val="00E12A84"/>
    <w:rsid w:val="00E12C86"/>
    <w:rsid w:val="00E12D44"/>
    <w:rsid w:val="00E12D8F"/>
    <w:rsid w:val="00E131B0"/>
    <w:rsid w:val="00E13561"/>
    <w:rsid w:val="00E137A4"/>
    <w:rsid w:val="00E138CE"/>
    <w:rsid w:val="00E13A97"/>
    <w:rsid w:val="00E13D80"/>
    <w:rsid w:val="00E14296"/>
    <w:rsid w:val="00E14849"/>
    <w:rsid w:val="00E14C3C"/>
    <w:rsid w:val="00E14D05"/>
    <w:rsid w:val="00E14D40"/>
    <w:rsid w:val="00E14DA5"/>
    <w:rsid w:val="00E15507"/>
    <w:rsid w:val="00E15675"/>
    <w:rsid w:val="00E15874"/>
    <w:rsid w:val="00E15994"/>
    <w:rsid w:val="00E15B02"/>
    <w:rsid w:val="00E15F02"/>
    <w:rsid w:val="00E162C6"/>
    <w:rsid w:val="00E16FBC"/>
    <w:rsid w:val="00E17133"/>
    <w:rsid w:val="00E17182"/>
    <w:rsid w:val="00E17548"/>
    <w:rsid w:val="00E17884"/>
    <w:rsid w:val="00E179EA"/>
    <w:rsid w:val="00E17E19"/>
    <w:rsid w:val="00E17EA6"/>
    <w:rsid w:val="00E17F65"/>
    <w:rsid w:val="00E2028F"/>
    <w:rsid w:val="00E205D0"/>
    <w:rsid w:val="00E2159B"/>
    <w:rsid w:val="00E215EC"/>
    <w:rsid w:val="00E21D88"/>
    <w:rsid w:val="00E22A07"/>
    <w:rsid w:val="00E23869"/>
    <w:rsid w:val="00E23E95"/>
    <w:rsid w:val="00E24367"/>
    <w:rsid w:val="00E24606"/>
    <w:rsid w:val="00E2476C"/>
    <w:rsid w:val="00E24C69"/>
    <w:rsid w:val="00E24DBC"/>
    <w:rsid w:val="00E24FB4"/>
    <w:rsid w:val="00E24FC6"/>
    <w:rsid w:val="00E253A4"/>
    <w:rsid w:val="00E2572E"/>
    <w:rsid w:val="00E25CCD"/>
    <w:rsid w:val="00E25E7E"/>
    <w:rsid w:val="00E2605B"/>
    <w:rsid w:val="00E264A0"/>
    <w:rsid w:val="00E268E8"/>
    <w:rsid w:val="00E27018"/>
    <w:rsid w:val="00E27259"/>
    <w:rsid w:val="00E2742A"/>
    <w:rsid w:val="00E2749C"/>
    <w:rsid w:val="00E27C75"/>
    <w:rsid w:val="00E3000C"/>
    <w:rsid w:val="00E30139"/>
    <w:rsid w:val="00E304EB"/>
    <w:rsid w:val="00E30A59"/>
    <w:rsid w:val="00E30AB5"/>
    <w:rsid w:val="00E30D74"/>
    <w:rsid w:val="00E30EBF"/>
    <w:rsid w:val="00E3106E"/>
    <w:rsid w:val="00E312A2"/>
    <w:rsid w:val="00E3130F"/>
    <w:rsid w:val="00E314C5"/>
    <w:rsid w:val="00E31BCC"/>
    <w:rsid w:val="00E32DD1"/>
    <w:rsid w:val="00E32E83"/>
    <w:rsid w:val="00E33219"/>
    <w:rsid w:val="00E33455"/>
    <w:rsid w:val="00E334CC"/>
    <w:rsid w:val="00E337F4"/>
    <w:rsid w:val="00E33AAC"/>
    <w:rsid w:val="00E34259"/>
    <w:rsid w:val="00E34294"/>
    <w:rsid w:val="00E34A9D"/>
    <w:rsid w:val="00E3560C"/>
    <w:rsid w:val="00E35663"/>
    <w:rsid w:val="00E357FE"/>
    <w:rsid w:val="00E36070"/>
    <w:rsid w:val="00E36199"/>
    <w:rsid w:val="00E3660E"/>
    <w:rsid w:val="00E36DE3"/>
    <w:rsid w:val="00E36F0A"/>
    <w:rsid w:val="00E3702D"/>
    <w:rsid w:val="00E3756E"/>
    <w:rsid w:val="00E376DA"/>
    <w:rsid w:val="00E37833"/>
    <w:rsid w:val="00E37EF3"/>
    <w:rsid w:val="00E40740"/>
    <w:rsid w:val="00E40874"/>
    <w:rsid w:val="00E408DF"/>
    <w:rsid w:val="00E411C5"/>
    <w:rsid w:val="00E419EB"/>
    <w:rsid w:val="00E41B2D"/>
    <w:rsid w:val="00E423FC"/>
    <w:rsid w:val="00E427A8"/>
    <w:rsid w:val="00E42A12"/>
    <w:rsid w:val="00E432F0"/>
    <w:rsid w:val="00E4336E"/>
    <w:rsid w:val="00E43D2D"/>
    <w:rsid w:val="00E44180"/>
    <w:rsid w:val="00E442C5"/>
    <w:rsid w:val="00E442E6"/>
    <w:rsid w:val="00E4487E"/>
    <w:rsid w:val="00E449B1"/>
    <w:rsid w:val="00E44B41"/>
    <w:rsid w:val="00E44EED"/>
    <w:rsid w:val="00E454B8"/>
    <w:rsid w:val="00E45F99"/>
    <w:rsid w:val="00E464EB"/>
    <w:rsid w:val="00E4683E"/>
    <w:rsid w:val="00E46E77"/>
    <w:rsid w:val="00E474EB"/>
    <w:rsid w:val="00E47674"/>
    <w:rsid w:val="00E4791D"/>
    <w:rsid w:val="00E502F2"/>
    <w:rsid w:val="00E50A9D"/>
    <w:rsid w:val="00E50AE7"/>
    <w:rsid w:val="00E50EF8"/>
    <w:rsid w:val="00E5111C"/>
    <w:rsid w:val="00E51295"/>
    <w:rsid w:val="00E51A6D"/>
    <w:rsid w:val="00E51C2C"/>
    <w:rsid w:val="00E524F1"/>
    <w:rsid w:val="00E5287C"/>
    <w:rsid w:val="00E5365D"/>
    <w:rsid w:val="00E536D0"/>
    <w:rsid w:val="00E536E6"/>
    <w:rsid w:val="00E53B8A"/>
    <w:rsid w:val="00E547C5"/>
    <w:rsid w:val="00E547F0"/>
    <w:rsid w:val="00E55622"/>
    <w:rsid w:val="00E562EA"/>
    <w:rsid w:val="00E565DB"/>
    <w:rsid w:val="00E56B3D"/>
    <w:rsid w:val="00E56D09"/>
    <w:rsid w:val="00E57061"/>
    <w:rsid w:val="00E57192"/>
    <w:rsid w:val="00E6011C"/>
    <w:rsid w:val="00E60316"/>
    <w:rsid w:val="00E6071C"/>
    <w:rsid w:val="00E60BE2"/>
    <w:rsid w:val="00E60E38"/>
    <w:rsid w:val="00E61000"/>
    <w:rsid w:val="00E61014"/>
    <w:rsid w:val="00E61132"/>
    <w:rsid w:val="00E6115B"/>
    <w:rsid w:val="00E61535"/>
    <w:rsid w:val="00E619A5"/>
    <w:rsid w:val="00E61DD2"/>
    <w:rsid w:val="00E61DD5"/>
    <w:rsid w:val="00E61EB2"/>
    <w:rsid w:val="00E62472"/>
    <w:rsid w:val="00E628D6"/>
    <w:rsid w:val="00E629B9"/>
    <w:rsid w:val="00E62A2F"/>
    <w:rsid w:val="00E62D1A"/>
    <w:rsid w:val="00E63087"/>
    <w:rsid w:val="00E63703"/>
    <w:rsid w:val="00E63946"/>
    <w:rsid w:val="00E63CB7"/>
    <w:rsid w:val="00E63F78"/>
    <w:rsid w:val="00E64662"/>
    <w:rsid w:val="00E647AA"/>
    <w:rsid w:val="00E64AC9"/>
    <w:rsid w:val="00E65348"/>
    <w:rsid w:val="00E656EE"/>
    <w:rsid w:val="00E6579F"/>
    <w:rsid w:val="00E658FF"/>
    <w:rsid w:val="00E66342"/>
    <w:rsid w:val="00E66382"/>
    <w:rsid w:val="00E665F5"/>
    <w:rsid w:val="00E66B73"/>
    <w:rsid w:val="00E66F73"/>
    <w:rsid w:val="00E67152"/>
    <w:rsid w:val="00E6776C"/>
    <w:rsid w:val="00E67D77"/>
    <w:rsid w:val="00E700CE"/>
    <w:rsid w:val="00E701D7"/>
    <w:rsid w:val="00E70292"/>
    <w:rsid w:val="00E70323"/>
    <w:rsid w:val="00E70339"/>
    <w:rsid w:val="00E708AC"/>
    <w:rsid w:val="00E70DEB"/>
    <w:rsid w:val="00E71442"/>
    <w:rsid w:val="00E7165F"/>
    <w:rsid w:val="00E7173D"/>
    <w:rsid w:val="00E7249B"/>
    <w:rsid w:val="00E7251D"/>
    <w:rsid w:val="00E72EAC"/>
    <w:rsid w:val="00E731AD"/>
    <w:rsid w:val="00E7349A"/>
    <w:rsid w:val="00E73581"/>
    <w:rsid w:val="00E73E37"/>
    <w:rsid w:val="00E73F28"/>
    <w:rsid w:val="00E74095"/>
    <w:rsid w:val="00E7441B"/>
    <w:rsid w:val="00E749BF"/>
    <w:rsid w:val="00E74A23"/>
    <w:rsid w:val="00E74B55"/>
    <w:rsid w:val="00E74CAF"/>
    <w:rsid w:val="00E7512D"/>
    <w:rsid w:val="00E754CD"/>
    <w:rsid w:val="00E75D8B"/>
    <w:rsid w:val="00E75E37"/>
    <w:rsid w:val="00E75F48"/>
    <w:rsid w:val="00E76027"/>
    <w:rsid w:val="00E7607A"/>
    <w:rsid w:val="00E76E07"/>
    <w:rsid w:val="00E77280"/>
    <w:rsid w:val="00E77983"/>
    <w:rsid w:val="00E77CB8"/>
    <w:rsid w:val="00E77E33"/>
    <w:rsid w:val="00E80597"/>
    <w:rsid w:val="00E80638"/>
    <w:rsid w:val="00E807AF"/>
    <w:rsid w:val="00E807E6"/>
    <w:rsid w:val="00E80978"/>
    <w:rsid w:val="00E80C3C"/>
    <w:rsid w:val="00E810CB"/>
    <w:rsid w:val="00E81945"/>
    <w:rsid w:val="00E819A0"/>
    <w:rsid w:val="00E819C7"/>
    <w:rsid w:val="00E81B80"/>
    <w:rsid w:val="00E821D8"/>
    <w:rsid w:val="00E828B6"/>
    <w:rsid w:val="00E82A07"/>
    <w:rsid w:val="00E82A1A"/>
    <w:rsid w:val="00E82F30"/>
    <w:rsid w:val="00E83228"/>
    <w:rsid w:val="00E83781"/>
    <w:rsid w:val="00E84030"/>
    <w:rsid w:val="00E840EF"/>
    <w:rsid w:val="00E844F6"/>
    <w:rsid w:val="00E846DB"/>
    <w:rsid w:val="00E84786"/>
    <w:rsid w:val="00E847FA"/>
    <w:rsid w:val="00E84B1B"/>
    <w:rsid w:val="00E84DEC"/>
    <w:rsid w:val="00E84F62"/>
    <w:rsid w:val="00E850E6"/>
    <w:rsid w:val="00E857CD"/>
    <w:rsid w:val="00E85DEA"/>
    <w:rsid w:val="00E86163"/>
    <w:rsid w:val="00E8633E"/>
    <w:rsid w:val="00E864F2"/>
    <w:rsid w:val="00E86722"/>
    <w:rsid w:val="00E867B4"/>
    <w:rsid w:val="00E8681B"/>
    <w:rsid w:val="00E86909"/>
    <w:rsid w:val="00E86EF1"/>
    <w:rsid w:val="00E875CB"/>
    <w:rsid w:val="00E87F2A"/>
    <w:rsid w:val="00E9002A"/>
    <w:rsid w:val="00E9006F"/>
    <w:rsid w:val="00E9027A"/>
    <w:rsid w:val="00E90535"/>
    <w:rsid w:val="00E9077B"/>
    <w:rsid w:val="00E90AFE"/>
    <w:rsid w:val="00E90C54"/>
    <w:rsid w:val="00E90CB3"/>
    <w:rsid w:val="00E911DA"/>
    <w:rsid w:val="00E91228"/>
    <w:rsid w:val="00E912C6"/>
    <w:rsid w:val="00E9146C"/>
    <w:rsid w:val="00E916F8"/>
    <w:rsid w:val="00E91DD7"/>
    <w:rsid w:val="00E923C6"/>
    <w:rsid w:val="00E92426"/>
    <w:rsid w:val="00E92CAE"/>
    <w:rsid w:val="00E92D98"/>
    <w:rsid w:val="00E939D5"/>
    <w:rsid w:val="00E94169"/>
    <w:rsid w:val="00E94AD3"/>
    <w:rsid w:val="00E94B70"/>
    <w:rsid w:val="00E95626"/>
    <w:rsid w:val="00E96052"/>
    <w:rsid w:val="00E96212"/>
    <w:rsid w:val="00E96B7E"/>
    <w:rsid w:val="00E96E9C"/>
    <w:rsid w:val="00E97AE2"/>
    <w:rsid w:val="00E97C62"/>
    <w:rsid w:val="00EA014F"/>
    <w:rsid w:val="00EA0181"/>
    <w:rsid w:val="00EA0B58"/>
    <w:rsid w:val="00EA0C35"/>
    <w:rsid w:val="00EA0DEE"/>
    <w:rsid w:val="00EA1442"/>
    <w:rsid w:val="00EA1603"/>
    <w:rsid w:val="00EA1935"/>
    <w:rsid w:val="00EA1CB1"/>
    <w:rsid w:val="00EA22F0"/>
    <w:rsid w:val="00EA2437"/>
    <w:rsid w:val="00EA2871"/>
    <w:rsid w:val="00EA2ED1"/>
    <w:rsid w:val="00EA3227"/>
    <w:rsid w:val="00EA32B7"/>
    <w:rsid w:val="00EA37D7"/>
    <w:rsid w:val="00EA37FD"/>
    <w:rsid w:val="00EA3C20"/>
    <w:rsid w:val="00EA3CD6"/>
    <w:rsid w:val="00EA4440"/>
    <w:rsid w:val="00EA47CE"/>
    <w:rsid w:val="00EA4CB2"/>
    <w:rsid w:val="00EA4E01"/>
    <w:rsid w:val="00EA529C"/>
    <w:rsid w:val="00EA5D82"/>
    <w:rsid w:val="00EA6256"/>
    <w:rsid w:val="00EA638B"/>
    <w:rsid w:val="00EA6795"/>
    <w:rsid w:val="00EA6F9B"/>
    <w:rsid w:val="00EA7197"/>
    <w:rsid w:val="00EA733E"/>
    <w:rsid w:val="00EA74EA"/>
    <w:rsid w:val="00EB0A4C"/>
    <w:rsid w:val="00EB1840"/>
    <w:rsid w:val="00EB20C6"/>
    <w:rsid w:val="00EB24DD"/>
    <w:rsid w:val="00EB2CEB"/>
    <w:rsid w:val="00EB3262"/>
    <w:rsid w:val="00EB34FE"/>
    <w:rsid w:val="00EB3B28"/>
    <w:rsid w:val="00EB482B"/>
    <w:rsid w:val="00EB490C"/>
    <w:rsid w:val="00EB4D82"/>
    <w:rsid w:val="00EB51F9"/>
    <w:rsid w:val="00EB5CD6"/>
    <w:rsid w:val="00EB5EC6"/>
    <w:rsid w:val="00EB6742"/>
    <w:rsid w:val="00EB74F3"/>
    <w:rsid w:val="00EB778E"/>
    <w:rsid w:val="00EB77BA"/>
    <w:rsid w:val="00EB78C1"/>
    <w:rsid w:val="00EB7D82"/>
    <w:rsid w:val="00EC05B9"/>
    <w:rsid w:val="00EC0F68"/>
    <w:rsid w:val="00EC1852"/>
    <w:rsid w:val="00EC2077"/>
    <w:rsid w:val="00EC23B8"/>
    <w:rsid w:val="00EC2B12"/>
    <w:rsid w:val="00EC30C7"/>
    <w:rsid w:val="00EC3549"/>
    <w:rsid w:val="00EC39DE"/>
    <w:rsid w:val="00EC3F9B"/>
    <w:rsid w:val="00EC42B3"/>
    <w:rsid w:val="00EC4CC4"/>
    <w:rsid w:val="00EC5221"/>
    <w:rsid w:val="00EC6771"/>
    <w:rsid w:val="00EC6820"/>
    <w:rsid w:val="00EC693E"/>
    <w:rsid w:val="00EC6D14"/>
    <w:rsid w:val="00EC6DE7"/>
    <w:rsid w:val="00EC735C"/>
    <w:rsid w:val="00ED009A"/>
    <w:rsid w:val="00ED0515"/>
    <w:rsid w:val="00ED0747"/>
    <w:rsid w:val="00ED0F0E"/>
    <w:rsid w:val="00ED11E2"/>
    <w:rsid w:val="00ED1B9F"/>
    <w:rsid w:val="00ED2313"/>
    <w:rsid w:val="00ED24CB"/>
    <w:rsid w:val="00ED2F2C"/>
    <w:rsid w:val="00ED300A"/>
    <w:rsid w:val="00ED307D"/>
    <w:rsid w:val="00ED33DD"/>
    <w:rsid w:val="00ED341A"/>
    <w:rsid w:val="00ED37A0"/>
    <w:rsid w:val="00ED3CB9"/>
    <w:rsid w:val="00ED3CEE"/>
    <w:rsid w:val="00ED4128"/>
    <w:rsid w:val="00ED4571"/>
    <w:rsid w:val="00ED4A25"/>
    <w:rsid w:val="00ED4C81"/>
    <w:rsid w:val="00ED5324"/>
    <w:rsid w:val="00ED5630"/>
    <w:rsid w:val="00ED5AF7"/>
    <w:rsid w:val="00ED5B70"/>
    <w:rsid w:val="00ED5D08"/>
    <w:rsid w:val="00ED5DC3"/>
    <w:rsid w:val="00ED68A0"/>
    <w:rsid w:val="00ED6905"/>
    <w:rsid w:val="00ED6958"/>
    <w:rsid w:val="00ED6C22"/>
    <w:rsid w:val="00ED6D7A"/>
    <w:rsid w:val="00ED70E0"/>
    <w:rsid w:val="00ED714B"/>
    <w:rsid w:val="00ED782F"/>
    <w:rsid w:val="00EE00A6"/>
    <w:rsid w:val="00EE01C0"/>
    <w:rsid w:val="00EE0348"/>
    <w:rsid w:val="00EE045A"/>
    <w:rsid w:val="00EE09C6"/>
    <w:rsid w:val="00EE0A5F"/>
    <w:rsid w:val="00EE0B1F"/>
    <w:rsid w:val="00EE0BB2"/>
    <w:rsid w:val="00EE0D56"/>
    <w:rsid w:val="00EE18D1"/>
    <w:rsid w:val="00EE1E61"/>
    <w:rsid w:val="00EE23E0"/>
    <w:rsid w:val="00EE2421"/>
    <w:rsid w:val="00EE242B"/>
    <w:rsid w:val="00EE28BC"/>
    <w:rsid w:val="00EE2CE9"/>
    <w:rsid w:val="00EE2F6F"/>
    <w:rsid w:val="00EE3239"/>
    <w:rsid w:val="00EE328B"/>
    <w:rsid w:val="00EE351C"/>
    <w:rsid w:val="00EE5ADC"/>
    <w:rsid w:val="00EE5EA7"/>
    <w:rsid w:val="00EE5EE4"/>
    <w:rsid w:val="00EE63BF"/>
    <w:rsid w:val="00EE69CE"/>
    <w:rsid w:val="00EE6B6A"/>
    <w:rsid w:val="00EE6EF6"/>
    <w:rsid w:val="00EE72E6"/>
    <w:rsid w:val="00EE767E"/>
    <w:rsid w:val="00EE769C"/>
    <w:rsid w:val="00EE77CE"/>
    <w:rsid w:val="00EE7DA2"/>
    <w:rsid w:val="00EE7E57"/>
    <w:rsid w:val="00EF065D"/>
    <w:rsid w:val="00EF0AAC"/>
    <w:rsid w:val="00EF0B8F"/>
    <w:rsid w:val="00EF0FB0"/>
    <w:rsid w:val="00EF13D2"/>
    <w:rsid w:val="00EF1DEC"/>
    <w:rsid w:val="00EF2AB7"/>
    <w:rsid w:val="00EF2B80"/>
    <w:rsid w:val="00EF2FC0"/>
    <w:rsid w:val="00EF3394"/>
    <w:rsid w:val="00EF3488"/>
    <w:rsid w:val="00EF3955"/>
    <w:rsid w:val="00EF3E83"/>
    <w:rsid w:val="00EF3ED5"/>
    <w:rsid w:val="00EF40A0"/>
    <w:rsid w:val="00EF4F0E"/>
    <w:rsid w:val="00EF5681"/>
    <w:rsid w:val="00EF5CF6"/>
    <w:rsid w:val="00EF5E91"/>
    <w:rsid w:val="00EF5FA0"/>
    <w:rsid w:val="00EF627C"/>
    <w:rsid w:val="00EF683E"/>
    <w:rsid w:val="00EF6EEF"/>
    <w:rsid w:val="00EF72B0"/>
    <w:rsid w:val="00EF77A9"/>
    <w:rsid w:val="00EF7BB4"/>
    <w:rsid w:val="00F0175A"/>
    <w:rsid w:val="00F01F23"/>
    <w:rsid w:val="00F0219A"/>
    <w:rsid w:val="00F0221B"/>
    <w:rsid w:val="00F0229E"/>
    <w:rsid w:val="00F02919"/>
    <w:rsid w:val="00F038A0"/>
    <w:rsid w:val="00F038B1"/>
    <w:rsid w:val="00F039C5"/>
    <w:rsid w:val="00F03DAA"/>
    <w:rsid w:val="00F03E09"/>
    <w:rsid w:val="00F042E7"/>
    <w:rsid w:val="00F043B5"/>
    <w:rsid w:val="00F0446F"/>
    <w:rsid w:val="00F044C6"/>
    <w:rsid w:val="00F04E9C"/>
    <w:rsid w:val="00F055BC"/>
    <w:rsid w:val="00F056E9"/>
    <w:rsid w:val="00F0629A"/>
    <w:rsid w:val="00F06491"/>
    <w:rsid w:val="00F067EB"/>
    <w:rsid w:val="00F069C2"/>
    <w:rsid w:val="00F06A8B"/>
    <w:rsid w:val="00F06B32"/>
    <w:rsid w:val="00F06E19"/>
    <w:rsid w:val="00F07257"/>
    <w:rsid w:val="00F10183"/>
    <w:rsid w:val="00F10311"/>
    <w:rsid w:val="00F1069F"/>
    <w:rsid w:val="00F1096A"/>
    <w:rsid w:val="00F10A5A"/>
    <w:rsid w:val="00F11056"/>
    <w:rsid w:val="00F113A0"/>
    <w:rsid w:val="00F11ACC"/>
    <w:rsid w:val="00F12640"/>
    <w:rsid w:val="00F128E9"/>
    <w:rsid w:val="00F12A20"/>
    <w:rsid w:val="00F12FAF"/>
    <w:rsid w:val="00F1304F"/>
    <w:rsid w:val="00F138E7"/>
    <w:rsid w:val="00F14170"/>
    <w:rsid w:val="00F146D6"/>
    <w:rsid w:val="00F14C78"/>
    <w:rsid w:val="00F14D64"/>
    <w:rsid w:val="00F15661"/>
    <w:rsid w:val="00F15F3A"/>
    <w:rsid w:val="00F1639E"/>
    <w:rsid w:val="00F1675F"/>
    <w:rsid w:val="00F16C19"/>
    <w:rsid w:val="00F17123"/>
    <w:rsid w:val="00F178BF"/>
    <w:rsid w:val="00F17A2C"/>
    <w:rsid w:val="00F17A6E"/>
    <w:rsid w:val="00F17BC7"/>
    <w:rsid w:val="00F17F80"/>
    <w:rsid w:val="00F20427"/>
    <w:rsid w:val="00F20702"/>
    <w:rsid w:val="00F208D3"/>
    <w:rsid w:val="00F20AE8"/>
    <w:rsid w:val="00F20BE4"/>
    <w:rsid w:val="00F20D43"/>
    <w:rsid w:val="00F2134E"/>
    <w:rsid w:val="00F2144B"/>
    <w:rsid w:val="00F21597"/>
    <w:rsid w:val="00F217C1"/>
    <w:rsid w:val="00F219E6"/>
    <w:rsid w:val="00F21D49"/>
    <w:rsid w:val="00F21ECD"/>
    <w:rsid w:val="00F22BEC"/>
    <w:rsid w:val="00F231BD"/>
    <w:rsid w:val="00F233EF"/>
    <w:rsid w:val="00F23542"/>
    <w:rsid w:val="00F23550"/>
    <w:rsid w:val="00F245DE"/>
    <w:rsid w:val="00F24DD3"/>
    <w:rsid w:val="00F25114"/>
    <w:rsid w:val="00F25209"/>
    <w:rsid w:val="00F25490"/>
    <w:rsid w:val="00F255A5"/>
    <w:rsid w:val="00F2573A"/>
    <w:rsid w:val="00F257D5"/>
    <w:rsid w:val="00F25A94"/>
    <w:rsid w:val="00F25BE4"/>
    <w:rsid w:val="00F25EE6"/>
    <w:rsid w:val="00F2619C"/>
    <w:rsid w:val="00F265EA"/>
    <w:rsid w:val="00F267EB"/>
    <w:rsid w:val="00F26815"/>
    <w:rsid w:val="00F26DA4"/>
    <w:rsid w:val="00F26F17"/>
    <w:rsid w:val="00F27078"/>
    <w:rsid w:val="00F27139"/>
    <w:rsid w:val="00F27631"/>
    <w:rsid w:val="00F278A8"/>
    <w:rsid w:val="00F27C0E"/>
    <w:rsid w:val="00F27EE6"/>
    <w:rsid w:val="00F30005"/>
    <w:rsid w:val="00F3024C"/>
    <w:rsid w:val="00F30338"/>
    <w:rsid w:val="00F309C6"/>
    <w:rsid w:val="00F30DC0"/>
    <w:rsid w:val="00F311C5"/>
    <w:rsid w:val="00F31307"/>
    <w:rsid w:val="00F3327C"/>
    <w:rsid w:val="00F33B6F"/>
    <w:rsid w:val="00F3432A"/>
    <w:rsid w:val="00F345A5"/>
    <w:rsid w:val="00F34DA9"/>
    <w:rsid w:val="00F35759"/>
    <w:rsid w:val="00F357A3"/>
    <w:rsid w:val="00F362FF"/>
    <w:rsid w:val="00F3631A"/>
    <w:rsid w:val="00F368A4"/>
    <w:rsid w:val="00F36988"/>
    <w:rsid w:val="00F36FAD"/>
    <w:rsid w:val="00F370EA"/>
    <w:rsid w:val="00F37242"/>
    <w:rsid w:val="00F37495"/>
    <w:rsid w:val="00F37601"/>
    <w:rsid w:val="00F37CFA"/>
    <w:rsid w:val="00F40237"/>
    <w:rsid w:val="00F40253"/>
    <w:rsid w:val="00F40B58"/>
    <w:rsid w:val="00F40D66"/>
    <w:rsid w:val="00F40DE9"/>
    <w:rsid w:val="00F411B1"/>
    <w:rsid w:val="00F41237"/>
    <w:rsid w:val="00F41581"/>
    <w:rsid w:val="00F4186F"/>
    <w:rsid w:val="00F41B41"/>
    <w:rsid w:val="00F41E88"/>
    <w:rsid w:val="00F41EE7"/>
    <w:rsid w:val="00F42182"/>
    <w:rsid w:val="00F423DA"/>
    <w:rsid w:val="00F425CE"/>
    <w:rsid w:val="00F42897"/>
    <w:rsid w:val="00F4296B"/>
    <w:rsid w:val="00F42FFF"/>
    <w:rsid w:val="00F43C20"/>
    <w:rsid w:val="00F4402E"/>
    <w:rsid w:val="00F44470"/>
    <w:rsid w:val="00F44626"/>
    <w:rsid w:val="00F44744"/>
    <w:rsid w:val="00F4496F"/>
    <w:rsid w:val="00F44E2E"/>
    <w:rsid w:val="00F45C5F"/>
    <w:rsid w:val="00F466AB"/>
    <w:rsid w:val="00F46745"/>
    <w:rsid w:val="00F47808"/>
    <w:rsid w:val="00F47BB4"/>
    <w:rsid w:val="00F47D59"/>
    <w:rsid w:val="00F47ED5"/>
    <w:rsid w:val="00F505A3"/>
    <w:rsid w:val="00F506EA"/>
    <w:rsid w:val="00F5071D"/>
    <w:rsid w:val="00F508B6"/>
    <w:rsid w:val="00F5090E"/>
    <w:rsid w:val="00F50FBF"/>
    <w:rsid w:val="00F5148B"/>
    <w:rsid w:val="00F51891"/>
    <w:rsid w:val="00F51A1C"/>
    <w:rsid w:val="00F51C68"/>
    <w:rsid w:val="00F51D63"/>
    <w:rsid w:val="00F51F10"/>
    <w:rsid w:val="00F521B2"/>
    <w:rsid w:val="00F522B3"/>
    <w:rsid w:val="00F52ACA"/>
    <w:rsid w:val="00F52C93"/>
    <w:rsid w:val="00F52D43"/>
    <w:rsid w:val="00F5318F"/>
    <w:rsid w:val="00F535B3"/>
    <w:rsid w:val="00F53C07"/>
    <w:rsid w:val="00F53EB7"/>
    <w:rsid w:val="00F54266"/>
    <w:rsid w:val="00F54345"/>
    <w:rsid w:val="00F54385"/>
    <w:rsid w:val="00F54794"/>
    <w:rsid w:val="00F54C6C"/>
    <w:rsid w:val="00F55996"/>
    <w:rsid w:val="00F566B4"/>
    <w:rsid w:val="00F56783"/>
    <w:rsid w:val="00F567AB"/>
    <w:rsid w:val="00F5697A"/>
    <w:rsid w:val="00F56B18"/>
    <w:rsid w:val="00F56CDB"/>
    <w:rsid w:val="00F56DE0"/>
    <w:rsid w:val="00F56EAB"/>
    <w:rsid w:val="00F57133"/>
    <w:rsid w:val="00F57451"/>
    <w:rsid w:val="00F57739"/>
    <w:rsid w:val="00F577A7"/>
    <w:rsid w:val="00F5796A"/>
    <w:rsid w:val="00F6006F"/>
    <w:rsid w:val="00F603EF"/>
    <w:rsid w:val="00F60651"/>
    <w:rsid w:val="00F6071F"/>
    <w:rsid w:val="00F60746"/>
    <w:rsid w:val="00F60AEF"/>
    <w:rsid w:val="00F60FC0"/>
    <w:rsid w:val="00F618FD"/>
    <w:rsid w:val="00F61DDD"/>
    <w:rsid w:val="00F6218E"/>
    <w:rsid w:val="00F621A0"/>
    <w:rsid w:val="00F625AE"/>
    <w:rsid w:val="00F62FA3"/>
    <w:rsid w:val="00F63593"/>
    <w:rsid w:val="00F637F2"/>
    <w:rsid w:val="00F639DC"/>
    <w:rsid w:val="00F63EE8"/>
    <w:rsid w:val="00F64208"/>
    <w:rsid w:val="00F6440C"/>
    <w:rsid w:val="00F64B14"/>
    <w:rsid w:val="00F650E9"/>
    <w:rsid w:val="00F652A1"/>
    <w:rsid w:val="00F6584C"/>
    <w:rsid w:val="00F65903"/>
    <w:rsid w:val="00F65EC8"/>
    <w:rsid w:val="00F66553"/>
    <w:rsid w:val="00F66A03"/>
    <w:rsid w:val="00F66A58"/>
    <w:rsid w:val="00F674B7"/>
    <w:rsid w:val="00F70906"/>
    <w:rsid w:val="00F70A0C"/>
    <w:rsid w:val="00F70A62"/>
    <w:rsid w:val="00F70D07"/>
    <w:rsid w:val="00F70EC9"/>
    <w:rsid w:val="00F7125A"/>
    <w:rsid w:val="00F71FD8"/>
    <w:rsid w:val="00F72082"/>
    <w:rsid w:val="00F72099"/>
    <w:rsid w:val="00F721CE"/>
    <w:rsid w:val="00F72228"/>
    <w:rsid w:val="00F723A5"/>
    <w:rsid w:val="00F72546"/>
    <w:rsid w:val="00F73930"/>
    <w:rsid w:val="00F73A4C"/>
    <w:rsid w:val="00F741DC"/>
    <w:rsid w:val="00F74275"/>
    <w:rsid w:val="00F74534"/>
    <w:rsid w:val="00F7454F"/>
    <w:rsid w:val="00F749BD"/>
    <w:rsid w:val="00F74C63"/>
    <w:rsid w:val="00F75083"/>
    <w:rsid w:val="00F7537A"/>
    <w:rsid w:val="00F75603"/>
    <w:rsid w:val="00F7568D"/>
    <w:rsid w:val="00F75786"/>
    <w:rsid w:val="00F7607E"/>
    <w:rsid w:val="00F767BF"/>
    <w:rsid w:val="00F769F3"/>
    <w:rsid w:val="00F76A76"/>
    <w:rsid w:val="00F76E71"/>
    <w:rsid w:val="00F77198"/>
    <w:rsid w:val="00F771A7"/>
    <w:rsid w:val="00F805DD"/>
    <w:rsid w:val="00F80D21"/>
    <w:rsid w:val="00F813FD"/>
    <w:rsid w:val="00F81BFA"/>
    <w:rsid w:val="00F82C12"/>
    <w:rsid w:val="00F82DFA"/>
    <w:rsid w:val="00F82F8D"/>
    <w:rsid w:val="00F83326"/>
    <w:rsid w:val="00F83CC0"/>
    <w:rsid w:val="00F84385"/>
    <w:rsid w:val="00F8447A"/>
    <w:rsid w:val="00F84B47"/>
    <w:rsid w:val="00F85602"/>
    <w:rsid w:val="00F85A96"/>
    <w:rsid w:val="00F85C4E"/>
    <w:rsid w:val="00F85F4E"/>
    <w:rsid w:val="00F8602A"/>
    <w:rsid w:val="00F862F8"/>
    <w:rsid w:val="00F865C3"/>
    <w:rsid w:val="00F86C0D"/>
    <w:rsid w:val="00F86CC2"/>
    <w:rsid w:val="00F86E65"/>
    <w:rsid w:val="00F87565"/>
    <w:rsid w:val="00F87611"/>
    <w:rsid w:val="00F87775"/>
    <w:rsid w:val="00F87A8A"/>
    <w:rsid w:val="00F900FA"/>
    <w:rsid w:val="00F90120"/>
    <w:rsid w:val="00F90259"/>
    <w:rsid w:val="00F9083B"/>
    <w:rsid w:val="00F90A2E"/>
    <w:rsid w:val="00F90D05"/>
    <w:rsid w:val="00F90E6C"/>
    <w:rsid w:val="00F91F54"/>
    <w:rsid w:val="00F92498"/>
    <w:rsid w:val="00F925C7"/>
    <w:rsid w:val="00F92818"/>
    <w:rsid w:val="00F92A81"/>
    <w:rsid w:val="00F9319E"/>
    <w:rsid w:val="00F93385"/>
    <w:rsid w:val="00F93FE4"/>
    <w:rsid w:val="00F940B3"/>
    <w:rsid w:val="00F94951"/>
    <w:rsid w:val="00F95018"/>
    <w:rsid w:val="00F9525E"/>
    <w:rsid w:val="00F95732"/>
    <w:rsid w:val="00F971A3"/>
    <w:rsid w:val="00F97545"/>
    <w:rsid w:val="00F97792"/>
    <w:rsid w:val="00F97826"/>
    <w:rsid w:val="00F97A46"/>
    <w:rsid w:val="00F97E45"/>
    <w:rsid w:val="00FA0B53"/>
    <w:rsid w:val="00FA0C43"/>
    <w:rsid w:val="00FA0DBB"/>
    <w:rsid w:val="00FA0EDE"/>
    <w:rsid w:val="00FA17F3"/>
    <w:rsid w:val="00FA1821"/>
    <w:rsid w:val="00FA1CAC"/>
    <w:rsid w:val="00FA1D30"/>
    <w:rsid w:val="00FA1E5F"/>
    <w:rsid w:val="00FA21E8"/>
    <w:rsid w:val="00FA27F7"/>
    <w:rsid w:val="00FA285C"/>
    <w:rsid w:val="00FA2C5B"/>
    <w:rsid w:val="00FA2D0E"/>
    <w:rsid w:val="00FA3710"/>
    <w:rsid w:val="00FA3BF2"/>
    <w:rsid w:val="00FA3D57"/>
    <w:rsid w:val="00FA3E29"/>
    <w:rsid w:val="00FA3EAC"/>
    <w:rsid w:val="00FA4C76"/>
    <w:rsid w:val="00FA4D2D"/>
    <w:rsid w:val="00FA4D66"/>
    <w:rsid w:val="00FA4DE0"/>
    <w:rsid w:val="00FA54D6"/>
    <w:rsid w:val="00FA597C"/>
    <w:rsid w:val="00FA5C4E"/>
    <w:rsid w:val="00FA5E8E"/>
    <w:rsid w:val="00FA62BA"/>
    <w:rsid w:val="00FA6A13"/>
    <w:rsid w:val="00FA6C2B"/>
    <w:rsid w:val="00FA6E2C"/>
    <w:rsid w:val="00FA6EC0"/>
    <w:rsid w:val="00FA7190"/>
    <w:rsid w:val="00FB0589"/>
    <w:rsid w:val="00FB0EC1"/>
    <w:rsid w:val="00FB1147"/>
    <w:rsid w:val="00FB1410"/>
    <w:rsid w:val="00FB189C"/>
    <w:rsid w:val="00FB1EE5"/>
    <w:rsid w:val="00FB2000"/>
    <w:rsid w:val="00FB2328"/>
    <w:rsid w:val="00FB2C57"/>
    <w:rsid w:val="00FB3134"/>
    <w:rsid w:val="00FB3B1A"/>
    <w:rsid w:val="00FB3BAB"/>
    <w:rsid w:val="00FB3C8D"/>
    <w:rsid w:val="00FB432B"/>
    <w:rsid w:val="00FB4337"/>
    <w:rsid w:val="00FB457B"/>
    <w:rsid w:val="00FB4AF8"/>
    <w:rsid w:val="00FB4F69"/>
    <w:rsid w:val="00FB56D4"/>
    <w:rsid w:val="00FB5728"/>
    <w:rsid w:val="00FB5C85"/>
    <w:rsid w:val="00FB62BE"/>
    <w:rsid w:val="00FB63D8"/>
    <w:rsid w:val="00FB7467"/>
    <w:rsid w:val="00FB7BDD"/>
    <w:rsid w:val="00FC0029"/>
    <w:rsid w:val="00FC04BD"/>
    <w:rsid w:val="00FC04F8"/>
    <w:rsid w:val="00FC09AB"/>
    <w:rsid w:val="00FC0A9E"/>
    <w:rsid w:val="00FC0B0C"/>
    <w:rsid w:val="00FC1613"/>
    <w:rsid w:val="00FC1AD2"/>
    <w:rsid w:val="00FC1BE0"/>
    <w:rsid w:val="00FC1E79"/>
    <w:rsid w:val="00FC204E"/>
    <w:rsid w:val="00FC280E"/>
    <w:rsid w:val="00FC2877"/>
    <w:rsid w:val="00FC2A0E"/>
    <w:rsid w:val="00FC30A4"/>
    <w:rsid w:val="00FC3425"/>
    <w:rsid w:val="00FC36FE"/>
    <w:rsid w:val="00FC39DC"/>
    <w:rsid w:val="00FC3B3C"/>
    <w:rsid w:val="00FC3C3B"/>
    <w:rsid w:val="00FC4AAA"/>
    <w:rsid w:val="00FC5098"/>
    <w:rsid w:val="00FC5121"/>
    <w:rsid w:val="00FC58A9"/>
    <w:rsid w:val="00FC5D4A"/>
    <w:rsid w:val="00FC613C"/>
    <w:rsid w:val="00FC62A8"/>
    <w:rsid w:val="00FC6D2C"/>
    <w:rsid w:val="00FC6E87"/>
    <w:rsid w:val="00FC71B5"/>
    <w:rsid w:val="00FC7284"/>
    <w:rsid w:val="00FC7327"/>
    <w:rsid w:val="00FC7334"/>
    <w:rsid w:val="00FC7AC9"/>
    <w:rsid w:val="00FD0045"/>
    <w:rsid w:val="00FD089D"/>
    <w:rsid w:val="00FD1527"/>
    <w:rsid w:val="00FD192B"/>
    <w:rsid w:val="00FD1BD8"/>
    <w:rsid w:val="00FD2007"/>
    <w:rsid w:val="00FD220B"/>
    <w:rsid w:val="00FD22DC"/>
    <w:rsid w:val="00FD2399"/>
    <w:rsid w:val="00FD2427"/>
    <w:rsid w:val="00FD24BA"/>
    <w:rsid w:val="00FD2576"/>
    <w:rsid w:val="00FD2848"/>
    <w:rsid w:val="00FD2895"/>
    <w:rsid w:val="00FD2D03"/>
    <w:rsid w:val="00FD2E14"/>
    <w:rsid w:val="00FD31EA"/>
    <w:rsid w:val="00FD34FB"/>
    <w:rsid w:val="00FD3791"/>
    <w:rsid w:val="00FD379E"/>
    <w:rsid w:val="00FD3A33"/>
    <w:rsid w:val="00FD3ABC"/>
    <w:rsid w:val="00FD3F7F"/>
    <w:rsid w:val="00FD4BD7"/>
    <w:rsid w:val="00FD506A"/>
    <w:rsid w:val="00FD53DD"/>
    <w:rsid w:val="00FD5785"/>
    <w:rsid w:val="00FD5B86"/>
    <w:rsid w:val="00FD63BD"/>
    <w:rsid w:val="00FD676B"/>
    <w:rsid w:val="00FD6D30"/>
    <w:rsid w:val="00FD6EDD"/>
    <w:rsid w:val="00FD705D"/>
    <w:rsid w:val="00FD7BA7"/>
    <w:rsid w:val="00FE02D7"/>
    <w:rsid w:val="00FE077A"/>
    <w:rsid w:val="00FE0DAC"/>
    <w:rsid w:val="00FE0E5F"/>
    <w:rsid w:val="00FE107A"/>
    <w:rsid w:val="00FE15E3"/>
    <w:rsid w:val="00FE17BF"/>
    <w:rsid w:val="00FE18E9"/>
    <w:rsid w:val="00FE1E36"/>
    <w:rsid w:val="00FE200A"/>
    <w:rsid w:val="00FE2C53"/>
    <w:rsid w:val="00FE314F"/>
    <w:rsid w:val="00FE389D"/>
    <w:rsid w:val="00FE3AA0"/>
    <w:rsid w:val="00FE3ABD"/>
    <w:rsid w:val="00FE45C1"/>
    <w:rsid w:val="00FE4777"/>
    <w:rsid w:val="00FE4812"/>
    <w:rsid w:val="00FE4C98"/>
    <w:rsid w:val="00FE4F29"/>
    <w:rsid w:val="00FE51E5"/>
    <w:rsid w:val="00FE6431"/>
    <w:rsid w:val="00FE670C"/>
    <w:rsid w:val="00FE6BF7"/>
    <w:rsid w:val="00FE7BC9"/>
    <w:rsid w:val="00FE7DB8"/>
    <w:rsid w:val="00FE7FBC"/>
    <w:rsid w:val="00FF052F"/>
    <w:rsid w:val="00FF0B66"/>
    <w:rsid w:val="00FF0E1F"/>
    <w:rsid w:val="00FF1491"/>
    <w:rsid w:val="00FF231E"/>
    <w:rsid w:val="00FF27EC"/>
    <w:rsid w:val="00FF2BD2"/>
    <w:rsid w:val="00FF300C"/>
    <w:rsid w:val="00FF3798"/>
    <w:rsid w:val="00FF4A41"/>
    <w:rsid w:val="00FF4B12"/>
    <w:rsid w:val="00FF4EB0"/>
    <w:rsid w:val="00FF5E7F"/>
    <w:rsid w:val="00FF6057"/>
    <w:rsid w:val="00FF6519"/>
    <w:rsid w:val="00FF6631"/>
    <w:rsid w:val="00FF7418"/>
    <w:rsid w:val="00FF75F4"/>
    <w:rsid w:val="17BE574A"/>
    <w:rsid w:val="21411BA1"/>
    <w:rsid w:val="37D87656"/>
    <w:rsid w:val="52D85FC0"/>
    <w:rsid w:val="568767EA"/>
    <w:rsid w:val="636D7D2D"/>
    <w:rsid w:val="75F64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C013871"/>
  <w15:docId w15:val="{284DC5BF-E554-41E6-A187-246D830C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nhideWhenUsed="1" w:qFormat="1"/>
    <w:lsdException w:name="annotation text" w:semiHidden="1" w:unhideWhenUsed="1" w:qFormat="1"/>
    <w:lsdException w:name="header" w:qFormat="1"/>
    <w:lsdException w:name="footer"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716"/>
    <w:pPr>
      <w:autoSpaceDE w:val="0"/>
      <w:autoSpaceDN w:val="0"/>
      <w:adjustRightInd w:val="0"/>
      <w:spacing w:before="100" w:beforeAutospacing="1" w:after="100" w:afterAutospacing="1" w:line="360" w:lineRule="auto"/>
      <w:jc w:val="both"/>
    </w:pPr>
    <w:rPr>
      <w:sz w:val="24"/>
      <w:lang w:eastAsia="en-US"/>
    </w:rPr>
  </w:style>
  <w:style w:type="paragraph" w:styleId="Heading1">
    <w:name w:val="heading 1"/>
    <w:basedOn w:val="Normal"/>
    <w:next w:val="Normal"/>
    <w:link w:val="Heading1Char"/>
    <w:qFormat/>
    <w:rsid w:val="00E05716"/>
    <w:pPr>
      <w:keepNext/>
      <w:jc w:val="center"/>
      <w:outlineLvl w:val="0"/>
    </w:pPr>
    <w:rPr>
      <w:b/>
      <w:caps/>
      <w:kern w:val="32"/>
      <w:szCs w:val="32"/>
    </w:rPr>
  </w:style>
  <w:style w:type="paragraph" w:styleId="Heading2">
    <w:name w:val="heading 2"/>
    <w:basedOn w:val="Normal"/>
    <w:link w:val="Heading2Char"/>
    <w:qFormat/>
    <w:pPr>
      <w:autoSpaceDE/>
      <w:autoSpaceDN/>
      <w:outlineLvl w:val="1"/>
    </w:pPr>
    <w:rPr>
      <w:rFonts w:cs="Times New Roman"/>
      <w:b/>
      <w:bCs/>
      <w:szCs w:val="24"/>
      <w:lang w:val="af-ZA" w:eastAsia="af-ZA"/>
    </w:rPr>
  </w:style>
  <w:style w:type="paragraph" w:styleId="Heading3">
    <w:name w:val="heading 3"/>
    <w:basedOn w:val="Normal"/>
    <w:next w:val="Normal"/>
    <w:link w:val="Heading3Char"/>
    <w:qFormat/>
    <w:pPr>
      <w:keepNext/>
      <w:spacing w:before="240" w:after="60"/>
      <w:outlineLvl w:val="2"/>
    </w:pPr>
    <w:rPr>
      <w:rFonts w:cs="Times New Roman"/>
      <w:b/>
      <w:bCs/>
      <w:szCs w:val="24"/>
    </w:rPr>
  </w:style>
  <w:style w:type="paragraph" w:styleId="Heading4">
    <w:name w:val="heading 4"/>
    <w:basedOn w:val="Normal"/>
    <w:next w:val="Normal"/>
    <w:link w:val="Heading4Char"/>
    <w:uiPriority w:val="9"/>
    <w:unhideWhenUsed/>
    <w:qFormat/>
    <w:pPr>
      <w:keepNext/>
      <w:keepLines/>
      <w:spacing w:before="20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747714"/>
    <w:pPr>
      <w:keepNext/>
      <w:keepLines/>
      <w:outlineLvl w:val="5"/>
    </w:pPr>
    <w:rPr>
      <w:rFonts w:eastAsiaTheme="majorEastAsia" w:cstheme="majorBidi"/>
      <w:b/>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b/>
      <w:iCs/>
    </w:rPr>
  </w:style>
  <w:style w:type="paragraph" w:styleId="Heading9">
    <w:name w:val="heading 9"/>
    <w:basedOn w:val="Normal"/>
    <w:next w:val="Normal"/>
    <w:link w:val="Heading9Char"/>
    <w:uiPriority w:val="9"/>
    <w:semiHidden/>
    <w:unhideWhenUsed/>
    <w:qFormat/>
    <w:pPr>
      <w:spacing w:before="240" w:after="6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uiPriority w:val="99"/>
    <w:semiHidden/>
    <w:unhideWhenUsed/>
    <w:qFormat/>
    <w:pPr>
      <w:spacing w:after="120"/>
    </w:pPr>
  </w:style>
  <w:style w:type="paragraph" w:styleId="BodyText2">
    <w:name w:val="Body Text 2"/>
    <w:basedOn w:val="Normal"/>
    <w:link w:val="BodyText2Char"/>
    <w:pPr>
      <w:autoSpaceDE/>
      <w:autoSpaceDN/>
    </w:pPr>
    <w:rPr>
      <w:rFonts w:ascii="Arial Narrow" w:hAnsi="Arial Narrow" w:cs="Arial Narrow"/>
      <w:i/>
      <w:iCs/>
      <w:sz w:val="30"/>
      <w:szCs w:val="30"/>
    </w:rPr>
  </w:style>
  <w:style w:type="paragraph" w:styleId="Caption">
    <w:name w:val="caption"/>
    <w:basedOn w:val="Normal"/>
    <w:next w:val="Normal"/>
    <w:uiPriority w:val="35"/>
    <w:unhideWhenUsed/>
    <w:qFormat/>
    <w:rPr>
      <w:b/>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semiHidden/>
    <w:qFormat/>
    <w:pPr>
      <w:shd w:val="clear" w:color="auto" w:fill="000080"/>
    </w:pPr>
    <w:rPr>
      <w:rFonts w:ascii="Tahoma" w:hAnsi="Tahoma" w:cs="Tahoma"/>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qFormat/>
    <w:pPr>
      <w:tabs>
        <w:tab w:val="center" w:pos="4536"/>
        <w:tab w:val="right" w:pos="9072"/>
      </w:tabs>
    </w:pPr>
  </w:style>
  <w:style w:type="paragraph" w:styleId="FootnoteText">
    <w:name w:val="footnote text"/>
    <w:basedOn w:val="Normal"/>
    <w:link w:val="FootnoteTextChar"/>
    <w:uiPriority w:val="99"/>
    <w:unhideWhenUsed/>
    <w:qFormat/>
    <w:pPr>
      <w:autoSpaceDE/>
      <w:autoSpaceDN/>
      <w:adjustRightInd/>
    </w:pPr>
    <w:rPr>
      <w:rFonts w:asciiTheme="minorHAnsi" w:eastAsiaTheme="minorEastAsia" w:hAnsiTheme="minorHAnsi"/>
      <w:bCs/>
      <w:sz w:val="20"/>
    </w:rPr>
  </w:style>
  <w:style w:type="paragraph" w:styleId="Header">
    <w:name w:val="header"/>
    <w:basedOn w:val="Normal"/>
    <w:link w:val="HeaderChar"/>
    <w:uiPriority w:val="99"/>
    <w:qFormat/>
    <w:pPr>
      <w:tabs>
        <w:tab w:val="center" w:pos="4703"/>
        <w:tab w:val="right" w:pos="9406"/>
      </w:tabs>
    </w:pPr>
  </w:style>
  <w:style w:type="character" w:styleId="Hyperlink">
    <w:name w:val="Hyperlink"/>
    <w:uiPriority w:val="99"/>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pPr>
      <w:autoSpaceDE/>
      <w:autoSpaceDN/>
    </w:pPr>
    <w:rPr>
      <w:lang w:val="af-ZA" w:eastAsia="af-ZA"/>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39"/>
    <w:qFormat/>
    <w:pPr>
      <w:autoSpaceDE w:val="0"/>
      <w:autoSpaceDN w:val="0"/>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style>
  <w:style w:type="paragraph" w:styleId="Title">
    <w:name w:val="Title"/>
    <w:basedOn w:val="Normal"/>
    <w:link w:val="TitleChar"/>
    <w:qFormat/>
    <w:pPr>
      <w:autoSpaceDE/>
      <w:autoSpaceDN/>
      <w:adjustRightInd/>
      <w:jc w:val="center"/>
    </w:pPr>
    <w:rPr>
      <w:b/>
      <w:sz w:val="32"/>
      <w:u w:val="single"/>
    </w:rPr>
  </w:style>
  <w:style w:type="paragraph" w:styleId="TOC1">
    <w:name w:val="toc 1"/>
    <w:basedOn w:val="Normal"/>
    <w:next w:val="Normal"/>
    <w:autoRedefine/>
    <w:uiPriority w:val="39"/>
    <w:qFormat/>
    <w:pPr>
      <w:spacing w:before="120" w:after="120"/>
      <w:jc w:val="left"/>
    </w:pPr>
    <w:rPr>
      <w:rFonts w:asciiTheme="minorHAnsi" w:hAnsiTheme="minorHAnsi" w:cstheme="minorHAnsi"/>
      <w:b/>
      <w:bCs/>
      <w:caps/>
      <w:sz w:val="20"/>
    </w:rPr>
  </w:style>
  <w:style w:type="paragraph" w:styleId="TOC2">
    <w:name w:val="toc 2"/>
    <w:basedOn w:val="Normal"/>
    <w:next w:val="Normal"/>
    <w:autoRedefine/>
    <w:uiPriority w:val="39"/>
    <w:qFormat/>
    <w:rsid w:val="00A26AF8"/>
    <w:pPr>
      <w:tabs>
        <w:tab w:val="right" w:leader="dot" w:pos="8544"/>
      </w:tabs>
      <w:spacing w:before="0" w:after="0"/>
      <w:ind w:left="709" w:hanging="469"/>
      <w:jc w:val="left"/>
    </w:pPr>
    <w:rPr>
      <w:rFonts w:asciiTheme="minorHAnsi" w:hAnsiTheme="minorHAnsi" w:cstheme="minorHAnsi"/>
      <w:smallCaps/>
      <w:sz w:val="20"/>
    </w:rPr>
  </w:style>
  <w:style w:type="paragraph" w:styleId="TOC3">
    <w:name w:val="toc 3"/>
    <w:basedOn w:val="Normal"/>
    <w:next w:val="Normal"/>
    <w:autoRedefine/>
    <w:uiPriority w:val="39"/>
    <w:qFormat/>
    <w:rsid w:val="000067B1"/>
    <w:pPr>
      <w:tabs>
        <w:tab w:val="right" w:leader="dot" w:pos="8544"/>
      </w:tabs>
      <w:ind w:left="993" w:hanging="513"/>
    </w:pPr>
    <w:rPr>
      <w:rFonts w:asciiTheme="minorHAnsi" w:hAnsiTheme="minorHAnsi" w:cstheme="minorHAnsi"/>
      <w:i/>
      <w:iCs/>
      <w:sz w:val="20"/>
    </w:rPr>
  </w:style>
  <w:style w:type="paragraph" w:styleId="TOC4">
    <w:name w:val="toc 4"/>
    <w:basedOn w:val="Normal"/>
    <w:next w:val="Normal"/>
    <w:autoRedefine/>
    <w:uiPriority w:val="39"/>
    <w:qFormat/>
    <w:pPr>
      <w:spacing w:before="0" w:after="0"/>
      <w:ind w:left="720"/>
      <w:jc w:val="left"/>
    </w:pPr>
    <w:rPr>
      <w:rFonts w:asciiTheme="minorHAnsi" w:hAnsiTheme="minorHAnsi" w:cstheme="minorHAnsi"/>
      <w:sz w:val="18"/>
      <w:szCs w:val="18"/>
    </w:rPr>
  </w:style>
  <w:style w:type="paragraph" w:styleId="TOC5">
    <w:name w:val="toc 5"/>
    <w:basedOn w:val="Normal"/>
    <w:next w:val="Normal"/>
    <w:autoRedefine/>
    <w:uiPriority w:val="39"/>
    <w:qFormat/>
    <w:pPr>
      <w:spacing w:before="0" w:after="0"/>
      <w:ind w:left="960"/>
      <w:jc w:val="left"/>
    </w:pPr>
    <w:rPr>
      <w:rFonts w:asciiTheme="minorHAnsi" w:hAnsiTheme="minorHAnsi" w:cstheme="minorHAnsi"/>
      <w:sz w:val="18"/>
      <w:szCs w:val="18"/>
    </w:rPr>
  </w:style>
  <w:style w:type="paragraph" w:styleId="TOC6">
    <w:name w:val="toc 6"/>
    <w:basedOn w:val="Normal"/>
    <w:next w:val="Normal"/>
    <w:autoRedefine/>
    <w:uiPriority w:val="39"/>
    <w:qFormat/>
    <w:pPr>
      <w:spacing w:before="0" w:after="0"/>
      <w:ind w:left="1200"/>
      <w:jc w:val="left"/>
    </w:pPr>
    <w:rPr>
      <w:rFonts w:asciiTheme="minorHAnsi" w:hAnsiTheme="minorHAnsi" w:cstheme="minorHAnsi"/>
      <w:sz w:val="18"/>
      <w:szCs w:val="18"/>
    </w:rPr>
  </w:style>
  <w:style w:type="paragraph" w:styleId="TOC7">
    <w:name w:val="toc 7"/>
    <w:basedOn w:val="Normal"/>
    <w:next w:val="Normal"/>
    <w:autoRedefine/>
    <w:uiPriority w:val="39"/>
    <w:qFormat/>
    <w:pPr>
      <w:spacing w:before="0" w:after="0"/>
      <w:ind w:left="1440"/>
      <w:jc w:val="left"/>
    </w:pPr>
    <w:rPr>
      <w:rFonts w:asciiTheme="minorHAnsi" w:hAnsiTheme="minorHAnsi" w:cstheme="minorHAnsi"/>
      <w:sz w:val="18"/>
      <w:szCs w:val="18"/>
    </w:rPr>
  </w:style>
  <w:style w:type="paragraph" w:styleId="TOC8">
    <w:name w:val="toc 8"/>
    <w:basedOn w:val="Normal"/>
    <w:next w:val="Normal"/>
    <w:autoRedefine/>
    <w:uiPriority w:val="39"/>
    <w:qFormat/>
    <w:pPr>
      <w:spacing w:before="0" w:after="0"/>
      <w:ind w:left="1680"/>
      <w:jc w:val="left"/>
    </w:pPr>
    <w:rPr>
      <w:rFonts w:asciiTheme="minorHAnsi" w:hAnsiTheme="minorHAnsi" w:cstheme="minorHAnsi"/>
      <w:sz w:val="18"/>
      <w:szCs w:val="18"/>
    </w:rPr>
  </w:style>
  <w:style w:type="paragraph" w:styleId="TOC9">
    <w:name w:val="toc 9"/>
    <w:basedOn w:val="Normal"/>
    <w:next w:val="Normal"/>
    <w:autoRedefine/>
    <w:uiPriority w:val="39"/>
    <w:qFormat/>
    <w:pPr>
      <w:spacing w:before="0" w:after="0"/>
      <w:ind w:left="1920"/>
      <w:jc w:val="left"/>
    </w:pPr>
    <w:rPr>
      <w:rFonts w:asciiTheme="minorHAnsi" w:hAnsiTheme="minorHAnsi" w:cstheme="minorHAnsi"/>
      <w:sz w:val="18"/>
      <w:szCs w:val="18"/>
    </w:rPr>
  </w:style>
  <w:style w:type="table" w:styleId="LightList-Accent3">
    <w:name w:val="Light List Accent 3"/>
    <w:basedOn w:val="TableNormal"/>
    <w:uiPriority w:val="61"/>
    <w:qFormat/>
    <w:rPr>
      <w:rFonts w:eastAsiaTheme="minorEastAsia"/>
      <w:lang w:bidi="en-US"/>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qFormat/>
    <w:rPr>
      <w:rFonts w:eastAsiaTheme="minorEastAsia"/>
      <w:lang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qFormat/>
    <w:rsid w:val="00E05716"/>
    <w:rPr>
      <w:b/>
      <w:caps/>
      <w:kern w:val="32"/>
      <w:sz w:val="24"/>
      <w:szCs w:val="32"/>
      <w:lang w:eastAsia="en-US"/>
    </w:rPr>
  </w:style>
  <w:style w:type="character" w:customStyle="1" w:styleId="Heading2Char">
    <w:name w:val="Heading 2 Char"/>
    <w:basedOn w:val="DefaultParagraphFont"/>
    <w:link w:val="Heading2"/>
    <w:qFormat/>
    <w:rPr>
      <w:rFonts w:cs="Times New Roman"/>
      <w:b/>
      <w:bCs/>
      <w:szCs w:val="24"/>
      <w:lang w:val="af-ZA" w:eastAsia="af-ZA"/>
    </w:rPr>
  </w:style>
  <w:style w:type="character" w:customStyle="1" w:styleId="Heading3Char">
    <w:name w:val="Heading 3 Char"/>
    <w:basedOn w:val="DefaultParagraphFont"/>
    <w:link w:val="Heading3"/>
    <w:qFormat/>
    <w:rPr>
      <w:rFonts w:cs="Times New Roman"/>
      <w:b/>
      <w:bCs/>
      <w:szCs w:val="24"/>
    </w:rPr>
  </w:style>
  <w:style w:type="character" w:customStyle="1" w:styleId="Heading9Char">
    <w:name w:val="Heading 9 Char"/>
    <w:basedOn w:val="DefaultParagraphFont"/>
    <w:link w:val="Heading9"/>
    <w:uiPriority w:val="9"/>
    <w:semiHidden/>
    <w:qFormat/>
    <w:rPr>
      <w:rFonts w:ascii="Cambria" w:eastAsia="Times New Roman" w:hAnsi="Cambria" w:cs="Times New Roman"/>
      <w:bCs/>
    </w:rPr>
  </w:style>
  <w:style w:type="character" w:customStyle="1" w:styleId="BodyText2Char">
    <w:name w:val="Body Text 2 Char"/>
    <w:basedOn w:val="DefaultParagraphFont"/>
    <w:link w:val="BodyText2"/>
    <w:qFormat/>
    <w:rPr>
      <w:rFonts w:ascii="Arial Narrow" w:eastAsia="Times New Roman" w:hAnsi="Arial Narrow" w:cs="Arial Narrow"/>
      <w:bCs/>
      <w:i/>
      <w:iCs/>
      <w:sz w:val="30"/>
      <w:szCs w:val="30"/>
    </w:rPr>
  </w:style>
  <w:style w:type="character" w:customStyle="1" w:styleId="DocumentMapChar">
    <w:name w:val="Document Map Char"/>
    <w:basedOn w:val="DefaultParagraphFont"/>
    <w:link w:val="DocumentMap"/>
    <w:semiHidden/>
    <w:qFormat/>
    <w:rPr>
      <w:rFonts w:ascii="Tahoma" w:eastAsia="Times New Roman" w:hAnsi="Tahoma" w:cs="Tahoma"/>
      <w:bCs/>
      <w:sz w:val="24"/>
      <w:szCs w:val="24"/>
      <w:shd w:val="clear" w:color="auto" w:fill="000080"/>
    </w:rPr>
  </w:style>
  <w:style w:type="character" w:customStyle="1" w:styleId="FooterChar">
    <w:name w:val="Footer Char"/>
    <w:basedOn w:val="DefaultParagraphFont"/>
    <w:link w:val="Footer"/>
    <w:uiPriority w:val="99"/>
    <w:qFormat/>
    <w:rPr>
      <w:rFonts w:ascii="Times New Roman" w:eastAsia="Times New Roman" w:hAnsi="Times New Roman" w:cs="Times New Roman"/>
      <w:bCs/>
      <w:sz w:val="24"/>
      <w:szCs w:val="24"/>
    </w:rPr>
  </w:style>
  <w:style w:type="character" w:customStyle="1" w:styleId="text1">
    <w:name w:val="text1"/>
    <w:qFormat/>
    <w:rPr>
      <w:rFonts w:ascii="Arial" w:hAnsi="Arial" w:cs="Arial"/>
      <w:sz w:val="20"/>
      <w:szCs w:val="20"/>
    </w:rPr>
  </w:style>
  <w:style w:type="paragraph" w:customStyle="1" w:styleId="para-flush-spabove">
    <w:name w:val="para-flush-spabove"/>
    <w:basedOn w:val="Normal"/>
    <w:qFormat/>
    <w:pPr>
      <w:autoSpaceDE/>
      <w:autoSpaceDN/>
    </w:pPr>
  </w:style>
  <w:style w:type="character" w:customStyle="1" w:styleId="HeaderChar">
    <w:name w:val="Header Char"/>
    <w:basedOn w:val="DefaultParagraphFont"/>
    <w:link w:val="Header"/>
    <w:uiPriority w:val="99"/>
    <w:qFormat/>
    <w:rPr>
      <w:rFonts w:ascii="Times New Roman" w:eastAsia="Times New Roman" w:hAnsi="Times New Roman" w:cs="Times New Roman"/>
      <w:bCs/>
      <w:sz w:val="24"/>
      <w:szCs w:val="24"/>
    </w:rPr>
  </w:style>
  <w:style w:type="character" w:customStyle="1" w:styleId="TitleChar">
    <w:name w:val="Title Char"/>
    <w:basedOn w:val="DefaultParagraphFont"/>
    <w:link w:val="Title"/>
    <w:qFormat/>
    <w:rPr>
      <w:rFonts w:ascii="Times New Roman" w:eastAsia="Times New Roman" w:hAnsi="Times New Roman" w:cs="Times New Roman"/>
      <w:b/>
      <w:bCs/>
      <w:sz w:val="32"/>
      <w:szCs w:val="24"/>
      <w:u w:val="single"/>
    </w:rPr>
  </w:style>
  <w:style w:type="paragraph" w:customStyle="1" w:styleId="TOCHeading1">
    <w:name w:val="TOC Heading1"/>
    <w:basedOn w:val="Heading1"/>
    <w:next w:val="Normal"/>
    <w:uiPriority w:val="39"/>
    <w:qFormat/>
    <w:pPr>
      <w:keepLines/>
      <w:autoSpaceDE/>
      <w:autoSpaceDN/>
      <w:adjustRightInd/>
      <w:spacing w:before="480" w:after="0" w:line="276" w:lineRule="auto"/>
      <w:outlineLvl w:val="9"/>
    </w:pPr>
    <w:rPr>
      <w:rFonts w:ascii="Cambria" w:hAnsi="Cambria"/>
      <w:color w:val="365F91"/>
      <w:kern w:val="0"/>
      <w:sz w:val="28"/>
      <w:szCs w:val="28"/>
    </w:rPr>
  </w:style>
  <w:style w:type="character" w:customStyle="1" w:styleId="BalloonTextChar">
    <w:name w:val="Balloon Text Char"/>
    <w:basedOn w:val="DefaultParagraphFont"/>
    <w:link w:val="BalloonText"/>
    <w:qFormat/>
    <w:rPr>
      <w:rFonts w:ascii="Tahoma" w:eastAsia="Times New Roman" w:hAnsi="Tahoma" w:cs="Times New Roman"/>
      <w:bCs/>
      <w:sz w:val="16"/>
      <w:szCs w:val="16"/>
    </w:rPr>
  </w:style>
  <w:style w:type="paragraph" w:styleId="NoSpacing">
    <w:name w:val="No Spacing"/>
    <w:link w:val="NoSpacingChar"/>
    <w:uiPriority w:val="1"/>
    <w:qFormat/>
    <w:pPr>
      <w:autoSpaceDE w:val="0"/>
      <w:autoSpaceDN w:val="0"/>
      <w:adjustRightInd w:val="0"/>
    </w:pPr>
    <w:rPr>
      <w:rFonts w:eastAsia="Times New Roman" w:cs="Times New Roman"/>
      <w:bCs/>
      <w:sz w:val="24"/>
      <w:szCs w:val="24"/>
      <w:lang w:val="en-US" w:eastAsia="en-US"/>
    </w:rPr>
  </w:style>
  <w:style w:type="paragraph" w:customStyle="1" w:styleId="Default">
    <w:name w:val="Default"/>
    <w:pPr>
      <w:autoSpaceDE w:val="0"/>
      <w:autoSpaceDN w:val="0"/>
      <w:adjustRightInd w:val="0"/>
    </w:pPr>
    <w:rPr>
      <w:rFonts w:eastAsia="Times New Roman" w:cs="Times New Roman"/>
      <w:color w:val="000000"/>
      <w:sz w:val="24"/>
      <w:szCs w:val="24"/>
      <w:lang w:bidi="th-TH"/>
    </w:rPr>
  </w:style>
  <w:style w:type="character" w:customStyle="1" w:styleId="NoSpacingChar">
    <w:name w:val="No Spacing Char"/>
    <w:link w:val="NoSpacing"/>
    <w:uiPriority w:val="1"/>
    <w:qFormat/>
    <w:rPr>
      <w:rFonts w:ascii="Times New Roman" w:eastAsia="Times New Roman" w:hAnsi="Times New Roman" w:cs="Times New Roman"/>
      <w:bCs/>
      <w:sz w:val="24"/>
      <w:szCs w:val="24"/>
    </w:rPr>
  </w:style>
  <w:style w:type="character" w:customStyle="1" w:styleId="BodyTextChar">
    <w:name w:val="Body Text Char"/>
    <w:basedOn w:val="DefaultParagraphFont"/>
    <w:link w:val="BodyText"/>
    <w:uiPriority w:val="99"/>
    <w:semiHidden/>
    <w:qFormat/>
    <w:rPr>
      <w:rFonts w:ascii="Times New Roman" w:eastAsia="Times New Roman" w:hAnsi="Times New Roman" w:cs="Times New Roman"/>
      <w:bCs/>
      <w:sz w:val="24"/>
      <w:szCs w:val="24"/>
    </w:rPr>
  </w:style>
  <w:style w:type="character" w:customStyle="1" w:styleId="ad-cell">
    <w:name w:val="ad-cell"/>
    <w:basedOn w:val="DefaultParagraphFont"/>
  </w:style>
  <w:style w:type="character" w:customStyle="1" w:styleId="ad-line">
    <w:name w:val="ad-line"/>
    <w:basedOn w:val="DefaultParagraphFont"/>
  </w:style>
  <w:style w:type="paragraph" w:styleId="ListParagraph">
    <w:name w:val="List Paragraph"/>
    <w:basedOn w:val="Normal"/>
    <w:uiPriority w:val="34"/>
    <w:qFormat/>
    <w:pPr>
      <w:autoSpaceDE/>
      <w:autoSpaceDN/>
      <w:adjustRightInd/>
      <w:spacing w:after="200" w:line="276" w:lineRule="auto"/>
      <w:ind w:left="720"/>
      <w:contextualSpacing/>
    </w:pPr>
    <w:rPr>
      <w:rFonts w:ascii="Calibri" w:eastAsia="Calibri" w:hAnsi="Calibri" w:cs="Cordia New"/>
      <w:bCs/>
      <w:sz w:val="22"/>
      <w:szCs w:val="28"/>
      <w:lang w:bidi="th-TH"/>
    </w:rPr>
  </w:style>
  <w:style w:type="character" w:customStyle="1" w:styleId="label2">
    <w:name w:val="label2"/>
    <w:basedOn w:val="DefaultParagraphFont"/>
  </w:style>
  <w:style w:type="character" w:customStyle="1" w:styleId="content2">
    <w:name w:val="content2"/>
    <w:basedOn w:val="DefaultParagraphFont"/>
  </w:style>
  <w:style w:type="character" w:customStyle="1" w:styleId="mixed-citation">
    <w:name w:val="mixed-citation"/>
    <w:basedOn w:val="DefaultParagraphFon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nowrap">
    <w:name w:val="nowrap"/>
    <w:basedOn w:val="DefaultParagraphFont"/>
    <w:qFormat/>
  </w:style>
  <w:style w:type="character" w:customStyle="1" w:styleId="cit">
    <w:name w:val="cit"/>
    <w:basedOn w:val="DefaultParagraphFont"/>
  </w:style>
  <w:style w:type="character" w:customStyle="1" w:styleId="fm-vol-iss-date">
    <w:name w:val="fm-vol-iss-date"/>
    <w:basedOn w:val="DefaultParagraphFont"/>
  </w:style>
  <w:style w:type="character" w:customStyle="1" w:styleId="doi">
    <w:name w:val="doi"/>
    <w:basedOn w:val="DefaultParagraphFont"/>
  </w:style>
  <w:style w:type="character" w:customStyle="1" w:styleId="fm-citation-ids-label">
    <w:name w:val="fm-citation-ids-label"/>
    <w:basedOn w:val="DefaultParagraphFont"/>
  </w:style>
  <w:style w:type="paragraph" w:customStyle="1" w:styleId="DecimalAligned">
    <w:name w:val="Decimal Aligned"/>
    <w:basedOn w:val="Normal"/>
    <w:uiPriority w:val="40"/>
    <w:qFormat/>
    <w:pPr>
      <w:tabs>
        <w:tab w:val="decimal" w:pos="360"/>
      </w:tabs>
      <w:autoSpaceDE/>
      <w:autoSpaceDN/>
      <w:adjustRightInd/>
      <w:spacing w:after="200" w:line="276" w:lineRule="auto"/>
    </w:pPr>
    <w:rPr>
      <w:rFonts w:asciiTheme="minorHAnsi" w:eastAsiaTheme="minorEastAsia" w:hAnsiTheme="minorHAnsi"/>
      <w:bCs/>
      <w:sz w:val="22"/>
    </w:rPr>
  </w:style>
  <w:style w:type="character" w:customStyle="1" w:styleId="FootnoteTextChar">
    <w:name w:val="Footnote Text Char"/>
    <w:basedOn w:val="DefaultParagraphFont"/>
    <w:link w:val="FootnoteText"/>
    <w:uiPriority w:val="99"/>
    <w:qFormat/>
    <w:rPr>
      <w:rFonts w:eastAsiaTheme="minorEastAsia"/>
      <w:sz w:val="20"/>
      <w:szCs w:val="20"/>
    </w:rPr>
  </w:style>
  <w:style w:type="character" w:customStyle="1" w:styleId="SubtleEmphasis1">
    <w:name w:val="Subtle Emphasis1"/>
    <w:basedOn w:val="DefaultParagraphFont"/>
    <w:uiPriority w:val="19"/>
    <w:qFormat/>
    <w:rPr>
      <w:rFonts w:eastAsiaTheme="minorEastAsia" w:cstheme="minorBidi"/>
      <w:i/>
      <w:iCs/>
      <w:color w:val="7F7F7F" w:themeColor="text1" w:themeTint="80"/>
      <w:szCs w:val="22"/>
      <w:lang w:val="en-US"/>
    </w:rPr>
  </w:style>
  <w:style w:type="table" w:customStyle="1" w:styleId="LightShading-Accent11">
    <w:name w:val="Light Shading - Accent 11"/>
    <w:basedOn w:val="TableNormal"/>
    <w:uiPriority w:val="60"/>
    <w:qFormat/>
    <w:rPr>
      <w:rFonts w:eastAsiaTheme="minorEastAsia"/>
      <w:color w:val="365F91" w:themeColor="accent1" w:themeShade="BF"/>
      <w:lang w:bidi="en-U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1">
    <w:name w:val="Calendar 1"/>
    <w:basedOn w:val="TableNormal"/>
    <w:uiPriority w:val="99"/>
    <w:qFormat/>
    <w:rPr>
      <w:rFonts w:eastAsiaTheme="minorEastAsia"/>
      <w:lang w:bidi="en-US"/>
    </w:rPr>
    <w:tblPr>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qFormat/>
    <w:rPr>
      <w:color w:val="808080"/>
    </w:rPr>
  </w:style>
  <w:style w:type="table" w:customStyle="1" w:styleId="LightShading-Accent12">
    <w:name w:val="Light Shading - Accent 12"/>
    <w:basedOn w:val="TableNormal"/>
    <w:uiPriority w:val="60"/>
    <w:qFormat/>
    <w:rPr>
      <w:rFonts w:eastAsiaTheme="minorEastAsia"/>
      <w:color w:val="365F91" w:themeColor="accent1" w:themeShade="BF"/>
      <w:lang w:bidi="en-U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1">
    <w:name w:val="Light Grid1"/>
    <w:basedOn w:val="TableNormal"/>
    <w:uiPriority w:val="62"/>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ghtShading1">
    <w:name w:val="Light Shading1"/>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3">
    <w:name w:val="A3"/>
    <w:uiPriority w:val="99"/>
    <w:qFormat/>
    <w:rPr>
      <w:color w:val="000000"/>
    </w:rPr>
  </w:style>
  <w:style w:type="paragraph" w:customStyle="1" w:styleId="Pa4">
    <w:name w:val="Pa4"/>
    <w:basedOn w:val="Default"/>
    <w:next w:val="Default"/>
    <w:uiPriority w:val="99"/>
    <w:qFormat/>
    <w:pPr>
      <w:spacing w:line="221" w:lineRule="atLeast"/>
    </w:pPr>
    <w:rPr>
      <w:rFonts w:eastAsiaTheme="minorHAnsi"/>
      <w:color w:val="auto"/>
      <w:lang w:val="en-US" w:eastAsia="en-US" w:bidi="ar-SA"/>
    </w:rPr>
  </w:style>
  <w:style w:type="paragraph" w:customStyle="1" w:styleId="Pa22">
    <w:name w:val="Pa22"/>
    <w:basedOn w:val="Default"/>
    <w:next w:val="Default"/>
    <w:uiPriority w:val="99"/>
    <w:qFormat/>
    <w:pPr>
      <w:spacing w:line="221" w:lineRule="atLeast"/>
    </w:pPr>
    <w:rPr>
      <w:rFonts w:eastAsiaTheme="minorHAnsi"/>
      <w:color w:val="auto"/>
      <w:lang w:val="en-US" w:eastAsia="en-US" w:bidi="ar-SA"/>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Cs/>
      <w:sz w:val="24"/>
      <w:szCs w:val="24"/>
    </w:rPr>
  </w:style>
  <w:style w:type="paragraph" w:customStyle="1" w:styleId="Pa10">
    <w:name w:val="Pa10"/>
    <w:basedOn w:val="Default"/>
    <w:next w:val="Default"/>
    <w:uiPriority w:val="99"/>
    <w:qFormat/>
    <w:pPr>
      <w:spacing w:line="221" w:lineRule="atLeast"/>
    </w:pPr>
    <w:rPr>
      <w:rFonts w:ascii="Palatino Linotype" w:eastAsiaTheme="minorHAnsi" w:hAnsi="Palatino Linotype" w:cstheme="minorBidi"/>
      <w:color w:val="auto"/>
      <w:lang w:val="en-US" w:eastAsia="en-US" w:bidi="ar-SA"/>
    </w:rPr>
  </w:style>
  <w:style w:type="character" w:customStyle="1" w:styleId="A4">
    <w:name w:val="A4"/>
    <w:uiPriority w:val="99"/>
    <w:qFormat/>
    <w:rPr>
      <w:rFonts w:cs="Palatino Linotype"/>
      <w:color w:val="000000"/>
      <w:sz w:val="20"/>
      <w:szCs w:val="20"/>
    </w:rPr>
  </w:style>
  <w:style w:type="character" w:customStyle="1" w:styleId="A9">
    <w:name w:val="A9"/>
    <w:uiPriority w:val="99"/>
    <w:qFormat/>
    <w:rPr>
      <w:rFonts w:cs="Palatino Linotype"/>
      <w:color w:val="000000"/>
      <w:sz w:val="20"/>
      <w:szCs w:val="20"/>
    </w:rPr>
  </w:style>
  <w:style w:type="table" w:customStyle="1" w:styleId="LightShading-Accent111">
    <w:name w:val="Light Shading - Accent 111"/>
    <w:basedOn w:val="TableNormal"/>
    <w:uiPriority w:val="60"/>
    <w:qFormat/>
    <w:rPr>
      <w:rFonts w:eastAsiaTheme="minorEastAsia"/>
      <w:color w:val="365F91" w:themeColor="accent1" w:themeShade="BF"/>
      <w:lang w:bidi="en-US"/>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1">
    <w:name w:val="Light Shading11"/>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uiPriority w:val="60"/>
    <w:qFormat/>
    <w:rPr>
      <w:rFonts w:asciiTheme="minorHAnsi" w:hAnsiTheme="minorHAnsi"/>
      <w:color w:val="000000" w:themeColor="text1" w:themeShade="BF"/>
      <w:sz w:val="22"/>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qFormat/>
    <w:rPr>
      <w:rFonts w:asciiTheme="minorHAnsi" w:eastAsiaTheme="minorEastAsia" w:hAnsiTheme="minorHAnsi"/>
      <w:color w:val="365F91" w:themeColor="accent1" w:themeShade="BF"/>
      <w:sz w:val="22"/>
      <w:szCs w:val="22"/>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0">
    <w:name w:val="TableGrid"/>
    <w:qFormat/>
    <w:rPr>
      <w:rFonts w:asciiTheme="minorHAnsi" w:eastAsiaTheme="minorEastAsia" w:hAnsiTheme="minorHAns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sz w:val="20"/>
    </w:rPr>
  </w:style>
  <w:style w:type="character" w:customStyle="1" w:styleId="CommentSubjectChar">
    <w:name w:val="Comment Subject Char"/>
    <w:basedOn w:val="CommentTextChar"/>
    <w:link w:val="CommentSubject"/>
    <w:uiPriority w:val="99"/>
    <w:semiHidden/>
    <w:qFormat/>
    <w:rPr>
      <w:b/>
      <w:bCs/>
      <w:sz w:val="20"/>
    </w:rPr>
  </w:style>
  <w:style w:type="character" w:customStyle="1" w:styleId="Heading5Char">
    <w:name w:val="Heading 5 Char"/>
    <w:basedOn w:val="DefaultParagraphFont"/>
    <w:link w:val="Heading5"/>
    <w:uiPriority w:val="9"/>
    <w:qFormat/>
    <w:rPr>
      <w:rFonts w:eastAsiaTheme="majorEastAsia" w:cstheme="majorBidi"/>
      <w:b/>
      <w:lang w:val="en-GB"/>
    </w:rPr>
  </w:style>
  <w:style w:type="character" w:customStyle="1" w:styleId="Heading6Char">
    <w:name w:val="Heading 6 Char"/>
    <w:basedOn w:val="DefaultParagraphFont"/>
    <w:link w:val="Heading6"/>
    <w:uiPriority w:val="9"/>
    <w:qFormat/>
    <w:rsid w:val="00747714"/>
    <w:rPr>
      <w:rFonts w:eastAsiaTheme="majorEastAsia" w:cstheme="majorBidi"/>
      <w:b/>
      <w:sz w:val="24"/>
      <w:lang w:eastAsia="en-US"/>
    </w:rPr>
  </w:style>
  <w:style w:type="character" w:customStyle="1" w:styleId="Heading7Char">
    <w:name w:val="Heading 7 Char"/>
    <w:basedOn w:val="DefaultParagraphFont"/>
    <w:link w:val="Heading7"/>
    <w:uiPriority w:val="9"/>
    <w:qFormat/>
    <w:rPr>
      <w:rFonts w:eastAsiaTheme="majorEastAsia" w:cstheme="majorBidi"/>
      <w:b/>
      <w:iCs/>
      <w:lang w:val="en-GB"/>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rsid w:val="00953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isticshowto.datasciencecentral.com/probability-and-statistics/variance/" TargetMode="External"/><Relationship Id="rId18" Type="http://schemas.openxmlformats.org/officeDocument/2006/relationships/image" Target="media/image4.png"/><Relationship Id="rId26" Type="http://schemas.openxmlformats.org/officeDocument/2006/relationships/hyperlink" Target="https://iris.paho.org/handle/10665.2/54979" TargetMode="External"/><Relationship Id="rId3" Type="http://schemas.openxmlformats.org/officeDocument/2006/relationships/numbering" Target="numbering.xml"/><Relationship Id="rId21" Type="http://schemas.openxmlformats.org/officeDocument/2006/relationships/hyperlink" Target="https://www.emerald.com/insight/search?q=Mohammad%20Salman" TargetMode="External"/><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hyperlink" Target="https://www.who.int/publications/i/item/9789289071918" TargetMode="External"/><Relationship Id="rId33"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emerald.com/insight/publication/issn/2046-9012" TargetMode="External"/><Relationship Id="rId32"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s://www.statisticshowto.datasciencecentral.com/covariance/" TargetMode="External"/><Relationship Id="rId23" Type="http://schemas.openxmlformats.org/officeDocument/2006/relationships/hyperlink" Target="https://www.emerald.com/insight/search?q=Imran%20Saleem"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statisticshowto.datasciencecentral.com/average/" TargetMode="External"/><Relationship Id="rId22" Type="http://schemas.openxmlformats.org/officeDocument/2006/relationships/hyperlink" Target="https://www.emerald.com/insight/search?q=Showkat%20Ahmad%20Ganie" TargetMode="Externa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ysClr val="windowText" lastClr="000000"/>
                </a:solidFill>
                <a:latin typeface="+mn-lt"/>
                <a:ea typeface="+mn-ea"/>
                <a:cs typeface="+mn-cs"/>
              </a:defRPr>
            </a:pPr>
            <a:r>
              <a:rPr lang="en-US"/>
              <a:t>Patient numbers for Six years</a:t>
            </a:r>
          </a:p>
        </c:rich>
      </c:tx>
      <c:overlay val="0"/>
      <c:spPr>
        <a:noFill/>
        <a:ln>
          <a:noFill/>
        </a:ln>
        <a:effectLst/>
      </c:spPr>
    </c:title>
    <c:autoTitleDeleted val="0"/>
    <c:plotArea>
      <c:layout/>
      <c:lineChart>
        <c:grouping val="standard"/>
        <c:varyColors val="0"/>
        <c:ser>
          <c:idx val="0"/>
          <c:order val="0"/>
          <c:tx>
            <c:strRef>
              <c:f>Sheet1!$A$4</c:f>
              <c:strCache>
                <c:ptCount val="1"/>
                <c:pt idx="0">
                  <c:v>Embu Level Five  Hospital </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cat>
            <c:numRef>
              <c:f>Sheet1!$B$3:$G$3</c:f>
              <c:numCache>
                <c:formatCode>General</c:formatCode>
                <c:ptCount val="6"/>
                <c:pt idx="0">
                  <c:v>2014</c:v>
                </c:pt>
                <c:pt idx="1">
                  <c:v>2015</c:v>
                </c:pt>
                <c:pt idx="2">
                  <c:v>2016</c:v>
                </c:pt>
                <c:pt idx="3">
                  <c:v>2017</c:v>
                </c:pt>
                <c:pt idx="4">
                  <c:v>2018</c:v>
                </c:pt>
                <c:pt idx="5">
                  <c:v>2019</c:v>
                </c:pt>
              </c:numCache>
            </c:numRef>
          </c:cat>
          <c:val>
            <c:numRef>
              <c:f>Sheet1!$B$4:$G$4</c:f>
              <c:numCache>
                <c:formatCode>#,##0</c:formatCode>
                <c:ptCount val="6"/>
                <c:pt idx="0">
                  <c:v>132263</c:v>
                </c:pt>
                <c:pt idx="1">
                  <c:v>146053</c:v>
                </c:pt>
                <c:pt idx="2">
                  <c:v>156049</c:v>
                </c:pt>
                <c:pt idx="3">
                  <c:v>114362</c:v>
                </c:pt>
                <c:pt idx="4">
                  <c:v>151252</c:v>
                </c:pt>
                <c:pt idx="5">
                  <c:v>203912</c:v>
                </c:pt>
              </c:numCache>
            </c:numRef>
          </c:val>
          <c:smooth val="0"/>
          <c:extLst xmlns:c16r2="http://schemas.microsoft.com/office/drawing/2015/06/chart">
            <c:ext xmlns:c16="http://schemas.microsoft.com/office/drawing/2014/chart" uri="{C3380CC4-5D6E-409C-BE32-E72D297353CC}">
              <c16:uniqueId val="{00000000-B54B-468B-92BF-75D1D4CB347F}"/>
            </c:ext>
          </c:extLst>
        </c:ser>
        <c:ser>
          <c:idx val="1"/>
          <c:order val="1"/>
          <c:tx>
            <c:strRef>
              <c:f>Sheet1!$A$5</c:f>
              <c:strCache>
                <c:ptCount val="1"/>
                <c:pt idx="0">
                  <c:v>Machakos Level Five  Hospital </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cat>
            <c:numRef>
              <c:f>Sheet1!$B$3:$G$3</c:f>
              <c:numCache>
                <c:formatCode>General</c:formatCode>
                <c:ptCount val="6"/>
                <c:pt idx="0">
                  <c:v>2014</c:v>
                </c:pt>
                <c:pt idx="1">
                  <c:v>2015</c:v>
                </c:pt>
                <c:pt idx="2">
                  <c:v>2016</c:v>
                </c:pt>
                <c:pt idx="3">
                  <c:v>2017</c:v>
                </c:pt>
                <c:pt idx="4">
                  <c:v>2018</c:v>
                </c:pt>
                <c:pt idx="5">
                  <c:v>2019</c:v>
                </c:pt>
              </c:numCache>
            </c:numRef>
          </c:cat>
          <c:val>
            <c:numRef>
              <c:f>Sheet1!$B$5:$G$5</c:f>
              <c:numCache>
                <c:formatCode>#,##0</c:formatCode>
                <c:ptCount val="6"/>
                <c:pt idx="0">
                  <c:v>187419</c:v>
                </c:pt>
                <c:pt idx="1">
                  <c:v>228000</c:v>
                </c:pt>
                <c:pt idx="2">
                  <c:v>220489</c:v>
                </c:pt>
                <c:pt idx="3">
                  <c:v>124666</c:v>
                </c:pt>
                <c:pt idx="4">
                  <c:v>162331</c:v>
                </c:pt>
                <c:pt idx="5">
                  <c:v>270028</c:v>
                </c:pt>
              </c:numCache>
            </c:numRef>
          </c:val>
          <c:smooth val="0"/>
          <c:extLst xmlns:c16r2="http://schemas.microsoft.com/office/drawing/2015/06/chart">
            <c:ext xmlns:c16="http://schemas.microsoft.com/office/drawing/2014/chart" uri="{C3380CC4-5D6E-409C-BE32-E72D297353CC}">
              <c16:uniqueId val="{00000001-B54B-468B-92BF-75D1D4CB347F}"/>
            </c:ext>
          </c:extLst>
        </c:ser>
        <c:ser>
          <c:idx val="2"/>
          <c:order val="2"/>
          <c:tx>
            <c:strRef>
              <c:f>Sheet1!$A$6</c:f>
              <c:strCache>
                <c:ptCount val="1"/>
                <c:pt idx="0">
                  <c:v>Mama Lucy Kibaki Level </c:v>
                </c:pt>
              </c:strCache>
            </c:strRef>
          </c:tx>
          <c:spPr>
            <a:ln w="22225" cap="rnd" cmpd="sng" algn="ctr">
              <a:solidFill>
                <a:schemeClr val="accent3"/>
              </a:solidFill>
              <a:prstDash val="solid"/>
              <a:round/>
            </a:ln>
            <a:effectLst/>
          </c:spPr>
          <c:marker>
            <c:symbol val="triangle"/>
            <c:size val="6"/>
            <c:spPr>
              <a:solidFill>
                <a:schemeClr val="accent3"/>
              </a:solidFill>
              <a:ln w="9525" cap="flat" cmpd="sng" algn="ctr">
                <a:solidFill>
                  <a:schemeClr val="accent3"/>
                </a:solidFill>
                <a:prstDash val="solid"/>
                <a:round/>
              </a:ln>
              <a:effectLst/>
            </c:spPr>
          </c:marker>
          <c:cat>
            <c:numRef>
              <c:f>Sheet1!$B$3:$G$3</c:f>
              <c:numCache>
                <c:formatCode>General</c:formatCode>
                <c:ptCount val="6"/>
                <c:pt idx="0">
                  <c:v>2014</c:v>
                </c:pt>
                <c:pt idx="1">
                  <c:v>2015</c:v>
                </c:pt>
                <c:pt idx="2">
                  <c:v>2016</c:v>
                </c:pt>
                <c:pt idx="3">
                  <c:v>2017</c:v>
                </c:pt>
                <c:pt idx="4">
                  <c:v>2018</c:v>
                </c:pt>
                <c:pt idx="5">
                  <c:v>2019</c:v>
                </c:pt>
              </c:numCache>
            </c:numRef>
          </c:cat>
          <c:val>
            <c:numRef>
              <c:f>Sheet1!$B$6:$G$6</c:f>
              <c:numCache>
                <c:formatCode>#,##0</c:formatCode>
                <c:ptCount val="6"/>
                <c:pt idx="0">
                  <c:v>160061</c:v>
                </c:pt>
                <c:pt idx="1">
                  <c:v>185068</c:v>
                </c:pt>
                <c:pt idx="2">
                  <c:v>274150</c:v>
                </c:pt>
                <c:pt idx="3">
                  <c:v>166309</c:v>
                </c:pt>
                <c:pt idx="4">
                  <c:v>303613</c:v>
                </c:pt>
                <c:pt idx="5">
                  <c:v>298575</c:v>
                </c:pt>
              </c:numCache>
            </c:numRef>
          </c:val>
          <c:smooth val="0"/>
          <c:extLst xmlns:c16r2="http://schemas.microsoft.com/office/drawing/2015/06/chart">
            <c:ext xmlns:c16="http://schemas.microsoft.com/office/drawing/2014/chart" uri="{C3380CC4-5D6E-409C-BE32-E72D297353CC}">
              <c16:uniqueId val="{00000002-B54B-468B-92BF-75D1D4CB347F}"/>
            </c:ext>
          </c:extLst>
        </c:ser>
        <c:ser>
          <c:idx val="3"/>
          <c:order val="3"/>
          <c:tx>
            <c:strRef>
              <c:f>Sheet1!$A$7</c:f>
              <c:strCache>
                <c:ptCount val="1"/>
                <c:pt idx="0">
                  <c:v>Nakuru Level Five Hospital</c:v>
                </c:pt>
              </c:strCache>
            </c:strRef>
          </c:tx>
          <c:spPr>
            <a:ln w="22225" cap="rnd" cmpd="sng" algn="ctr">
              <a:solidFill>
                <a:schemeClr val="accent4"/>
              </a:solidFill>
              <a:prstDash val="solid"/>
              <a:round/>
            </a:ln>
            <a:effectLst/>
          </c:spPr>
          <c:marker>
            <c:symbol val="x"/>
            <c:size val="6"/>
            <c:spPr>
              <a:noFill/>
              <a:ln w="9525" cap="flat" cmpd="sng" algn="ctr">
                <a:solidFill>
                  <a:schemeClr val="accent4"/>
                </a:solidFill>
                <a:prstDash val="solid"/>
                <a:round/>
              </a:ln>
              <a:effectLst/>
            </c:spPr>
          </c:marker>
          <c:cat>
            <c:numRef>
              <c:f>Sheet1!$B$3:$G$3</c:f>
              <c:numCache>
                <c:formatCode>General</c:formatCode>
                <c:ptCount val="6"/>
                <c:pt idx="0">
                  <c:v>2014</c:v>
                </c:pt>
                <c:pt idx="1">
                  <c:v>2015</c:v>
                </c:pt>
                <c:pt idx="2">
                  <c:v>2016</c:v>
                </c:pt>
                <c:pt idx="3">
                  <c:v>2017</c:v>
                </c:pt>
                <c:pt idx="4">
                  <c:v>2018</c:v>
                </c:pt>
                <c:pt idx="5">
                  <c:v>2019</c:v>
                </c:pt>
              </c:numCache>
            </c:numRef>
          </c:cat>
          <c:val>
            <c:numRef>
              <c:f>Sheet1!$B$7:$G$7</c:f>
              <c:numCache>
                <c:formatCode>#,##0</c:formatCode>
                <c:ptCount val="6"/>
                <c:pt idx="0">
                  <c:v>282750</c:v>
                </c:pt>
                <c:pt idx="1">
                  <c:v>289524</c:v>
                </c:pt>
                <c:pt idx="2">
                  <c:v>324304</c:v>
                </c:pt>
                <c:pt idx="3">
                  <c:v>232986</c:v>
                </c:pt>
                <c:pt idx="4">
                  <c:v>336275</c:v>
                </c:pt>
                <c:pt idx="5">
                  <c:v>362052</c:v>
                </c:pt>
              </c:numCache>
            </c:numRef>
          </c:val>
          <c:smooth val="0"/>
          <c:extLst xmlns:c16r2="http://schemas.microsoft.com/office/drawing/2015/06/chart">
            <c:ext xmlns:c16="http://schemas.microsoft.com/office/drawing/2014/chart" uri="{C3380CC4-5D6E-409C-BE32-E72D297353CC}">
              <c16:uniqueId val="{00000003-B54B-468B-92BF-75D1D4CB347F}"/>
            </c:ext>
          </c:extLst>
        </c:ser>
        <c:ser>
          <c:idx val="4"/>
          <c:order val="4"/>
          <c:tx>
            <c:strRef>
              <c:f>Sheet1!$A$8</c:f>
              <c:strCache>
                <c:ptCount val="1"/>
                <c:pt idx="0">
                  <c:v>Total Patient numbers</c:v>
                </c:pt>
              </c:strCache>
            </c:strRef>
          </c:tx>
          <c:spPr>
            <a:ln w="22225" cap="rnd" cmpd="sng" algn="ctr">
              <a:solidFill>
                <a:schemeClr val="accent5"/>
              </a:solidFill>
              <a:prstDash val="solid"/>
              <a:round/>
            </a:ln>
            <a:effectLst/>
          </c:spPr>
          <c:marker>
            <c:symbol val="star"/>
            <c:size val="6"/>
            <c:spPr>
              <a:noFill/>
              <a:ln w="9525" cap="flat" cmpd="sng" algn="ctr">
                <a:solidFill>
                  <a:schemeClr val="accent5"/>
                </a:solidFill>
                <a:prstDash val="solid"/>
                <a:round/>
              </a:ln>
              <a:effectLst/>
            </c:spPr>
          </c:marker>
          <c:cat>
            <c:numRef>
              <c:f>Sheet1!$B$3:$G$3</c:f>
              <c:numCache>
                <c:formatCode>General</c:formatCode>
                <c:ptCount val="6"/>
                <c:pt idx="0">
                  <c:v>2014</c:v>
                </c:pt>
                <c:pt idx="1">
                  <c:v>2015</c:v>
                </c:pt>
                <c:pt idx="2">
                  <c:v>2016</c:v>
                </c:pt>
                <c:pt idx="3">
                  <c:v>2017</c:v>
                </c:pt>
                <c:pt idx="4">
                  <c:v>2018</c:v>
                </c:pt>
                <c:pt idx="5">
                  <c:v>2019</c:v>
                </c:pt>
              </c:numCache>
            </c:numRef>
          </c:cat>
          <c:val>
            <c:numRef>
              <c:f>Sheet1!$B$8:$G$8</c:f>
              <c:numCache>
                <c:formatCode>#,##0</c:formatCode>
                <c:ptCount val="6"/>
                <c:pt idx="0">
                  <c:v>762493</c:v>
                </c:pt>
                <c:pt idx="1">
                  <c:v>848645</c:v>
                </c:pt>
                <c:pt idx="2">
                  <c:v>974992</c:v>
                </c:pt>
                <c:pt idx="3">
                  <c:v>638323</c:v>
                </c:pt>
                <c:pt idx="4">
                  <c:v>953471</c:v>
                </c:pt>
                <c:pt idx="5">
                  <c:v>1134567</c:v>
                </c:pt>
              </c:numCache>
            </c:numRef>
          </c:val>
          <c:smooth val="0"/>
          <c:extLst xmlns:c16r2="http://schemas.microsoft.com/office/drawing/2015/06/chart">
            <c:ext xmlns:c16="http://schemas.microsoft.com/office/drawing/2014/chart" uri="{C3380CC4-5D6E-409C-BE32-E72D297353CC}">
              <c16:uniqueId val="{00000004-B54B-468B-92BF-75D1D4CB347F}"/>
            </c:ext>
          </c:extLst>
        </c:ser>
        <c:dLbls>
          <c:showLegendKey val="0"/>
          <c:showVal val="0"/>
          <c:showCatName val="0"/>
          <c:showSerName val="0"/>
          <c:showPercent val="0"/>
          <c:showBubbleSize val="0"/>
        </c:dLbls>
        <c:marker val="1"/>
        <c:smooth val="0"/>
        <c:axId val="-1773636608"/>
        <c:axId val="-1773634432"/>
      </c:lineChart>
      <c:catAx>
        <c:axId val="-17736366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773634432"/>
        <c:crosses val="autoZero"/>
        <c:auto val="1"/>
        <c:lblAlgn val="ctr"/>
        <c:lblOffset val="100"/>
        <c:noMultiLvlLbl val="0"/>
      </c:catAx>
      <c:valAx>
        <c:axId val="-177363443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773636608"/>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e8573da0-63cf-4b3b-8bd1-81a406268f63}"/>
      </c:ext>
    </c:extLst>
  </c:chart>
  <c:spPr>
    <a:solidFill>
      <a:schemeClr val="lt1"/>
    </a:solidFill>
    <a:ln w="9525" cap="flat" cmpd="sng" algn="ctr">
      <a:solidFill>
        <a:schemeClr val="tx1">
          <a:lumMod val="15000"/>
          <a:lumOff val="85000"/>
        </a:schemeClr>
      </a:solidFill>
      <a:prstDash val="solid"/>
      <a:round/>
    </a:ln>
    <a:effectLst/>
  </c:spPr>
  <c:txPr>
    <a:bodyPr/>
    <a:lstStyle/>
    <a:p>
      <a:pPr>
        <a:defRPr lang="en-US">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en-US">
                <a:solidFill>
                  <a:sysClr val="windowText" lastClr="000000"/>
                </a:solidFill>
              </a:rPr>
              <a:t>Revenue Collected</a:t>
            </a:r>
          </a:p>
        </c:rich>
      </c:tx>
      <c:overlay val="0"/>
      <c:spPr>
        <a:noFill/>
        <a:ln>
          <a:noFill/>
        </a:ln>
        <a:effectLst/>
      </c:spPr>
    </c:title>
    <c:autoTitleDeleted val="0"/>
    <c:plotArea>
      <c:layout/>
      <c:lineChart>
        <c:grouping val="standard"/>
        <c:varyColors val="0"/>
        <c:ser>
          <c:idx val="0"/>
          <c:order val="0"/>
          <c:tx>
            <c:strRef>
              <c:f>Sheet1!$C$3</c:f>
              <c:strCache>
                <c:ptCount val="1"/>
                <c:pt idx="0">
                  <c:v>Embu Level Five  Hospital </c:v>
                </c:pt>
              </c:strCache>
            </c:strRef>
          </c:tx>
          <c:spPr>
            <a:ln w="28575" cap="rnd" cmpd="sng" algn="ctr">
              <a:solidFill>
                <a:schemeClr val="accent1"/>
              </a:solidFill>
              <a:prstDash val="solid"/>
              <a:round/>
            </a:ln>
            <a:effectLst/>
          </c:spPr>
          <c:marker>
            <c:symbol val="none"/>
          </c:marker>
          <c:cat>
            <c:multiLvlStrRef>
              <c:f>Sheet1!$D$1:$I$2</c:f>
              <c:multiLvlStrCache>
                <c:ptCount val="6"/>
                <c:lvl>
                  <c:pt idx="4">
                    <c:v>’  </c:v>
                  </c:pt>
                  <c:pt idx="5">
                    <c:v>  </c:v>
                  </c:pt>
                </c:lvl>
                <c:lvl>
                  <c:pt idx="0">
                    <c:v>2014</c:v>
                  </c:pt>
                  <c:pt idx="1">
                    <c:v>2015</c:v>
                  </c:pt>
                  <c:pt idx="2">
                    <c:v>2016</c:v>
                  </c:pt>
                  <c:pt idx="3">
                    <c:v>2017</c:v>
                  </c:pt>
                  <c:pt idx="4">
                    <c:v>2018</c:v>
                  </c:pt>
                  <c:pt idx="5">
                    <c:v>2019</c:v>
                  </c:pt>
                </c:lvl>
              </c:multiLvlStrCache>
            </c:multiLvlStrRef>
          </c:cat>
          <c:val>
            <c:numRef>
              <c:f>Sheet1!$D$3:$I$3</c:f>
              <c:numCache>
                <c:formatCode>General</c:formatCode>
                <c:ptCount val="6"/>
                <c:pt idx="0">
                  <c:v>0</c:v>
                </c:pt>
                <c:pt idx="1">
                  <c:v>0</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0-C937-43C5-AEAF-8F325AA1F793}"/>
            </c:ext>
          </c:extLst>
        </c:ser>
        <c:ser>
          <c:idx val="1"/>
          <c:order val="1"/>
          <c:tx>
            <c:strRef>
              <c:f>Sheet1!$C$4</c:f>
              <c:strCache>
                <c:ptCount val="1"/>
                <c:pt idx="0">
                  <c:v>Mama Lucy Kibaki Level Five  Hospital </c:v>
                </c:pt>
              </c:strCache>
            </c:strRef>
          </c:tx>
          <c:spPr>
            <a:ln w="28575" cap="rnd" cmpd="sng" algn="ctr">
              <a:solidFill>
                <a:schemeClr val="accent2"/>
              </a:solidFill>
              <a:prstDash val="solid"/>
              <a:round/>
            </a:ln>
            <a:effectLst/>
          </c:spPr>
          <c:marker>
            <c:symbol val="none"/>
          </c:marker>
          <c:cat>
            <c:multiLvlStrRef>
              <c:f>Sheet1!$D$1:$I$2</c:f>
              <c:multiLvlStrCache>
                <c:ptCount val="6"/>
                <c:lvl>
                  <c:pt idx="4">
                    <c:v>’  </c:v>
                  </c:pt>
                  <c:pt idx="5">
                    <c:v>  </c:v>
                  </c:pt>
                </c:lvl>
                <c:lvl>
                  <c:pt idx="0">
                    <c:v>2014</c:v>
                  </c:pt>
                  <c:pt idx="1">
                    <c:v>2015</c:v>
                  </c:pt>
                  <c:pt idx="2">
                    <c:v>2016</c:v>
                  </c:pt>
                  <c:pt idx="3">
                    <c:v>2017</c:v>
                  </c:pt>
                  <c:pt idx="4">
                    <c:v>2018</c:v>
                  </c:pt>
                  <c:pt idx="5">
                    <c:v>2019</c:v>
                  </c:pt>
                </c:lvl>
              </c:multiLvlStrCache>
            </c:multiLvlStrRef>
          </c:cat>
          <c:val>
            <c:numRef>
              <c:f>Sheet1!$D$4:$I$4</c:f>
              <c:numCache>
                <c:formatCode>General</c:formatCode>
                <c:ptCount val="6"/>
                <c:pt idx="0">
                  <c:v>0</c:v>
                </c:pt>
                <c:pt idx="1">
                  <c:v>8.6999999999999993</c:v>
                </c:pt>
                <c:pt idx="2">
                  <c:v>90.3</c:v>
                </c:pt>
                <c:pt idx="3">
                  <c:v>46.2</c:v>
                </c:pt>
                <c:pt idx="4">
                  <c:v>102.9</c:v>
                </c:pt>
                <c:pt idx="5">
                  <c:v>122.6</c:v>
                </c:pt>
              </c:numCache>
            </c:numRef>
          </c:val>
          <c:smooth val="0"/>
          <c:extLst xmlns:c16r2="http://schemas.microsoft.com/office/drawing/2015/06/chart">
            <c:ext xmlns:c16="http://schemas.microsoft.com/office/drawing/2014/chart" uri="{C3380CC4-5D6E-409C-BE32-E72D297353CC}">
              <c16:uniqueId val="{00000001-C937-43C5-AEAF-8F325AA1F793}"/>
            </c:ext>
          </c:extLst>
        </c:ser>
        <c:ser>
          <c:idx val="2"/>
          <c:order val="2"/>
          <c:tx>
            <c:strRef>
              <c:f>Sheet1!$C$5</c:f>
              <c:strCache>
                <c:ptCount val="1"/>
                <c:pt idx="0">
                  <c:v>Nakuru Level Five  Hospital </c:v>
                </c:pt>
              </c:strCache>
            </c:strRef>
          </c:tx>
          <c:spPr>
            <a:ln w="28575" cap="rnd" cmpd="sng" algn="ctr">
              <a:solidFill>
                <a:schemeClr val="accent3"/>
              </a:solidFill>
              <a:prstDash val="solid"/>
              <a:round/>
            </a:ln>
            <a:effectLst/>
          </c:spPr>
          <c:marker>
            <c:symbol val="none"/>
          </c:marker>
          <c:cat>
            <c:multiLvlStrRef>
              <c:f>Sheet1!$D$1:$I$2</c:f>
              <c:multiLvlStrCache>
                <c:ptCount val="6"/>
                <c:lvl>
                  <c:pt idx="4">
                    <c:v>’  </c:v>
                  </c:pt>
                  <c:pt idx="5">
                    <c:v>  </c:v>
                  </c:pt>
                </c:lvl>
                <c:lvl>
                  <c:pt idx="0">
                    <c:v>2014</c:v>
                  </c:pt>
                  <c:pt idx="1">
                    <c:v>2015</c:v>
                  </c:pt>
                  <c:pt idx="2">
                    <c:v>2016</c:v>
                  </c:pt>
                  <c:pt idx="3">
                    <c:v>2017</c:v>
                  </c:pt>
                  <c:pt idx="4">
                    <c:v>2018</c:v>
                  </c:pt>
                  <c:pt idx="5">
                    <c:v>2019</c:v>
                  </c:pt>
                </c:lvl>
              </c:multiLvlStrCache>
            </c:multiLvlStrRef>
          </c:cat>
          <c:val>
            <c:numRef>
              <c:f>Sheet1!$D$5:$I$5</c:f>
              <c:numCache>
                <c:formatCode>General</c:formatCode>
                <c:ptCount val="6"/>
                <c:pt idx="0">
                  <c:v>156.4</c:v>
                </c:pt>
                <c:pt idx="1">
                  <c:v>202.5</c:v>
                </c:pt>
                <c:pt idx="2">
                  <c:v>262.7</c:v>
                </c:pt>
                <c:pt idx="3">
                  <c:v>284.60000000000002</c:v>
                </c:pt>
                <c:pt idx="4">
                  <c:v>524</c:v>
                </c:pt>
                <c:pt idx="5">
                  <c:v>404.3</c:v>
                </c:pt>
              </c:numCache>
            </c:numRef>
          </c:val>
          <c:smooth val="0"/>
          <c:extLst xmlns:c16r2="http://schemas.microsoft.com/office/drawing/2015/06/chart">
            <c:ext xmlns:c16="http://schemas.microsoft.com/office/drawing/2014/chart" uri="{C3380CC4-5D6E-409C-BE32-E72D297353CC}">
              <c16:uniqueId val="{00000002-C937-43C5-AEAF-8F325AA1F793}"/>
            </c:ext>
          </c:extLst>
        </c:ser>
        <c:ser>
          <c:idx val="3"/>
          <c:order val="3"/>
          <c:tx>
            <c:strRef>
              <c:f>Sheet1!$C$6</c:f>
              <c:strCache>
                <c:ptCount val="1"/>
                <c:pt idx="0">
                  <c:v>Total Revenue Collected</c:v>
                </c:pt>
              </c:strCache>
            </c:strRef>
          </c:tx>
          <c:spPr>
            <a:ln w="28575" cap="rnd" cmpd="sng" algn="ctr">
              <a:solidFill>
                <a:schemeClr val="accent4"/>
              </a:solidFill>
              <a:prstDash val="solid"/>
              <a:round/>
            </a:ln>
            <a:effectLst/>
          </c:spPr>
          <c:marker>
            <c:symbol val="none"/>
          </c:marker>
          <c:cat>
            <c:multiLvlStrRef>
              <c:f>Sheet1!$D$1:$I$2</c:f>
              <c:multiLvlStrCache>
                <c:ptCount val="6"/>
                <c:lvl>
                  <c:pt idx="4">
                    <c:v>’  </c:v>
                  </c:pt>
                  <c:pt idx="5">
                    <c:v>  </c:v>
                  </c:pt>
                </c:lvl>
                <c:lvl>
                  <c:pt idx="0">
                    <c:v>2014</c:v>
                  </c:pt>
                  <c:pt idx="1">
                    <c:v>2015</c:v>
                  </c:pt>
                  <c:pt idx="2">
                    <c:v>2016</c:v>
                  </c:pt>
                  <c:pt idx="3">
                    <c:v>2017</c:v>
                  </c:pt>
                  <c:pt idx="4">
                    <c:v>2018</c:v>
                  </c:pt>
                  <c:pt idx="5">
                    <c:v>2019</c:v>
                  </c:pt>
                </c:lvl>
              </c:multiLvlStrCache>
            </c:multiLvlStrRef>
          </c:cat>
          <c:val>
            <c:numRef>
              <c:f>Sheet1!$D$6:$I$6</c:f>
              <c:numCache>
                <c:formatCode>General</c:formatCode>
                <c:ptCount val="6"/>
                <c:pt idx="0">
                  <c:v>156.4</c:v>
                </c:pt>
                <c:pt idx="1">
                  <c:v>211.2</c:v>
                </c:pt>
                <c:pt idx="2">
                  <c:v>353</c:v>
                </c:pt>
                <c:pt idx="3">
                  <c:v>330.8</c:v>
                </c:pt>
                <c:pt idx="4">
                  <c:v>626.9</c:v>
                </c:pt>
                <c:pt idx="5">
                  <c:v>526.9</c:v>
                </c:pt>
              </c:numCache>
            </c:numRef>
          </c:val>
          <c:smooth val="0"/>
          <c:extLst xmlns:c16r2="http://schemas.microsoft.com/office/drawing/2015/06/chart">
            <c:ext xmlns:c16="http://schemas.microsoft.com/office/drawing/2014/chart" uri="{C3380CC4-5D6E-409C-BE32-E72D297353CC}">
              <c16:uniqueId val="{00000003-C937-43C5-AEAF-8F325AA1F793}"/>
            </c:ext>
          </c:extLst>
        </c:ser>
        <c:dLbls>
          <c:showLegendKey val="0"/>
          <c:showVal val="0"/>
          <c:showCatName val="0"/>
          <c:showSerName val="0"/>
          <c:showPercent val="0"/>
          <c:showBubbleSize val="0"/>
        </c:dLbls>
        <c:smooth val="0"/>
        <c:axId val="-1773632800"/>
        <c:axId val="-1773635520"/>
      </c:lineChart>
      <c:catAx>
        <c:axId val="-17736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1773635520"/>
        <c:crosses val="autoZero"/>
        <c:auto val="1"/>
        <c:lblAlgn val="ctr"/>
        <c:lblOffset val="100"/>
        <c:noMultiLvlLbl val="0"/>
      </c:catAx>
      <c:valAx>
        <c:axId val="-1773635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crossAx val="-177363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fbbabd3a-5b2c-41da-90f9-efd34597f34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CFAFA-9EC2-44E7-83EC-233936A22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280</Pages>
  <Words>83003</Words>
  <Characters>473118</Characters>
  <Application>Microsoft Office Word</Application>
  <DocSecurity>0</DocSecurity>
  <Lines>3942</Lines>
  <Paragraphs>1110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Admin</cp:lastModifiedBy>
  <cp:revision>2</cp:revision>
  <cp:lastPrinted>2026-03-19T09:19:00Z</cp:lastPrinted>
  <dcterms:created xsi:type="dcterms:W3CDTF">2026-05-11T12:14:00Z</dcterms:created>
  <dcterms:modified xsi:type="dcterms:W3CDTF">2026-05-11T12:14:00Z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bdcb9162e2734eed9332c8bc73da0cd51276ab188b41eabad59fc179f0a766bd</vt:lpwstr>
  </property>
  <property fmtid="{D5CDD505-2E9C-101B-9397-08002B2CF9AE}" pid="3" name="KSOProductBuildVer">
    <vt:lpwstr>1033-12.2.0.22549</vt:lpwstr>
  </property>
  <property fmtid="{D5CDD505-2E9C-101B-9397-08002B2CF9AE}" pid="4" name="ICV">
    <vt:lpwstr>9C373573E0A44DFA81B8B2ECB88D6107_12</vt:lpwstr>
  </property>
</Properties>
</file>